
<file path=[Content_Types].xml><?xml version="1.0" encoding="utf-8"?>
<Types xmlns="http://schemas.openxmlformats.org/package/2006/content-types">
  <Default Extension="emf" ContentType="image/x-emf"/>
  <Default Extension="xls" ContentType="application/vnd.ms-excel"/>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123A2" w:rsidRPr="005F15DA" w:rsidRDefault="00E123A2" w:rsidP="0012391B">
      <w:pPr>
        <w:pStyle w:val="Titel"/>
      </w:pPr>
      <w:r w:rsidRPr="005F15DA">
        <w:t>NOTARIAT</w:t>
      </w:r>
    </w:p>
    <w:p w:rsidR="00E123A2" w:rsidRPr="005F15DA" w:rsidRDefault="00E123A2" w:rsidP="00E123A2">
      <w:pPr>
        <w:spacing w:before="154"/>
        <w:rPr>
          <w:rStyle w:val="Buchtitel"/>
        </w:rPr>
      </w:pPr>
      <w:r w:rsidRPr="005F15DA">
        <w:rPr>
          <w:rStyle w:val="Buchtitel"/>
        </w:rPr>
        <w:t>Skriptum für den Branchenkundeunterricht</w:t>
      </w:r>
    </w:p>
    <w:p w:rsidR="00E123A2" w:rsidRPr="005F15DA" w:rsidRDefault="00E123A2" w:rsidP="00E123A2">
      <w:pPr>
        <w:spacing w:before="2472"/>
      </w:pPr>
      <w:r w:rsidRPr="005F15DA">
        <w:rPr>
          <w:noProof/>
          <w:lang w:eastAsia="de-CH"/>
        </w:rPr>
        <mc:AlternateContent>
          <mc:Choice Requires="wps">
            <w:drawing>
              <wp:anchor distT="0" distB="0" distL="114300" distR="114300" simplePos="0" relativeHeight="251660288" behindDoc="0" locked="0" layoutInCell="0" allowOverlap="1" wp14:anchorId="4A589B24" wp14:editId="44448CA5">
                <wp:simplePos x="0" y="0"/>
                <wp:positionH relativeFrom="column">
                  <wp:posOffset>-12065</wp:posOffset>
                </wp:positionH>
                <wp:positionV relativeFrom="paragraph">
                  <wp:posOffset>42545</wp:posOffset>
                </wp:positionV>
                <wp:extent cx="5815330" cy="0"/>
                <wp:effectExtent l="0" t="0" r="0" b="0"/>
                <wp:wrapNone/>
                <wp:docPr id="80"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5330" cy="0"/>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5pt,3.35pt" to="456.95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" o:allowincell="f" strokeweight=".7pt"/>
            </w:pict>
          </mc:Fallback>
        </mc:AlternateContent>
      </w:r>
      <w:r w:rsidRPr="005F15DA">
        <w:rPr>
          <w:spacing w:val="1"/>
        </w:rPr>
        <w:t>Herausgegeben durch den Verband bernischer Notare</w:t>
      </w:r>
    </w:p>
    <w:p w:rsidR="00E123A2" w:rsidRPr="005F15DA" w:rsidRDefault="00E123A2" w:rsidP="00E123A2">
      <w:pPr>
        <w:spacing w:before="8040"/>
      </w:pPr>
      <w:r w:rsidRPr="005F15DA">
        <w:rPr>
          <w:spacing w:val="3"/>
        </w:rPr>
        <w:t xml:space="preserve">Fassung vom </w:t>
      </w:r>
      <w:r w:rsidR="00AD24D1">
        <w:rPr>
          <w:spacing w:val="3"/>
        </w:rPr>
        <w:t xml:space="preserve">Herbst </w:t>
      </w:r>
      <w:r w:rsidRPr="005F15DA">
        <w:rPr>
          <w:spacing w:val="3"/>
        </w:rPr>
        <w:t>201</w:t>
      </w:r>
      <w:r w:rsidR="00FC0965">
        <w:rPr>
          <w:spacing w:val="3"/>
        </w:rPr>
        <w:t>7</w:t>
      </w:r>
    </w:p>
    <w:p w:rsidR="00FC0965" w:rsidRDefault="00E123A2" w:rsidP="00E123A2">
      <w:pPr>
        <w:spacing w:before="96"/>
        <w:rPr>
          <w:spacing w:val="1"/>
        </w:rPr>
      </w:pPr>
      <w:r w:rsidRPr="005F15DA">
        <w:rPr>
          <w:spacing w:val="1"/>
        </w:rPr>
        <w:t xml:space="preserve">Bezug: Verband bernischer Notare, </w:t>
      </w:r>
      <w:r w:rsidR="00FC0965">
        <w:rPr>
          <w:spacing w:val="1"/>
        </w:rPr>
        <w:t xml:space="preserve">Geschäftsstelle, </w:t>
      </w:r>
      <w:proofErr w:type="spellStart"/>
      <w:r w:rsidR="00FC0965">
        <w:rPr>
          <w:spacing w:val="1"/>
        </w:rPr>
        <w:t>Zieglerstrasse</w:t>
      </w:r>
      <w:proofErr w:type="spellEnd"/>
      <w:r w:rsidR="00FC0965">
        <w:rPr>
          <w:spacing w:val="1"/>
        </w:rPr>
        <w:t xml:space="preserve"> 29, 3007 Bern</w:t>
      </w:r>
    </w:p>
    <w:p w:rsidR="00E123A2" w:rsidRPr="005F15DA" w:rsidRDefault="00FC0965" w:rsidP="00E123A2">
      <w:pPr>
        <w:spacing w:before="96"/>
        <w:rPr>
          <w:spacing w:val="1"/>
        </w:rPr>
      </w:pPr>
      <w:r>
        <w:rPr>
          <w:spacing w:val="1"/>
        </w:rPr>
        <w:t>www.bernernotar.ch/seiten/publikationen/formulare-dokumente/</w:t>
      </w:r>
    </w:p>
    <w:bookmarkStart w:id="0" w:name="_Toc432175529"/>
    <w:p w:rsidR="00E123A2" w:rsidRPr="005F15DA" w:rsidRDefault="00E123A2" w:rsidP="0012391B">
      <w:pPr>
        <w:pStyle w:val="berschrift1"/>
      </w:pPr>
      <w:r w:rsidRPr="005F15DA">
        <w:rPr>
          <w:noProof/>
          <w:lang w:eastAsia="de-CH"/>
        </w:rPr>
        <mc:AlternateContent>
          <mc:Choice Requires="wps">
            <w:drawing>
              <wp:anchor distT="0" distB="0" distL="114300" distR="114300" simplePos="0" relativeHeight="251659264" behindDoc="0" locked="0" layoutInCell="0" allowOverlap="1" wp14:anchorId="14D4643F" wp14:editId="3316713F">
                <wp:simplePos x="0" y="0"/>
                <wp:positionH relativeFrom="margin">
                  <wp:posOffset>6350</wp:posOffset>
                </wp:positionH>
                <wp:positionV relativeFrom="paragraph">
                  <wp:posOffset>50800</wp:posOffset>
                </wp:positionV>
                <wp:extent cx="5809615" cy="0"/>
                <wp:effectExtent l="0" t="0" r="0" b="0"/>
                <wp:wrapNone/>
                <wp:docPr id="79"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09615" cy="0"/>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pt,4pt" to="457.9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" o:allowincell="f" strokeweight=".7pt">
                <w10:wrap anchorx="margin"/>
              </v:line>
            </w:pict>
          </mc:Fallback>
        </mc:AlternateContent>
      </w:r>
      <w:r w:rsidRPr="005F15DA">
        <w:br w:type="page"/>
      </w:r>
      <w:r w:rsidRPr="005F15DA">
        <w:lastRenderedPageBreak/>
        <w:t>Vorwort</w:t>
      </w:r>
      <w:bookmarkEnd w:id="0"/>
    </w:p>
    <w:p w:rsidR="0012391B" w:rsidRPr="005F15DA" w:rsidRDefault="0012391B" w:rsidP="0012391B">
      <w:pPr>
        <w:rPr>
          <w:spacing w:val="-1"/>
        </w:rPr>
      </w:pPr>
    </w:p>
    <w:p w:rsidR="0012391B" w:rsidRPr="005F15DA" w:rsidRDefault="0012391B" w:rsidP="0012391B">
      <w:pPr>
        <w:rPr>
          <w:spacing w:val="-1"/>
        </w:rPr>
      </w:pPr>
    </w:p>
    <w:p w:rsidR="00E123A2" w:rsidRPr="005F15DA" w:rsidRDefault="00E123A2" w:rsidP="0012391B">
      <w:pPr>
        <w:rPr>
          <w:spacing w:val="-1"/>
        </w:rPr>
      </w:pPr>
      <w:r w:rsidRPr="005F15DA">
        <w:rPr>
          <w:spacing w:val="-1"/>
        </w:rPr>
        <w:t xml:space="preserve">Gestützt auf Art. 5 des </w:t>
      </w:r>
      <w:r w:rsidR="002C3802" w:rsidRPr="005F15DA">
        <w:rPr>
          <w:spacing w:val="-1"/>
        </w:rPr>
        <w:t>Reglements</w:t>
      </w:r>
      <w:r w:rsidRPr="005F15DA">
        <w:rPr>
          <w:spacing w:val="-1"/>
        </w:rPr>
        <w:t xml:space="preserve"> über die Ausbildung und die Lehrabschlussprüfung der </w:t>
      </w:r>
      <w:r w:rsidRPr="005F15DA">
        <w:t xml:space="preserve">kaufmännischen Angestellten vom 20. Mai 1986 wurde im April 1989 vom Verband bernischer Notare ein Modell-Lehrgang herausgegeben, welcher für alle kaufmännischen Lehrlinge und </w:t>
      </w:r>
      <w:r w:rsidRPr="005F15DA">
        <w:rPr>
          <w:spacing w:val="-1"/>
        </w:rPr>
        <w:t>Lehrtöchter in einem bernischen Notariatsbüro gilt.</w:t>
      </w:r>
    </w:p>
    <w:p w:rsidR="0012391B" w:rsidRPr="005F15DA" w:rsidRDefault="0012391B" w:rsidP="0012391B"/>
    <w:p w:rsidR="00E123A2" w:rsidRPr="005F15DA" w:rsidRDefault="00E123A2" w:rsidP="0012391B">
      <w:r w:rsidRPr="005F15DA">
        <w:t>Im Zusammenhang mit der Vereinheitlichung des Branchenkundeunterrichtes wurde vom Ver</w:t>
      </w:r>
      <w:r w:rsidRPr="005F15DA">
        <w:rPr>
          <w:spacing w:val="-6"/>
        </w:rPr>
        <w:t xml:space="preserve">band bernischer Notare eine Kommission eingesetzt, welche die Aufgabe hatte, nach Vorlage des </w:t>
      </w:r>
      <w:r w:rsidRPr="005F15DA">
        <w:t>Modell-Lehrganges ein Lehrmittel für den Branchenkundeunterricht Notariat zu erarbeiten.</w:t>
      </w:r>
    </w:p>
    <w:p w:rsidR="0012391B" w:rsidRPr="005F15DA" w:rsidRDefault="0012391B" w:rsidP="0012391B"/>
    <w:p w:rsidR="00E123A2" w:rsidRPr="005F15DA" w:rsidRDefault="00E123A2" w:rsidP="0012391B">
      <w:r w:rsidRPr="005F15DA">
        <w:rPr>
          <w:spacing w:val="-3"/>
        </w:rPr>
        <w:t>Für den Aufbau und die Gestaltung waren folgende Mitglieder der Kommission «Branchenku</w:t>
      </w:r>
      <w:r w:rsidRPr="005F15DA">
        <w:rPr>
          <w:spacing w:val="-3"/>
        </w:rPr>
        <w:t>n</w:t>
      </w:r>
      <w:r w:rsidRPr="005F15DA">
        <w:rPr>
          <w:spacing w:val="-1"/>
        </w:rPr>
        <w:t>deunterricht» verantwortlich:</w:t>
      </w:r>
    </w:p>
    <w:p w:rsidR="00E123A2" w:rsidRPr="005F15DA" w:rsidRDefault="00E123A2" w:rsidP="0012391B">
      <w:pPr>
        <w:rPr>
          <w:spacing w:val="-3"/>
        </w:rPr>
      </w:pPr>
      <w:r w:rsidRPr="005F15DA">
        <w:rPr>
          <w:spacing w:val="-3"/>
        </w:rPr>
        <w:t>Notar Jürg Bracher, Grundbuchverwalter von Fraubrunnen, Notar Christoph Fankhauser, Her</w:t>
      </w:r>
      <w:r w:rsidRPr="005F15DA">
        <w:t>z</w:t>
      </w:r>
      <w:r w:rsidRPr="005F15DA">
        <w:t>o</w:t>
      </w:r>
      <w:r w:rsidRPr="005F15DA">
        <w:t>genbuchsee, Notar Anton Haefliger, Ostermundigen, Notar Herbert Kämpfer, Kirchberg, No</w:t>
      </w:r>
      <w:r w:rsidRPr="005F15DA">
        <w:rPr>
          <w:spacing w:val="-3"/>
        </w:rPr>
        <w:t>tar Andrea Keller, Thun, Notar Bernhard Schild, Grundbuchverwalter von Seftigen.</w:t>
      </w:r>
    </w:p>
    <w:p w:rsidR="00E123A2" w:rsidRPr="005F15DA" w:rsidRDefault="00E123A2" w:rsidP="0012391B">
      <w:pPr>
        <w:rPr>
          <w:spacing w:val="-3"/>
        </w:rPr>
      </w:pPr>
      <w:r w:rsidRPr="005F15DA">
        <w:rPr>
          <w:spacing w:val="-3"/>
        </w:rPr>
        <w:t>Die Redaktion wurde von Notarin Gabriele Lüthi, Aarwangen, übernommen.</w:t>
      </w:r>
    </w:p>
    <w:p w:rsidR="00E123A2" w:rsidRPr="005F15DA" w:rsidRDefault="00E123A2" w:rsidP="0012391B">
      <w:r w:rsidRPr="005F15DA">
        <w:t>Allen Beteiligten sei für ihren Einsatz herzlich gedankt.</w:t>
      </w:r>
    </w:p>
    <w:p w:rsidR="00DA6940" w:rsidRPr="005F15DA" w:rsidRDefault="00DA6940" w:rsidP="0012391B">
      <w:pPr>
        <w:rPr>
          <w:spacing w:val="-4"/>
        </w:rPr>
      </w:pPr>
    </w:p>
    <w:p w:rsidR="00DA6940" w:rsidRPr="005F15DA" w:rsidRDefault="00E123A2" w:rsidP="0012391B">
      <w:r w:rsidRPr="005F15DA">
        <w:rPr>
          <w:spacing w:val="-4"/>
        </w:rPr>
        <w:t>Thun, im August 1992</w:t>
      </w:r>
    </w:p>
    <w:p w:rsidR="00E123A2" w:rsidRPr="005F15DA" w:rsidRDefault="00E123A2" w:rsidP="0012391B">
      <w:r w:rsidRPr="005F15DA">
        <w:rPr>
          <w:spacing w:val="-4"/>
        </w:rPr>
        <w:t>Andrea Keller</w:t>
      </w:r>
    </w:p>
    <w:p w:rsidR="00E123A2" w:rsidRPr="005F15DA" w:rsidRDefault="00E123A2" w:rsidP="0012391B">
      <w:pPr>
        <w:rPr>
          <w:spacing w:val="-5"/>
        </w:rPr>
      </w:pPr>
      <w:r w:rsidRPr="005F15DA">
        <w:rPr>
          <w:spacing w:val="-5"/>
        </w:rPr>
        <w:t xml:space="preserve">Vorsitzender der Kommission </w:t>
      </w:r>
    </w:p>
    <w:p w:rsidR="00E123A2" w:rsidRPr="005F15DA" w:rsidRDefault="00E123A2" w:rsidP="0012391B">
      <w:r w:rsidRPr="005F15DA">
        <w:rPr>
          <w:spacing w:val="-4"/>
        </w:rPr>
        <w:t>Branchenkundeunterricht</w:t>
      </w:r>
    </w:p>
    <w:p w:rsidR="00DA6940" w:rsidRPr="005F15DA" w:rsidRDefault="00DA6940" w:rsidP="0012391B">
      <w:pPr>
        <w:rPr>
          <w:spacing w:val="-4"/>
        </w:rPr>
      </w:pPr>
    </w:p>
    <w:p w:rsidR="00DA6940" w:rsidRPr="005F15DA" w:rsidRDefault="00DA6940" w:rsidP="0012391B">
      <w:pPr>
        <w:rPr>
          <w:spacing w:val="-4"/>
        </w:rPr>
      </w:pPr>
    </w:p>
    <w:p w:rsidR="00E123A2" w:rsidRPr="005F15DA" w:rsidRDefault="00E123A2" w:rsidP="0012391B">
      <w:r w:rsidRPr="005F15DA">
        <w:rPr>
          <w:spacing w:val="-4"/>
        </w:rPr>
        <w:t xml:space="preserve">Angepasst an </w:t>
      </w:r>
      <w:r w:rsidR="00DA6940" w:rsidRPr="005F15DA">
        <w:rPr>
          <w:spacing w:val="-4"/>
        </w:rPr>
        <w:t xml:space="preserve">die </w:t>
      </w:r>
      <w:r w:rsidRPr="005F15DA">
        <w:rPr>
          <w:spacing w:val="-4"/>
        </w:rPr>
        <w:t xml:space="preserve">aktuelle Gesetzgebung (Stand 30. Juni 1999) und ergänzt um V. Kapitel III. GmbH </w:t>
      </w:r>
      <w:r w:rsidRPr="005F15DA">
        <w:rPr>
          <w:spacing w:val="-5"/>
        </w:rPr>
        <w:t>und VI. Kapitel IV. C. Sicherung Vermögensgewinnsteuer.</w:t>
      </w:r>
    </w:p>
    <w:p w:rsidR="00E123A2" w:rsidRPr="005F15DA" w:rsidRDefault="00E123A2" w:rsidP="0012391B">
      <w:r w:rsidRPr="005F15DA">
        <w:t>Thun, im Juli 1999</w:t>
      </w:r>
    </w:p>
    <w:p w:rsidR="00DA6940" w:rsidRPr="005F15DA" w:rsidRDefault="00DA6940" w:rsidP="0012391B">
      <w:pPr>
        <w:rPr>
          <w:spacing w:val="-5"/>
        </w:rPr>
      </w:pPr>
    </w:p>
    <w:p w:rsidR="00DA6940" w:rsidRPr="005F15DA" w:rsidRDefault="00DA6940" w:rsidP="0012391B">
      <w:pPr>
        <w:rPr>
          <w:spacing w:val="-5"/>
        </w:rPr>
      </w:pPr>
    </w:p>
    <w:p w:rsidR="00E123A2" w:rsidRPr="005F15DA" w:rsidRDefault="00E123A2" w:rsidP="0012391B">
      <w:r w:rsidRPr="005F15DA">
        <w:rPr>
          <w:spacing w:val="-5"/>
        </w:rPr>
        <w:t>Bei der Redaktion des Modell-Lehrganges Notariate Schweiz, freie Berufsnotariate (auf der Basis des Standard-Modell-Lehrganges IGKG) durch eine Arbeitsgruppe des VbN wurden die branche</w:t>
      </w:r>
      <w:r w:rsidRPr="005F15DA">
        <w:rPr>
          <w:spacing w:val="-5"/>
        </w:rPr>
        <w:t>n</w:t>
      </w:r>
      <w:r w:rsidRPr="005F15DA">
        <w:t xml:space="preserve">spezifischen Kapitel «Kapitel 2/Ausbildungsprogramm/Branchenkenntnisse Notariate Schweiz </w:t>
      </w:r>
      <w:r w:rsidRPr="005F15DA">
        <w:rPr>
          <w:spacing w:val="-1"/>
        </w:rPr>
        <w:t xml:space="preserve">bzw. freie Berufsnotariate/1.7 und 1.8» und «Kapitel 3/Anhang Leistungszielkatalog/Branche </w:t>
      </w:r>
      <w:r w:rsidRPr="005F15DA">
        <w:rPr>
          <w:spacing w:val="-4"/>
        </w:rPr>
        <w:t xml:space="preserve">und Firma/Notariate Schweiz bzw. freie Berufsnotariate/1.7 und 1.8» nach Vorlage des früheren </w:t>
      </w:r>
      <w:r w:rsidRPr="005F15DA">
        <w:t>Modell-Lehrganges des VbN vom April 1989 und des vorliegenden Skriptums bzw. des «Lei</w:t>
      </w:r>
      <w:r w:rsidRPr="005F15DA">
        <w:t>t</w:t>
      </w:r>
      <w:r w:rsidRPr="005F15DA">
        <w:t>fadens zum Grundbuchrecht» redigiert.</w:t>
      </w:r>
    </w:p>
    <w:p w:rsidR="00DA6940" w:rsidRPr="005F15DA" w:rsidRDefault="00DA6940" w:rsidP="0012391B"/>
    <w:p w:rsidR="00E123A2" w:rsidRPr="005F15DA" w:rsidRDefault="00E123A2" w:rsidP="0012391B">
      <w:r w:rsidRPr="005F15DA">
        <w:rPr>
          <w:spacing w:val="-3"/>
        </w:rPr>
        <w:t xml:space="preserve">Das vorliegende Skriptum </w:t>
      </w:r>
      <w:r w:rsidRPr="005F15DA">
        <w:rPr>
          <w:spacing w:val="-5"/>
        </w:rPr>
        <w:t xml:space="preserve">dient somit der Vermittlung der </w:t>
      </w:r>
      <w:r w:rsidR="00DA6940" w:rsidRPr="005F15DA">
        <w:rPr>
          <w:spacing w:val="-5"/>
        </w:rPr>
        <w:t xml:space="preserve">für die Branche </w:t>
      </w:r>
      <w:r w:rsidRPr="005F15DA">
        <w:rPr>
          <w:spacing w:val="-5"/>
        </w:rPr>
        <w:t xml:space="preserve">Notariate Schweiz, </w:t>
      </w:r>
      <w:r w:rsidR="00DA6940" w:rsidRPr="005F15DA">
        <w:rPr>
          <w:spacing w:val="-5"/>
        </w:rPr>
        <w:t>fre</w:t>
      </w:r>
      <w:r w:rsidR="00DA6940" w:rsidRPr="005F15DA">
        <w:rPr>
          <w:spacing w:val="-5"/>
        </w:rPr>
        <w:t>i</w:t>
      </w:r>
      <w:r w:rsidR="00DA6940" w:rsidRPr="005F15DA">
        <w:rPr>
          <w:spacing w:val="-5"/>
        </w:rPr>
        <w:t xml:space="preserve">berufliche Notariate, Deutsch, </w:t>
      </w:r>
      <w:r w:rsidRPr="005F15DA">
        <w:rPr>
          <w:spacing w:val="-3"/>
        </w:rPr>
        <w:t>zu erarbeitenden Branchenkenntnisse.</w:t>
      </w:r>
    </w:p>
    <w:p w:rsidR="00DA6940" w:rsidRPr="005F15DA" w:rsidRDefault="00DA6940" w:rsidP="0012391B">
      <w:pPr>
        <w:rPr>
          <w:spacing w:val="-3"/>
        </w:rPr>
      </w:pPr>
    </w:p>
    <w:p w:rsidR="00DA6940" w:rsidRPr="005F15DA" w:rsidRDefault="00E123A2" w:rsidP="0012391B">
      <w:r w:rsidRPr="005F15DA">
        <w:rPr>
          <w:spacing w:val="-3"/>
        </w:rPr>
        <w:t>Thun, im August 2004</w:t>
      </w:r>
    </w:p>
    <w:p w:rsidR="00E123A2" w:rsidRPr="005F15DA" w:rsidRDefault="00E123A2" w:rsidP="0012391B">
      <w:r w:rsidRPr="005F15DA">
        <w:rPr>
          <w:spacing w:val="-4"/>
        </w:rPr>
        <w:t>Andrea Keller</w:t>
      </w:r>
    </w:p>
    <w:p w:rsidR="00E123A2" w:rsidRPr="005F15DA" w:rsidRDefault="00E123A2" w:rsidP="0012391B">
      <w:pPr>
        <w:rPr>
          <w:spacing w:val="-3"/>
        </w:rPr>
      </w:pPr>
      <w:r w:rsidRPr="005F15DA">
        <w:rPr>
          <w:spacing w:val="-3"/>
        </w:rPr>
        <w:t>Administrator Branchenkunde VbN</w:t>
      </w:r>
    </w:p>
    <w:p w:rsidR="00E123A2" w:rsidRPr="005F15DA" w:rsidRDefault="00E123A2" w:rsidP="0012391B">
      <w:pPr>
        <w:rPr>
          <w:spacing w:val="-4"/>
        </w:rPr>
      </w:pPr>
    </w:p>
    <w:p w:rsidR="00DA6940" w:rsidRPr="005F15DA" w:rsidRDefault="00DA6940" w:rsidP="0012391B">
      <w:pPr>
        <w:rPr>
          <w:spacing w:val="-4"/>
        </w:rPr>
      </w:pPr>
    </w:p>
    <w:p w:rsidR="00E123A2" w:rsidRPr="005F15DA" w:rsidRDefault="00E123A2" w:rsidP="0012391B">
      <w:r w:rsidRPr="005F15DA">
        <w:rPr>
          <w:spacing w:val="-4"/>
        </w:rPr>
        <w:t>Angepasst an die aktuelle Gesetzgebung (Stand 1.1.2008) (insbesondere neue Notariatsgeset</w:t>
      </w:r>
      <w:r w:rsidRPr="005F15DA">
        <w:rPr>
          <w:spacing w:val="-4"/>
        </w:rPr>
        <w:t>z</w:t>
      </w:r>
      <w:r w:rsidRPr="005F15DA">
        <w:rPr>
          <w:spacing w:val="-4"/>
        </w:rPr>
        <w:t>gebung, Steuergesetzänderungen, Änderungen GmbH) und ergänzt um Kapitel VII Sachenrecht.</w:t>
      </w:r>
    </w:p>
    <w:p w:rsidR="00E123A2" w:rsidRPr="005F15DA" w:rsidRDefault="00E123A2" w:rsidP="0012391B">
      <w:r w:rsidRPr="005F15DA">
        <w:t xml:space="preserve">Für die Änderungen und Ergänzungen waren </w:t>
      </w:r>
      <w:r w:rsidR="00986BD8" w:rsidRPr="005F15DA">
        <w:t xml:space="preserve">Fürsprecher und </w:t>
      </w:r>
      <w:r w:rsidRPr="005F15DA">
        <w:t>Notar Beat Marfurt, Bern, und Notar Marianne Meyer, Zäziwil, verantwortlich. Den Beteiligten ein herzliches Dankeschön.</w:t>
      </w:r>
    </w:p>
    <w:p w:rsidR="00DA6940" w:rsidRPr="005F15DA" w:rsidRDefault="00E123A2" w:rsidP="0012391B">
      <w:r w:rsidRPr="005F15DA">
        <w:t>Zäziwil, im Februar und März</w:t>
      </w:r>
      <w:r w:rsidR="00DA6940" w:rsidRPr="005F15DA">
        <w:t xml:space="preserve"> 2008</w:t>
      </w:r>
    </w:p>
    <w:p w:rsidR="00E123A2" w:rsidRPr="005F15DA" w:rsidRDefault="00E123A2" w:rsidP="0012391B">
      <w:r w:rsidRPr="005F15DA">
        <w:t>Marianne Meyer-Oppliger</w:t>
      </w:r>
    </w:p>
    <w:p w:rsidR="00E123A2" w:rsidRPr="005F15DA" w:rsidRDefault="00E123A2" w:rsidP="0012391B">
      <w:r w:rsidRPr="005F15DA">
        <w:t xml:space="preserve">Mitglied des Vorstandes </w:t>
      </w:r>
      <w:r w:rsidR="00DA6940" w:rsidRPr="005F15DA">
        <w:t xml:space="preserve">VbN und </w:t>
      </w:r>
      <w:r w:rsidRPr="005F15DA">
        <w:t>Zuständig für die Lernenden</w:t>
      </w:r>
    </w:p>
    <w:p w:rsidR="00DA6940" w:rsidRPr="005F15DA" w:rsidRDefault="00DA6940" w:rsidP="0012391B">
      <w:pPr>
        <w:rPr>
          <w:spacing w:val="-4"/>
        </w:rPr>
      </w:pPr>
    </w:p>
    <w:p w:rsidR="00E123A2" w:rsidRPr="005F15DA" w:rsidRDefault="00E123A2" w:rsidP="0012391B">
      <w:r w:rsidRPr="005F15DA">
        <w:rPr>
          <w:spacing w:val="-4"/>
        </w:rPr>
        <w:t xml:space="preserve">Angepasst an die </w:t>
      </w:r>
      <w:r w:rsidR="00DA6940" w:rsidRPr="005F15DA">
        <w:rPr>
          <w:spacing w:val="-4"/>
        </w:rPr>
        <w:t>Änderungen des Handänderungssteuergesetzes (</w:t>
      </w:r>
      <w:r w:rsidRPr="005F15DA">
        <w:rPr>
          <w:spacing w:val="-4"/>
        </w:rPr>
        <w:t>HG).</w:t>
      </w:r>
    </w:p>
    <w:p w:rsidR="00DA6940" w:rsidRPr="005F15DA" w:rsidRDefault="00E123A2" w:rsidP="0012391B">
      <w:r w:rsidRPr="005F15DA">
        <w:t>Zäziwil, im Herbst 2009</w:t>
      </w:r>
    </w:p>
    <w:p w:rsidR="00E123A2" w:rsidRPr="005F15DA" w:rsidRDefault="00E123A2" w:rsidP="0012391B">
      <w:r w:rsidRPr="005F15DA">
        <w:t>Marianne Meyer-Oppliger</w:t>
      </w:r>
    </w:p>
    <w:p w:rsidR="00DA6940" w:rsidRPr="005F15DA" w:rsidRDefault="00DA6940" w:rsidP="0012391B">
      <w:pPr>
        <w:rPr>
          <w:spacing w:val="-3"/>
        </w:rPr>
      </w:pPr>
    </w:p>
    <w:p w:rsidR="00E123A2" w:rsidRPr="005F15DA" w:rsidRDefault="00986BD8" w:rsidP="0012391B">
      <w:pPr>
        <w:rPr>
          <w:spacing w:val="-3"/>
        </w:rPr>
      </w:pPr>
      <w:r w:rsidRPr="005F15DA">
        <w:rPr>
          <w:spacing w:val="-3"/>
        </w:rPr>
        <w:t xml:space="preserve">Das Kapitel Sachenrecht wurde vollständig überarbeitet und berücksichtigt </w:t>
      </w:r>
      <w:r w:rsidR="00E123A2" w:rsidRPr="005F15DA">
        <w:rPr>
          <w:spacing w:val="-3"/>
        </w:rPr>
        <w:t>die Änderungen des Sachenrechts, welche per 1.1.2012 in Kraft getreten sind.</w:t>
      </w:r>
    </w:p>
    <w:p w:rsidR="003229D4" w:rsidRPr="005F15DA" w:rsidRDefault="003229D4" w:rsidP="0012391B">
      <w:pPr>
        <w:rPr>
          <w:spacing w:val="-3"/>
        </w:rPr>
      </w:pPr>
      <w:r w:rsidRPr="005F15DA">
        <w:rPr>
          <w:spacing w:val="-3"/>
        </w:rPr>
        <w:t>Das Kapitel "Vormundschaft" wurde ersetzt durch "Erwachsenenschutzrecht", welches per 1.1.</w:t>
      </w:r>
      <w:r w:rsidR="00284C4D" w:rsidRPr="005F15DA">
        <w:rPr>
          <w:spacing w:val="-3"/>
        </w:rPr>
        <w:t xml:space="preserve"> </w:t>
      </w:r>
      <w:r w:rsidRPr="005F15DA">
        <w:rPr>
          <w:spacing w:val="-3"/>
        </w:rPr>
        <w:t>2013 in Kraft tritt.</w:t>
      </w:r>
    </w:p>
    <w:p w:rsidR="00E123A2" w:rsidRPr="005F15DA" w:rsidRDefault="00E123A2" w:rsidP="0012391B">
      <w:r w:rsidRPr="005F15DA">
        <w:t xml:space="preserve">Für die </w:t>
      </w:r>
      <w:r w:rsidR="00986BD8" w:rsidRPr="005F15DA">
        <w:t xml:space="preserve">Überarbeitung </w:t>
      </w:r>
      <w:r w:rsidRPr="005F15DA">
        <w:t xml:space="preserve">waren Notar Marianne Meyer, Zäziwil, </w:t>
      </w:r>
      <w:r w:rsidR="00986BD8" w:rsidRPr="005F15DA">
        <w:t xml:space="preserve">und Fürsprecher und Notar Beat Marfurt, Bern, </w:t>
      </w:r>
      <w:r w:rsidRPr="005F15DA">
        <w:t>verantwort</w:t>
      </w:r>
      <w:r w:rsidR="00986BD8" w:rsidRPr="005F15DA">
        <w:t>lich.</w:t>
      </w:r>
    </w:p>
    <w:p w:rsidR="00DA6940" w:rsidRPr="005F15DA" w:rsidRDefault="00E123A2" w:rsidP="0012391B">
      <w:r w:rsidRPr="005F15DA">
        <w:t xml:space="preserve">Zäziwil, im März </w:t>
      </w:r>
      <w:r w:rsidR="003229D4" w:rsidRPr="005F15DA">
        <w:t xml:space="preserve">und Oktober </w:t>
      </w:r>
      <w:r w:rsidRPr="005F15DA">
        <w:t>2012</w:t>
      </w:r>
      <w:r w:rsidR="001F15CC">
        <w:t xml:space="preserve"> / August 2014</w:t>
      </w:r>
    </w:p>
    <w:p w:rsidR="00E123A2" w:rsidRPr="005F15DA" w:rsidRDefault="00E123A2" w:rsidP="0012391B">
      <w:r w:rsidRPr="005F15DA">
        <w:t>Marianne Meyer-Oppliger</w:t>
      </w:r>
    </w:p>
    <w:p w:rsidR="00E123A2" w:rsidRPr="005F15DA" w:rsidRDefault="00E123A2" w:rsidP="0012391B">
      <w:r w:rsidRPr="005F15DA">
        <w:t>Mitglied des Vorstandes VbN und</w:t>
      </w:r>
      <w:r w:rsidR="00DA6940" w:rsidRPr="005F15DA">
        <w:t xml:space="preserve"> </w:t>
      </w:r>
      <w:r w:rsidRPr="005F15DA">
        <w:t>Zuständig für die Lernenden</w:t>
      </w:r>
    </w:p>
    <w:p w:rsidR="00E123A2" w:rsidRDefault="00E123A2" w:rsidP="0012391B"/>
    <w:p w:rsidR="003E038E" w:rsidRDefault="003E038E" w:rsidP="0012391B">
      <w:r>
        <w:t>Angepasst an die Änderungen des Handänderungssteuergesetzes (HG) ab 1.1.2015.</w:t>
      </w:r>
    </w:p>
    <w:p w:rsidR="003E038E" w:rsidRDefault="003E038E" w:rsidP="0012391B">
      <w:r>
        <w:t>Zäziwil, im Herbst 2015.</w:t>
      </w:r>
    </w:p>
    <w:p w:rsidR="003E038E" w:rsidRDefault="003E038E" w:rsidP="0012391B">
      <w:r>
        <w:t>Marianne Meyer-Oppliger</w:t>
      </w:r>
    </w:p>
    <w:p w:rsidR="00FC0965" w:rsidRDefault="00FC0965" w:rsidP="0012391B"/>
    <w:p w:rsidR="00FC0965" w:rsidRDefault="00FC0965" w:rsidP="0012391B">
      <w:r>
        <w:t>Seit Juli 2017 hat der VbN eine Geschäftsstelle:</w:t>
      </w:r>
    </w:p>
    <w:p w:rsidR="00FC0965" w:rsidRDefault="00FC0965" w:rsidP="0012391B">
      <w:r>
        <w:t>Verband bernischer Notare</w:t>
      </w:r>
    </w:p>
    <w:p w:rsidR="00FC0965" w:rsidRDefault="00FC0965" w:rsidP="0012391B">
      <w:r>
        <w:t>Geschäftsstelle</w:t>
      </w:r>
    </w:p>
    <w:p w:rsidR="00FC0965" w:rsidRDefault="00FC0965" w:rsidP="0012391B">
      <w:proofErr w:type="spellStart"/>
      <w:r>
        <w:t>Zieglerstrasse</w:t>
      </w:r>
      <w:proofErr w:type="spellEnd"/>
      <w:r>
        <w:t xml:space="preserve"> 29</w:t>
      </w:r>
      <w:bookmarkStart w:id="1" w:name="_GoBack"/>
      <w:bookmarkEnd w:id="1"/>
    </w:p>
    <w:p w:rsidR="00FC0965" w:rsidRDefault="00FC0965" w:rsidP="0012391B">
      <w:r>
        <w:t>3007 Bern</w:t>
      </w:r>
    </w:p>
    <w:p w:rsidR="00FC0965" w:rsidRDefault="00FC0965" w:rsidP="0012391B">
      <w:r>
        <w:t>Tel. 031 387 37 37</w:t>
      </w:r>
    </w:p>
    <w:p w:rsidR="00FC0965" w:rsidRPr="00FC0965" w:rsidRDefault="00FC0965" w:rsidP="0012391B">
      <w:pPr>
        <w:rPr>
          <w:color w:val="000000" w:themeColor="text1"/>
        </w:rPr>
      </w:pPr>
      <w:r w:rsidRPr="00FC0965">
        <w:rPr>
          <w:color w:val="000000" w:themeColor="text1"/>
        </w:rPr>
        <w:t xml:space="preserve">E-Mail: </w:t>
      </w:r>
      <w:hyperlink r:id="rId9" w:history="1">
        <w:r w:rsidRPr="00FC0965">
          <w:rPr>
            <w:rStyle w:val="Hyperlink"/>
            <w:color w:val="000000" w:themeColor="text1"/>
            <w:u w:val="none"/>
          </w:rPr>
          <w:t>info@bernernotar.ch</w:t>
        </w:r>
      </w:hyperlink>
    </w:p>
    <w:p w:rsidR="00FC0965" w:rsidRPr="00FC0965" w:rsidRDefault="00FC0965" w:rsidP="0012391B">
      <w:pPr>
        <w:rPr>
          <w:color w:val="000000" w:themeColor="text1"/>
        </w:rPr>
      </w:pPr>
      <w:hyperlink r:id="rId10" w:history="1">
        <w:r w:rsidRPr="00FC0965">
          <w:rPr>
            <w:rStyle w:val="Hyperlink"/>
            <w:color w:val="000000" w:themeColor="text1"/>
            <w:u w:val="none"/>
          </w:rPr>
          <w:t>www.bernernotar.ch</w:t>
        </w:r>
      </w:hyperlink>
    </w:p>
    <w:p w:rsidR="00FC0965" w:rsidRDefault="00FC0965" w:rsidP="0012391B"/>
    <w:p w:rsidR="00FC0965" w:rsidRPr="005F15DA" w:rsidRDefault="00FC0965" w:rsidP="0012391B"/>
    <w:p w:rsidR="003C3AC9" w:rsidRPr="005F15DA" w:rsidRDefault="003C3AC9">
      <w:pPr>
        <w:rPr>
          <w:rFonts w:asciiTheme="majorHAnsi" w:eastAsiaTheme="majorEastAsia" w:hAnsiTheme="majorHAnsi" w:cstheme="majorBidi"/>
          <w:b/>
          <w:bCs/>
          <w:color w:val="000000" w:themeColor="text1"/>
          <w:sz w:val="28"/>
          <w:szCs w:val="28"/>
          <w:lang w:eastAsia="de-CH"/>
        </w:rPr>
      </w:pPr>
      <w:r w:rsidRPr="005F15DA">
        <w:br w:type="page"/>
      </w:r>
    </w:p>
    <w:sdt>
      <w:sdtPr>
        <w:rPr>
          <w:rFonts w:ascii="Arial" w:eastAsiaTheme="minorHAnsi" w:hAnsi="Arial" w:cstheme="minorBidi"/>
          <w:b w:val="0"/>
          <w:bCs w:val="0"/>
          <w:color w:val="auto"/>
          <w:sz w:val="22"/>
          <w:szCs w:val="24"/>
          <w:lang w:eastAsia="en-US"/>
        </w:rPr>
        <w:id w:val="-1441608956"/>
        <w:docPartObj>
          <w:docPartGallery w:val="Table of Contents"/>
          <w:docPartUnique/>
        </w:docPartObj>
      </w:sdtPr>
      <w:sdtEndPr/>
      <w:sdtContent>
        <w:p w:rsidR="0064032B" w:rsidRPr="005F15DA" w:rsidRDefault="0064032B">
          <w:pPr>
            <w:pStyle w:val="Inhaltsverzeichnisberschrift"/>
          </w:pPr>
          <w:r w:rsidRPr="005F15DA">
            <w:t>Inhalt</w:t>
          </w:r>
          <w:r w:rsidR="003C71AB" w:rsidRPr="005F15DA">
            <w:t>sverzeichnis</w:t>
          </w:r>
        </w:p>
        <w:p w:rsidR="00272E3E" w:rsidRPr="005F15DA" w:rsidRDefault="00272E3E" w:rsidP="00272E3E">
          <w:pPr>
            <w:spacing w:line="120" w:lineRule="auto"/>
            <w:rPr>
              <w:rFonts w:cs="Arial"/>
              <w:sz w:val="28"/>
              <w:szCs w:val="28"/>
            </w:rPr>
          </w:pPr>
          <w:r w:rsidRPr="005F15DA">
            <w:rPr>
              <w:rFonts w:cs="Arial"/>
              <w:sz w:val="28"/>
              <w:szCs w:val="28"/>
            </w:rPr>
            <w:t>__________________________________________________________</w:t>
          </w:r>
        </w:p>
        <w:p w:rsidR="003C71AB" w:rsidRPr="005F15DA" w:rsidRDefault="003C71AB" w:rsidP="003C71AB">
          <w:pPr>
            <w:rPr>
              <w:lang w:eastAsia="de-CH"/>
            </w:rPr>
          </w:pPr>
        </w:p>
        <w:p w:rsidR="008F6D3A" w:rsidRDefault="0064032B">
          <w:pPr>
            <w:pStyle w:val="Verzeichnis1"/>
            <w:tabs>
              <w:tab w:val="right" w:leader="dot" w:pos="9152"/>
            </w:tabs>
            <w:rPr>
              <w:rFonts w:asciiTheme="minorHAnsi" w:eastAsiaTheme="minorEastAsia" w:hAnsiTheme="minorHAnsi"/>
              <w:noProof/>
              <w:szCs w:val="22"/>
              <w:lang w:eastAsia="de-CH"/>
            </w:rPr>
          </w:pPr>
          <w:r w:rsidRPr="005F15DA">
            <w:fldChar w:fldCharType="begin"/>
          </w:r>
          <w:r w:rsidRPr="005F15DA">
            <w:instrText xml:space="preserve"> TOC \o "1-3" \h \z \u </w:instrText>
          </w:r>
          <w:r w:rsidRPr="005F15DA">
            <w:fldChar w:fldCharType="separate"/>
          </w:r>
          <w:hyperlink w:anchor="_Toc432175529" w:history="1">
            <w:r w:rsidR="008F6D3A" w:rsidRPr="007F0955">
              <w:rPr>
                <w:rStyle w:val="Hyperlink"/>
                <w:noProof/>
              </w:rPr>
              <w:t>Vorwort</w:t>
            </w:r>
            <w:r w:rsidR="008F6D3A">
              <w:rPr>
                <w:noProof/>
                <w:webHidden/>
              </w:rPr>
              <w:tab/>
            </w:r>
            <w:r w:rsidR="008F6D3A">
              <w:rPr>
                <w:noProof/>
                <w:webHidden/>
              </w:rPr>
              <w:fldChar w:fldCharType="begin"/>
            </w:r>
            <w:r w:rsidR="008F6D3A">
              <w:rPr>
                <w:noProof/>
                <w:webHidden/>
              </w:rPr>
              <w:instrText xml:space="preserve"> PAGEREF _Toc432175529 \h </w:instrText>
            </w:r>
            <w:r w:rsidR="008F6D3A">
              <w:rPr>
                <w:noProof/>
                <w:webHidden/>
              </w:rPr>
            </w:r>
            <w:r w:rsidR="008F6D3A">
              <w:rPr>
                <w:noProof/>
                <w:webHidden/>
              </w:rPr>
              <w:fldChar w:fldCharType="separate"/>
            </w:r>
            <w:r w:rsidR="00C4252E">
              <w:rPr>
                <w:noProof/>
                <w:webHidden/>
              </w:rPr>
              <w:t>1</w:t>
            </w:r>
            <w:r w:rsidR="008F6D3A">
              <w:rPr>
                <w:noProof/>
                <w:webHidden/>
              </w:rPr>
              <w:fldChar w:fldCharType="end"/>
            </w:r>
          </w:hyperlink>
        </w:p>
        <w:p w:rsidR="008F6D3A" w:rsidRDefault="00C64023">
          <w:pPr>
            <w:pStyle w:val="Verzeichnis1"/>
            <w:tabs>
              <w:tab w:val="right" w:leader="dot" w:pos="9152"/>
            </w:tabs>
            <w:rPr>
              <w:rFonts w:asciiTheme="minorHAnsi" w:eastAsiaTheme="minorEastAsia" w:hAnsiTheme="minorHAnsi"/>
              <w:noProof/>
              <w:szCs w:val="22"/>
              <w:lang w:eastAsia="de-CH"/>
            </w:rPr>
          </w:pPr>
          <w:hyperlink w:anchor="_Toc432175530" w:history="1">
            <w:r w:rsidR="008F6D3A" w:rsidRPr="007F0955">
              <w:rPr>
                <w:rStyle w:val="Hyperlink"/>
                <w:noProof/>
              </w:rPr>
              <w:t>Notariatsrecht</w:t>
            </w:r>
            <w:r w:rsidR="008F6D3A">
              <w:rPr>
                <w:noProof/>
                <w:webHidden/>
              </w:rPr>
              <w:tab/>
            </w:r>
            <w:r w:rsidR="008F6D3A">
              <w:rPr>
                <w:noProof/>
                <w:webHidden/>
              </w:rPr>
              <w:fldChar w:fldCharType="begin"/>
            </w:r>
            <w:r w:rsidR="008F6D3A">
              <w:rPr>
                <w:noProof/>
                <w:webHidden/>
              </w:rPr>
              <w:instrText xml:space="preserve"> PAGEREF _Toc432175530 \h </w:instrText>
            </w:r>
            <w:r w:rsidR="008F6D3A">
              <w:rPr>
                <w:noProof/>
                <w:webHidden/>
              </w:rPr>
            </w:r>
            <w:r w:rsidR="008F6D3A">
              <w:rPr>
                <w:noProof/>
                <w:webHidden/>
              </w:rPr>
              <w:fldChar w:fldCharType="separate"/>
            </w:r>
            <w:r w:rsidR="00C4252E">
              <w:rPr>
                <w:noProof/>
                <w:webHidden/>
              </w:rPr>
              <w:t>10</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531" w:history="1">
            <w:r w:rsidR="008F6D3A" w:rsidRPr="007F0955">
              <w:rPr>
                <w:rStyle w:val="Hyperlink"/>
                <w:noProof/>
              </w:rPr>
              <w:t>I. Aufgaben und Stellung des Notars</w:t>
            </w:r>
            <w:r w:rsidR="008F6D3A">
              <w:rPr>
                <w:noProof/>
                <w:webHidden/>
              </w:rPr>
              <w:tab/>
            </w:r>
            <w:r w:rsidR="008F6D3A">
              <w:rPr>
                <w:noProof/>
                <w:webHidden/>
              </w:rPr>
              <w:fldChar w:fldCharType="begin"/>
            </w:r>
            <w:r w:rsidR="008F6D3A">
              <w:rPr>
                <w:noProof/>
                <w:webHidden/>
              </w:rPr>
              <w:instrText xml:space="preserve"> PAGEREF _Toc432175531 \h </w:instrText>
            </w:r>
            <w:r w:rsidR="008F6D3A">
              <w:rPr>
                <w:noProof/>
                <w:webHidden/>
              </w:rPr>
            </w:r>
            <w:r w:rsidR="008F6D3A">
              <w:rPr>
                <w:noProof/>
                <w:webHidden/>
              </w:rPr>
              <w:fldChar w:fldCharType="separate"/>
            </w:r>
            <w:r w:rsidR="00C4252E">
              <w:rPr>
                <w:noProof/>
                <w:webHidden/>
              </w:rPr>
              <w:t>10</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32" w:history="1">
            <w:r w:rsidR="008F6D3A" w:rsidRPr="007F0955">
              <w:rPr>
                <w:rStyle w:val="Hyperlink"/>
                <w:noProof/>
              </w:rPr>
              <w:t>A.</w:t>
            </w:r>
            <w:r w:rsidR="008F6D3A">
              <w:rPr>
                <w:rFonts w:asciiTheme="minorHAnsi" w:eastAsiaTheme="minorEastAsia" w:hAnsiTheme="minorHAnsi"/>
                <w:noProof/>
                <w:szCs w:val="22"/>
                <w:lang w:eastAsia="de-CH"/>
              </w:rPr>
              <w:tab/>
            </w:r>
            <w:r w:rsidR="008F6D3A" w:rsidRPr="007F0955">
              <w:rPr>
                <w:rStyle w:val="Hyperlink"/>
                <w:noProof/>
              </w:rPr>
              <w:t>Gesetzliche Grundlagen für das bernische Notariat</w:t>
            </w:r>
            <w:r w:rsidR="008F6D3A">
              <w:rPr>
                <w:noProof/>
                <w:webHidden/>
              </w:rPr>
              <w:tab/>
            </w:r>
            <w:r w:rsidR="008F6D3A">
              <w:rPr>
                <w:noProof/>
                <w:webHidden/>
              </w:rPr>
              <w:fldChar w:fldCharType="begin"/>
            </w:r>
            <w:r w:rsidR="008F6D3A">
              <w:rPr>
                <w:noProof/>
                <w:webHidden/>
              </w:rPr>
              <w:instrText xml:space="preserve"> PAGEREF _Toc432175532 \h </w:instrText>
            </w:r>
            <w:r w:rsidR="008F6D3A">
              <w:rPr>
                <w:noProof/>
                <w:webHidden/>
              </w:rPr>
            </w:r>
            <w:r w:rsidR="008F6D3A">
              <w:rPr>
                <w:noProof/>
                <w:webHidden/>
              </w:rPr>
              <w:fldChar w:fldCharType="separate"/>
            </w:r>
            <w:r w:rsidR="00C4252E">
              <w:rPr>
                <w:noProof/>
                <w:webHidden/>
              </w:rPr>
              <w:t>10</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33" w:history="1">
            <w:r w:rsidR="008F6D3A" w:rsidRPr="007F0955">
              <w:rPr>
                <w:rStyle w:val="Hyperlink"/>
                <w:noProof/>
                <w:spacing w:val="-26"/>
              </w:rPr>
              <w:t>B.</w:t>
            </w:r>
            <w:r w:rsidR="008F6D3A">
              <w:rPr>
                <w:rFonts w:asciiTheme="minorHAnsi" w:eastAsiaTheme="minorEastAsia" w:hAnsiTheme="minorHAnsi"/>
                <w:noProof/>
                <w:szCs w:val="22"/>
                <w:lang w:eastAsia="de-CH"/>
              </w:rPr>
              <w:tab/>
            </w:r>
            <w:r w:rsidR="008F6D3A" w:rsidRPr="007F0955">
              <w:rPr>
                <w:rStyle w:val="Hyperlink"/>
                <w:noProof/>
              </w:rPr>
              <w:t>Stellung des bernischen Notars</w:t>
            </w:r>
            <w:r w:rsidR="008F6D3A">
              <w:rPr>
                <w:noProof/>
                <w:webHidden/>
              </w:rPr>
              <w:tab/>
            </w:r>
            <w:r w:rsidR="008F6D3A">
              <w:rPr>
                <w:noProof/>
                <w:webHidden/>
              </w:rPr>
              <w:fldChar w:fldCharType="begin"/>
            </w:r>
            <w:r w:rsidR="008F6D3A">
              <w:rPr>
                <w:noProof/>
                <w:webHidden/>
              </w:rPr>
              <w:instrText xml:space="preserve"> PAGEREF _Toc432175533 \h </w:instrText>
            </w:r>
            <w:r w:rsidR="008F6D3A">
              <w:rPr>
                <w:noProof/>
                <w:webHidden/>
              </w:rPr>
            </w:r>
            <w:r w:rsidR="008F6D3A">
              <w:rPr>
                <w:noProof/>
                <w:webHidden/>
              </w:rPr>
              <w:fldChar w:fldCharType="separate"/>
            </w:r>
            <w:r w:rsidR="00C4252E">
              <w:rPr>
                <w:noProof/>
                <w:webHidden/>
              </w:rPr>
              <w:t>11</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34" w:history="1">
            <w:r w:rsidR="008F6D3A" w:rsidRPr="007F0955">
              <w:rPr>
                <w:rStyle w:val="Hyperlink"/>
                <w:noProof/>
                <w:spacing w:val="-19"/>
              </w:rPr>
              <w:t>C.</w:t>
            </w:r>
            <w:r w:rsidR="008F6D3A">
              <w:rPr>
                <w:rFonts w:asciiTheme="minorHAnsi" w:eastAsiaTheme="minorEastAsia" w:hAnsiTheme="minorHAnsi"/>
                <w:noProof/>
                <w:szCs w:val="22"/>
                <w:lang w:eastAsia="de-CH"/>
              </w:rPr>
              <w:tab/>
            </w:r>
            <w:r w:rsidR="008F6D3A" w:rsidRPr="007F0955">
              <w:rPr>
                <w:rStyle w:val="Hyperlink"/>
                <w:noProof/>
              </w:rPr>
              <w:t>Voraussetzungen der Berufsausübung</w:t>
            </w:r>
            <w:r w:rsidR="008F6D3A">
              <w:rPr>
                <w:noProof/>
                <w:webHidden/>
              </w:rPr>
              <w:tab/>
            </w:r>
            <w:r w:rsidR="008F6D3A">
              <w:rPr>
                <w:noProof/>
                <w:webHidden/>
              </w:rPr>
              <w:fldChar w:fldCharType="begin"/>
            </w:r>
            <w:r w:rsidR="008F6D3A">
              <w:rPr>
                <w:noProof/>
                <w:webHidden/>
              </w:rPr>
              <w:instrText xml:space="preserve"> PAGEREF _Toc432175534 \h </w:instrText>
            </w:r>
            <w:r w:rsidR="008F6D3A">
              <w:rPr>
                <w:noProof/>
                <w:webHidden/>
              </w:rPr>
            </w:r>
            <w:r w:rsidR="008F6D3A">
              <w:rPr>
                <w:noProof/>
                <w:webHidden/>
              </w:rPr>
              <w:fldChar w:fldCharType="separate"/>
            </w:r>
            <w:r w:rsidR="00C4252E">
              <w:rPr>
                <w:noProof/>
                <w:webHidden/>
              </w:rPr>
              <w:t>11</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35" w:history="1">
            <w:r w:rsidR="008F6D3A" w:rsidRPr="007F0955">
              <w:rPr>
                <w:rStyle w:val="Hyperlink"/>
                <w:noProof/>
                <w:spacing w:val="-19"/>
              </w:rPr>
              <w:t>D.</w:t>
            </w:r>
            <w:r w:rsidR="008F6D3A">
              <w:rPr>
                <w:rFonts w:asciiTheme="minorHAnsi" w:eastAsiaTheme="minorEastAsia" w:hAnsiTheme="minorHAnsi"/>
                <w:noProof/>
                <w:szCs w:val="22"/>
                <w:lang w:eastAsia="de-CH"/>
              </w:rPr>
              <w:tab/>
            </w:r>
            <w:r w:rsidR="008F6D3A" w:rsidRPr="007F0955">
              <w:rPr>
                <w:rStyle w:val="Hyperlink"/>
                <w:noProof/>
              </w:rPr>
              <w:t>Hauptberufliche/Nebenberufliche Tätigkeiten des Notars</w:t>
            </w:r>
            <w:r w:rsidR="008F6D3A">
              <w:rPr>
                <w:noProof/>
                <w:webHidden/>
              </w:rPr>
              <w:tab/>
            </w:r>
            <w:r w:rsidR="008F6D3A">
              <w:rPr>
                <w:noProof/>
                <w:webHidden/>
              </w:rPr>
              <w:fldChar w:fldCharType="begin"/>
            </w:r>
            <w:r w:rsidR="008F6D3A">
              <w:rPr>
                <w:noProof/>
                <w:webHidden/>
              </w:rPr>
              <w:instrText xml:space="preserve"> PAGEREF _Toc432175535 \h </w:instrText>
            </w:r>
            <w:r w:rsidR="008F6D3A">
              <w:rPr>
                <w:noProof/>
                <w:webHidden/>
              </w:rPr>
            </w:r>
            <w:r w:rsidR="008F6D3A">
              <w:rPr>
                <w:noProof/>
                <w:webHidden/>
              </w:rPr>
              <w:fldChar w:fldCharType="separate"/>
            </w:r>
            <w:r w:rsidR="00C4252E">
              <w:rPr>
                <w:noProof/>
                <w:webHidden/>
              </w:rPr>
              <w:t>12</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36" w:history="1">
            <w:r w:rsidR="008F6D3A" w:rsidRPr="007F0955">
              <w:rPr>
                <w:rStyle w:val="Hyperlink"/>
                <w:noProof/>
                <w:spacing w:val="-22"/>
              </w:rPr>
              <w:t>E.</w:t>
            </w:r>
            <w:r w:rsidR="008F6D3A">
              <w:rPr>
                <w:rFonts w:asciiTheme="minorHAnsi" w:eastAsiaTheme="minorEastAsia" w:hAnsiTheme="minorHAnsi"/>
                <w:noProof/>
                <w:szCs w:val="22"/>
                <w:lang w:eastAsia="de-CH"/>
              </w:rPr>
              <w:tab/>
            </w:r>
            <w:r w:rsidR="008F6D3A" w:rsidRPr="007F0955">
              <w:rPr>
                <w:rStyle w:val="Hyperlink"/>
                <w:noProof/>
              </w:rPr>
              <w:t>Sinn und Zweck der öffentlichen Beurkundung</w:t>
            </w:r>
            <w:r w:rsidR="008F6D3A">
              <w:rPr>
                <w:noProof/>
                <w:webHidden/>
              </w:rPr>
              <w:tab/>
            </w:r>
            <w:r w:rsidR="008F6D3A">
              <w:rPr>
                <w:noProof/>
                <w:webHidden/>
              </w:rPr>
              <w:fldChar w:fldCharType="begin"/>
            </w:r>
            <w:r w:rsidR="008F6D3A">
              <w:rPr>
                <w:noProof/>
                <w:webHidden/>
              </w:rPr>
              <w:instrText xml:space="preserve"> PAGEREF _Toc432175536 \h </w:instrText>
            </w:r>
            <w:r w:rsidR="008F6D3A">
              <w:rPr>
                <w:noProof/>
                <w:webHidden/>
              </w:rPr>
            </w:r>
            <w:r w:rsidR="008F6D3A">
              <w:rPr>
                <w:noProof/>
                <w:webHidden/>
              </w:rPr>
              <w:fldChar w:fldCharType="separate"/>
            </w:r>
            <w:r w:rsidR="00C4252E">
              <w:rPr>
                <w:noProof/>
                <w:webHidden/>
              </w:rPr>
              <w:t>13</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37" w:history="1">
            <w:r w:rsidR="008F6D3A" w:rsidRPr="007F0955">
              <w:rPr>
                <w:rStyle w:val="Hyperlink"/>
                <w:noProof/>
              </w:rPr>
              <w:t>F.</w:t>
            </w:r>
            <w:r w:rsidR="008F6D3A">
              <w:rPr>
                <w:rFonts w:asciiTheme="minorHAnsi" w:eastAsiaTheme="minorEastAsia" w:hAnsiTheme="minorHAnsi"/>
                <w:noProof/>
                <w:szCs w:val="22"/>
                <w:lang w:eastAsia="de-CH"/>
              </w:rPr>
              <w:tab/>
            </w:r>
            <w:r w:rsidR="008F6D3A" w:rsidRPr="007F0955">
              <w:rPr>
                <w:rStyle w:val="Hyperlink"/>
                <w:noProof/>
              </w:rPr>
              <w:t>Berufspflichten des Notars</w:t>
            </w:r>
            <w:r w:rsidR="008F6D3A">
              <w:rPr>
                <w:noProof/>
                <w:webHidden/>
              </w:rPr>
              <w:tab/>
            </w:r>
            <w:r w:rsidR="008F6D3A">
              <w:rPr>
                <w:noProof/>
                <w:webHidden/>
              </w:rPr>
              <w:fldChar w:fldCharType="begin"/>
            </w:r>
            <w:r w:rsidR="008F6D3A">
              <w:rPr>
                <w:noProof/>
                <w:webHidden/>
              </w:rPr>
              <w:instrText xml:space="preserve"> PAGEREF _Toc432175537 \h </w:instrText>
            </w:r>
            <w:r w:rsidR="008F6D3A">
              <w:rPr>
                <w:noProof/>
                <w:webHidden/>
              </w:rPr>
            </w:r>
            <w:r w:rsidR="008F6D3A">
              <w:rPr>
                <w:noProof/>
                <w:webHidden/>
              </w:rPr>
              <w:fldChar w:fldCharType="separate"/>
            </w:r>
            <w:r w:rsidR="00C4252E">
              <w:rPr>
                <w:noProof/>
                <w:webHidden/>
              </w:rPr>
              <w:t>13</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38" w:history="1">
            <w:r w:rsidR="008F6D3A" w:rsidRPr="007F0955">
              <w:rPr>
                <w:rStyle w:val="Hyperlink"/>
                <w:noProof/>
              </w:rPr>
              <w:t>G.</w:t>
            </w:r>
            <w:r w:rsidR="008F6D3A">
              <w:rPr>
                <w:rFonts w:asciiTheme="minorHAnsi" w:eastAsiaTheme="minorEastAsia" w:hAnsiTheme="minorHAnsi"/>
                <w:noProof/>
                <w:szCs w:val="22"/>
                <w:lang w:eastAsia="de-CH"/>
              </w:rPr>
              <w:tab/>
            </w:r>
            <w:r w:rsidR="008F6D3A" w:rsidRPr="007F0955">
              <w:rPr>
                <w:rStyle w:val="Hyperlink"/>
                <w:noProof/>
              </w:rPr>
              <w:t>Sachliche und örtliche Zuständigkeit des Notars</w:t>
            </w:r>
            <w:r w:rsidR="008F6D3A">
              <w:rPr>
                <w:noProof/>
                <w:webHidden/>
              </w:rPr>
              <w:tab/>
            </w:r>
            <w:r w:rsidR="008F6D3A">
              <w:rPr>
                <w:noProof/>
                <w:webHidden/>
              </w:rPr>
              <w:fldChar w:fldCharType="begin"/>
            </w:r>
            <w:r w:rsidR="008F6D3A">
              <w:rPr>
                <w:noProof/>
                <w:webHidden/>
              </w:rPr>
              <w:instrText xml:space="preserve"> PAGEREF _Toc432175538 \h </w:instrText>
            </w:r>
            <w:r w:rsidR="008F6D3A">
              <w:rPr>
                <w:noProof/>
                <w:webHidden/>
              </w:rPr>
            </w:r>
            <w:r w:rsidR="008F6D3A">
              <w:rPr>
                <w:noProof/>
                <w:webHidden/>
              </w:rPr>
              <w:fldChar w:fldCharType="separate"/>
            </w:r>
            <w:r w:rsidR="00C4252E">
              <w:rPr>
                <w:noProof/>
                <w:webHidden/>
              </w:rPr>
              <w:t>16</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39" w:history="1">
            <w:r w:rsidR="008F6D3A" w:rsidRPr="007F0955">
              <w:rPr>
                <w:rStyle w:val="Hyperlink"/>
                <w:noProof/>
              </w:rPr>
              <w:t>H.</w:t>
            </w:r>
            <w:r w:rsidR="008F6D3A">
              <w:rPr>
                <w:rFonts w:asciiTheme="minorHAnsi" w:eastAsiaTheme="minorEastAsia" w:hAnsiTheme="minorHAnsi"/>
                <w:noProof/>
                <w:szCs w:val="22"/>
                <w:lang w:eastAsia="de-CH"/>
              </w:rPr>
              <w:tab/>
            </w:r>
            <w:r w:rsidR="008F6D3A" w:rsidRPr="007F0955">
              <w:rPr>
                <w:rStyle w:val="Hyperlink"/>
                <w:noProof/>
              </w:rPr>
              <w:t>Zulässige Rechtsformen</w:t>
            </w:r>
            <w:r w:rsidR="008F6D3A">
              <w:rPr>
                <w:noProof/>
                <w:webHidden/>
              </w:rPr>
              <w:tab/>
            </w:r>
            <w:r w:rsidR="008F6D3A">
              <w:rPr>
                <w:noProof/>
                <w:webHidden/>
              </w:rPr>
              <w:fldChar w:fldCharType="begin"/>
            </w:r>
            <w:r w:rsidR="008F6D3A">
              <w:rPr>
                <w:noProof/>
                <w:webHidden/>
              </w:rPr>
              <w:instrText xml:space="preserve"> PAGEREF _Toc432175539 \h </w:instrText>
            </w:r>
            <w:r w:rsidR="008F6D3A">
              <w:rPr>
                <w:noProof/>
                <w:webHidden/>
              </w:rPr>
            </w:r>
            <w:r w:rsidR="008F6D3A">
              <w:rPr>
                <w:noProof/>
                <w:webHidden/>
              </w:rPr>
              <w:fldChar w:fldCharType="separate"/>
            </w:r>
            <w:r w:rsidR="00C4252E">
              <w:rPr>
                <w:noProof/>
                <w:webHidden/>
              </w:rPr>
              <w:t>17</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540" w:history="1">
            <w:r w:rsidR="008F6D3A" w:rsidRPr="007F0955">
              <w:rPr>
                <w:rStyle w:val="Hyperlink"/>
                <w:noProof/>
              </w:rPr>
              <w:t>II. Beurkundungsverfahren</w:t>
            </w:r>
            <w:r w:rsidR="008F6D3A">
              <w:rPr>
                <w:noProof/>
                <w:webHidden/>
              </w:rPr>
              <w:tab/>
            </w:r>
            <w:r w:rsidR="008F6D3A">
              <w:rPr>
                <w:noProof/>
                <w:webHidden/>
              </w:rPr>
              <w:fldChar w:fldCharType="begin"/>
            </w:r>
            <w:r w:rsidR="008F6D3A">
              <w:rPr>
                <w:noProof/>
                <w:webHidden/>
              </w:rPr>
              <w:instrText xml:space="preserve"> PAGEREF _Toc432175540 \h </w:instrText>
            </w:r>
            <w:r w:rsidR="008F6D3A">
              <w:rPr>
                <w:noProof/>
                <w:webHidden/>
              </w:rPr>
            </w:r>
            <w:r w:rsidR="008F6D3A">
              <w:rPr>
                <w:noProof/>
                <w:webHidden/>
              </w:rPr>
              <w:fldChar w:fldCharType="separate"/>
            </w:r>
            <w:r w:rsidR="00C4252E">
              <w:rPr>
                <w:noProof/>
                <w:webHidden/>
              </w:rPr>
              <w:t>17</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41" w:history="1">
            <w:r w:rsidR="008F6D3A" w:rsidRPr="007F0955">
              <w:rPr>
                <w:rStyle w:val="Hyperlink"/>
                <w:noProof/>
              </w:rPr>
              <w:t>A.</w:t>
            </w:r>
            <w:r w:rsidR="008F6D3A">
              <w:rPr>
                <w:rFonts w:asciiTheme="minorHAnsi" w:eastAsiaTheme="minorEastAsia" w:hAnsiTheme="minorHAnsi"/>
                <w:noProof/>
                <w:szCs w:val="22"/>
                <w:lang w:eastAsia="de-CH"/>
              </w:rPr>
              <w:tab/>
            </w:r>
            <w:r w:rsidR="008F6D3A" w:rsidRPr="007F0955">
              <w:rPr>
                <w:rStyle w:val="Hyperlink"/>
                <w:noProof/>
              </w:rPr>
              <w:t>Formvorschriften der Rechtsgeschäfte (Art. 11 ff. OR)</w:t>
            </w:r>
            <w:r w:rsidR="008F6D3A">
              <w:rPr>
                <w:noProof/>
                <w:webHidden/>
              </w:rPr>
              <w:tab/>
            </w:r>
            <w:r w:rsidR="008F6D3A">
              <w:rPr>
                <w:noProof/>
                <w:webHidden/>
              </w:rPr>
              <w:fldChar w:fldCharType="begin"/>
            </w:r>
            <w:r w:rsidR="008F6D3A">
              <w:rPr>
                <w:noProof/>
                <w:webHidden/>
              </w:rPr>
              <w:instrText xml:space="preserve"> PAGEREF _Toc432175541 \h </w:instrText>
            </w:r>
            <w:r w:rsidR="008F6D3A">
              <w:rPr>
                <w:noProof/>
                <w:webHidden/>
              </w:rPr>
            </w:r>
            <w:r w:rsidR="008F6D3A">
              <w:rPr>
                <w:noProof/>
                <w:webHidden/>
              </w:rPr>
              <w:fldChar w:fldCharType="separate"/>
            </w:r>
            <w:r w:rsidR="00C4252E">
              <w:rPr>
                <w:noProof/>
                <w:webHidden/>
              </w:rPr>
              <w:t>17</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42" w:history="1">
            <w:r w:rsidR="008F6D3A" w:rsidRPr="007F0955">
              <w:rPr>
                <w:rStyle w:val="Hyperlink"/>
                <w:noProof/>
                <w:spacing w:val="-24"/>
              </w:rPr>
              <w:t>B.</w:t>
            </w:r>
            <w:r w:rsidR="008F6D3A">
              <w:rPr>
                <w:rFonts w:asciiTheme="minorHAnsi" w:eastAsiaTheme="minorEastAsia" w:hAnsiTheme="minorHAnsi"/>
                <w:noProof/>
                <w:szCs w:val="22"/>
                <w:lang w:eastAsia="de-CH"/>
              </w:rPr>
              <w:tab/>
            </w:r>
            <w:r w:rsidR="008F6D3A" w:rsidRPr="007F0955">
              <w:rPr>
                <w:rStyle w:val="Hyperlink"/>
                <w:noProof/>
              </w:rPr>
              <w:t>Arten der Beurkundungen</w:t>
            </w:r>
            <w:r w:rsidR="008F6D3A">
              <w:rPr>
                <w:noProof/>
                <w:webHidden/>
              </w:rPr>
              <w:tab/>
            </w:r>
            <w:r w:rsidR="008F6D3A">
              <w:rPr>
                <w:noProof/>
                <w:webHidden/>
              </w:rPr>
              <w:fldChar w:fldCharType="begin"/>
            </w:r>
            <w:r w:rsidR="008F6D3A">
              <w:rPr>
                <w:noProof/>
                <w:webHidden/>
              </w:rPr>
              <w:instrText xml:space="preserve"> PAGEREF _Toc432175542 \h </w:instrText>
            </w:r>
            <w:r w:rsidR="008F6D3A">
              <w:rPr>
                <w:noProof/>
                <w:webHidden/>
              </w:rPr>
            </w:r>
            <w:r w:rsidR="008F6D3A">
              <w:rPr>
                <w:noProof/>
                <w:webHidden/>
              </w:rPr>
              <w:fldChar w:fldCharType="separate"/>
            </w:r>
            <w:r w:rsidR="00C4252E">
              <w:rPr>
                <w:noProof/>
                <w:webHidden/>
              </w:rPr>
              <w:t>18</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43" w:history="1">
            <w:r w:rsidR="008F6D3A" w:rsidRPr="007F0955">
              <w:rPr>
                <w:rStyle w:val="Hyperlink"/>
                <w:noProof/>
              </w:rPr>
              <w:t>C.</w:t>
            </w:r>
            <w:r w:rsidR="008F6D3A">
              <w:rPr>
                <w:rFonts w:asciiTheme="minorHAnsi" w:eastAsiaTheme="minorEastAsia" w:hAnsiTheme="minorHAnsi"/>
                <w:noProof/>
                <w:szCs w:val="22"/>
                <w:lang w:eastAsia="de-CH"/>
              </w:rPr>
              <w:tab/>
            </w:r>
            <w:r w:rsidR="008F6D3A" w:rsidRPr="007F0955">
              <w:rPr>
                <w:rStyle w:val="Hyperlink"/>
                <w:noProof/>
              </w:rPr>
              <w:t>Inhalt und Verarbeitung notarieller Urkunden</w:t>
            </w:r>
            <w:r w:rsidR="008F6D3A">
              <w:rPr>
                <w:noProof/>
                <w:webHidden/>
              </w:rPr>
              <w:tab/>
            </w:r>
            <w:r w:rsidR="008F6D3A">
              <w:rPr>
                <w:noProof/>
                <w:webHidden/>
              </w:rPr>
              <w:fldChar w:fldCharType="begin"/>
            </w:r>
            <w:r w:rsidR="008F6D3A">
              <w:rPr>
                <w:noProof/>
                <w:webHidden/>
              </w:rPr>
              <w:instrText xml:space="preserve"> PAGEREF _Toc432175543 \h </w:instrText>
            </w:r>
            <w:r w:rsidR="008F6D3A">
              <w:rPr>
                <w:noProof/>
                <w:webHidden/>
              </w:rPr>
            </w:r>
            <w:r w:rsidR="008F6D3A">
              <w:rPr>
                <w:noProof/>
                <w:webHidden/>
              </w:rPr>
              <w:fldChar w:fldCharType="separate"/>
            </w:r>
            <w:r w:rsidR="00C4252E">
              <w:rPr>
                <w:noProof/>
                <w:webHidden/>
              </w:rPr>
              <w:t>23</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544" w:history="1">
            <w:r w:rsidR="008F6D3A" w:rsidRPr="007F0955">
              <w:rPr>
                <w:rStyle w:val="Hyperlink"/>
                <w:noProof/>
              </w:rPr>
              <w:t>III. Rechnungswesen</w:t>
            </w:r>
            <w:r w:rsidR="008F6D3A">
              <w:rPr>
                <w:noProof/>
                <w:webHidden/>
              </w:rPr>
              <w:tab/>
            </w:r>
            <w:r w:rsidR="008F6D3A">
              <w:rPr>
                <w:noProof/>
                <w:webHidden/>
              </w:rPr>
              <w:fldChar w:fldCharType="begin"/>
            </w:r>
            <w:r w:rsidR="008F6D3A">
              <w:rPr>
                <w:noProof/>
                <w:webHidden/>
              </w:rPr>
              <w:instrText xml:space="preserve"> PAGEREF _Toc432175544 \h </w:instrText>
            </w:r>
            <w:r w:rsidR="008F6D3A">
              <w:rPr>
                <w:noProof/>
                <w:webHidden/>
              </w:rPr>
            </w:r>
            <w:r w:rsidR="008F6D3A">
              <w:rPr>
                <w:noProof/>
                <w:webHidden/>
              </w:rPr>
              <w:fldChar w:fldCharType="separate"/>
            </w:r>
            <w:r w:rsidR="00C4252E">
              <w:rPr>
                <w:noProof/>
                <w:webHidden/>
              </w:rPr>
              <w:t>28</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45" w:history="1">
            <w:r w:rsidR="008F6D3A" w:rsidRPr="007F0955">
              <w:rPr>
                <w:rStyle w:val="Hyperlink"/>
                <w:noProof/>
              </w:rPr>
              <w:t>A.</w:t>
            </w:r>
            <w:r w:rsidR="008F6D3A">
              <w:rPr>
                <w:rFonts w:asciiTheme="minorHAnsi" w:eastAsiaTheme="minorEastAsia" w:hAnsiTheme="minorHAnsi"/>
                <w:noProof/>
                <w:szCs w:val="22"/>
                <w:lang w:eastAsia="de-CH"/>
              </w:rPr>
              <w:tab/>
            </w:r>
            <w:r w:rsidR="008F6D3A" w:rsidRPr="007F0955">
              <w:rPr>
                <w:rStyle w:val="Hyperlink"/>
                <w:noProof/>
              </w:rPr>
              <w:t>Buchführung (Art. 23 – 30 NV)</w:t>
            </w:r>
            <w:r w:rsidR="008F6D3A">
              <w:rPr>
                <w:noProof/>
                <w:webHidden/>
              </w:rPr>
              <w:tab/>
            </w:r>
            <w:r w:rsidR="008F6D3A">
              <w:rPr>
                <w:noProof/>
                <w:webHidden/>
              </w:rPr>
              <w:fldChar w:fldCharType="begin"/>
            </w:r>
            <w:r w:rsidR="008F6D3A">
              <w:rPr>
                <w:noProof/>
                <w:webHidden/>
              </w:rPr>
              <w:instrText xml:space="preserve"> PAGEREF _Toc432175545 \h </w:instrText>
            </w:r>
            <w:r w:rsidR="008F6D3A">
              <w:rPr>
                <w:noProof/>
                <w:webHidden/>
              </w:rPr>
            </w:r>
            <w:r w:rsidR="008F6D3A">
              <w:rPr>
                <w:noProof/>
                <w:webHidden/>
              </w:rPr>
              <w:fldChar w:fldCharType="separate"/>
            </w:r>
            <w:r w:rsidR="00C4252E">
              <w:rPr>
                <w:noProof/>
                <w:webHidden/>
              </w:rPr>
              <w:t>28</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46" w:history="1">
            <w:r w:rsidR="008F6D3A" w:rsidRPr="007F0955">
              <w:rPr>
                <w:rStyle w:val="Hyperlink"/>
                <w:noProof/>
              </w:rPr>
              <w:t>B.</w:t>
            </w:r>
            <w:r w:rsidR="008F6D3A">
              <w:rPr>
                <w:rFonts w:asciiTheme="minorHAnsi" w:eastAsiaTheme="minorEastAsia" w:hAnsiTheme="minorHAnsi"/>
                <w:noProof/>
                <w:szCs w:val="22"/>
                <w:lang w:eastAsia="de-CH"/>
              </w:rPr>
              <w:tab/>
            </w:r>
            <w:r w:rsidR="008F6D3A" w:rsidRPr="007F0955">
              <w:rPr>
                <w:rStyle w:val="Hyperlink"/>
                <w:noProof/>
              </w:rPr>
              <w:t>Gebühren und Honorare</w:t>
            </w:r>
            <w:r w:rsidR="008F6D3A">
              <w:rPr>
                <w:noProof/>
                <w:webHidden/>
              </w:rPr>
              <w:tab/>
            </w:r>
            <w:r w:rsidR="008F6D3A">
              <w:rPr>
                <w:noProof/>
                <w:webHidden/>
              </w:rPr>
              <w:fldChar w:fldCharType="begin"/>
            </w:r>
            <w:r w:rsidR="008F6D3A">
              <w:rPr>
                <w:noProof/>
                <w:webHidden/>
              </w:rPr>
              <w:instrText xml:space="preserve"> PAGEREF _Toc432175546 \h </w:instrText>
            </w:r>
            <w:r w:rsidR="008F6D3A">
              <w:rPr>
                <w:noProof/>
                <w:webHidden/>
              </w:rPr>
            </w:r>
            <w:r w:rsidR="008F6D3A">
              <w:rPr>
                <w:noProof/>
                <w:webHidden/>
              </w:rPr>
              <w:fldChar w:fldCharType="separate"/>
            </w:r>
            <w:r w:rsidR="00C4252E">
              <w:rPr>
                <w:noProof/>
                <w:webHidden/>
              </w:rPr>
              <w:t>29</w:t>
            </w:r>
            <w:r w:rsidR="008F6D3A">
              <w:rPr>
                <w:noProof/>
                <w:webHidden/>
              </w:rPr>
              <w:fldChar w:fldCharType="end"/>
            </w:r>
          </w:hyperlink>
        </w:p>
        <w:p w:rsidR="008F6D3A" w:rsidRDefault="00C64023">
          <w:pPr>
            <w:pStyle w:val="Verzeichnis1"/>
            <w:tabs>
              <w:tab w:val="right" w:leader="dot" w:pos="9152"/>
            </w:tabs>
            <w:rPr>
              <w:rFonts w:asciiTheme="minorHAnsi" w:eastAsiaTheme="minorEastAsia" w:hAnsiTheme="minorHAnsi"/>
              <w:noProof/>
              <w:szCs w:val="22"/>
              <w:lang w:eastAsia="de-CH"/>
            </w:rPr>
          </w:pPr>
          <w:hyperlink w:anchor="_Toc432175547" w:history="1">
            <w:r w:rsidR="008F6D3A" w:rsidRPr="007F0955">
              <w:rPr>
                <w:rStyle w:val="Hyperlink"/>
                <w:noProof/>
                <w:w w:val="114"/>
              </w:rPr>
              <w:t>Personenrecht</w:t>
            </w:r>
            <w:r w:rsidR="008F6D3A">
              <w:rPr>
                <w:noProof/>
                <w:webHidden/>
              </w:rPr>
              <w:tab/>
            </w:r>
            <w:r w:rsidR="008F6D3A">
              <w:rPr>
                <w:noProof/>
                <w:webHidden/>
              </w:rPr>
              <w:fldChar w:fldCharType="begin"/>
            </w:r>
            <w:r w:rsidR="008F6D3A">
              <w:rPr>
                <w:noProof/>
                <w:webHidden/>
              </w:rPr>
              <w:instrText xml:space="preserve"> PAGEREF _Toc432175547 \h </w:instrText>
            </w:r>
            <w:r w:rsidR="008F6D3A">
              <w:rPr>
                <w:noProof/>
                <w:webHidden/>
              </w:rPr>
            </w:r>
            <w:r w:rsidR="008F6D3A">
              <w:rPr>
                <w:noProof/>
                <w:webHidden/>
              </w:rPr>
              <w:fldChar w:fldCharType="separate"/>
            </w:r>
            <w:r w:rsidR="00C4252E">
              <w:rPr>
                <w:noProof/>
                <w:webHidden/>
              </w:rPr>
              <w:t>31</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548" w:history="1">
            <w:r w:rsidR="008F6D3A" w:rsidRPr="007F0955">
              <w:rPr>
                <w:rStyle w:val="Hyperlink"/>
                <w:noProof/>
              </w:rPr>
              <w:t>I. Natürliche Personen (Menschen)</w:t>
            </w:r>
            <w:r w:rsidR="008F6D3A">
              <w:rPr>
                <w:noProof/>
                <w:webHidden/>
              </w:rPr>
              <w:tab/>
            </w:r>
            <w:r w:rsidR="008F6D3A">
              <w:rPr>
                <w:noProof/>
                <w:webHidden/>
              </w:rPr>
              <w:fldChar w:fldCharType="begin"/>
            </w:r>
            <w:r w:rsidR="008F6D3A">
              <w:rPr>
                <w:noProof/>
                <w:webHidden/>
              </w:rPr>
              <w:instrText xml:space="preserve"> PAGEREF _Toc432175548 \h </w:instrText>
            </w:r>
            <w:r w:rsidR="008F6D3A">
              <w:rPr>
                <w:noProof/>
                <w:webHidden/>
              </w:rPr>
            </w:r>
            <w:r w:rsidR="008F6D3A">
              <w:rPr>
                <w:noProof/>
                <w:webHidden/>
              </w:rPr>
              <w:fldChar w:fldCharType="separate"/>
            </w:r>
            <w:r w:rsidR="00C4252E">
              <w:rPr>
                <w:noProof/>
                <w:webHidden/>
              </w:rPr>
              <w:t>31</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49" w:history="1">
            <w:r w:rsidR="008F6D3A" w:rsidRPr="007F0955">
              <w:rPr>
                <w:rStyle w:val="Hyperlink"/>
                <w:noProof/>
              </w:rPr>
              <w:t>A.</w:t>
            </w:r>
            <w:r w:rsidR="008F6D3A">
              <w:rPr>
                <w:rFonts w:asciiTheme="minorHAnsi" w:eastAsiaTheme="minorEastAsia" w:hAnsiTheme="minorHAnsi"/>
                <w:noProof/>
                <w:szCs w:val="22"/>
                <w:lang w:eastAsia="de-CH"/>
              </w:rPr>
              <w:tab/>
            </w:r>
            <w:r w:rsidR="008F6D3A" w:rsidRPr="007F0955">
              <w:rPr>
                <w:rStyle w:val="Hyperlink"/>
                <w:noProof/>
              </w:rPr>
              <w:t>Rechtsfähigkeit und Handlungsfähigkeit natürlicher Personen</w:t>
            </w:r>
            <w:r w:rsidR="008F6D3A">
              <w:rPr>
                <w:noProof/>
                <w:webHidden/>
              </w:rPr>
              <w:tab/>
            </w:r>
            <w:r w:rsidR="008F6D3A">
              <w:rPr>
                <w:noProof/>
                <w:webHidden/>
              </w:rPr>
              <w:fldChar w:fldCharType="begin"/>
            </w:r>
            <w:r w:rsidR="008F6D3A">
              <w:rPr>
                <w:noProof/>
                <w:webHidden/>
              </w:rPr>
              <w:instrText xml:space="preserve"> PAGEREF _Toc432175549 \h </w:instrText>
            </w:r>
            <w:r w:rsidR="008F6D3A">
              <w:rPr>
                <w:noProof/>
                <w:webHidden/>
              </w:rPr>
            </w:r>
            <w:r w:rsidR="008F6D3A">
              <w:rPr>
                <w:noProof/>
                <w:webHidden/>
              </w:rPr>
              <w:fldChar w:fldCharType="separate"/>
            </w:r>
            <w:r w:rsidR="00C4252E">
              <w:rPr>
                <w:noProof/>
                <w:webHidden/>
              </w:rPr>
              <w:t>31</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50" w:history="1">
            <w:r w:rsidR="008F6D3A" w:rsidRPr="007F0955">
              <w:rPr>
                <w:rStyle w:val="Hyperlink"/>
                <w:noProof/>
                <w:spacing w:val="-24"/>
              </w:rPr>
              <w:t>B.</w:t>
            </w:r>
            <w:r w:rsidR="008F6D3A">
              <w:rPr>
                <w:rFonts w:asciiTheme="minorHAnsi" w:eastAsiaTheme="minorEastAsia" w:hAnsiTheme="minorHAnsi"/>
                <w:noProof/>
                <w:szCs w:val="22"/>
                <w:lang w:eastAsia="de-CH"/>
              </w:rPr>
              <w:tab/>
            </w:r>
            <w:r w:rsidR="008F6D3A" w:rsidRPr="007F0955">
              <w:rPr>
                <w:rStyle w:val="Hyperlink"/>
                <w:noProof/>
              </w:rPr>
              <w:t>Prüfungspflicht des Notars</w:t>
            </w:r>
            <w:r w:rsidR="008F6D3A">
              <w:rPr>
                <w:noProof/>
                <w:webHidden/>
              </w:rPr>
              <w:tab/>
            </w:r>
            <w:r w:rsidR="008F6D3A">
              <w:rPr>
                <w:noProof/>
                <w:webHidden/>
              </w:rPr>
              <w:fldChar w:fldCharType="begin"/>
            </w:r>
            <w:r w:rsidR="008F6D3A">
              <w:rPr>
                <w:noProof/>
                <w:webHidden/>
              </w:rPr>
              <w:instrText xml:space="preserve"> PAGEREF _Toc432175550 \h </w:instrText>
            </w:r>
            <w:r w:rsidR="008F6D3A">
              <w:rPr>
                <w:noProof/>
                <w:webHidden/>
              </w:rPr>
            </w:r>
            <w:r w:rsidR="008F6D3A">
              <w:rPr>
                <w:noProof/>
                <w:webHidden/>
              </w:rPr>
              <w:fldChar w:fldCharType="separate"/>
            </w:r>
            <w:r w:rsidR="00C4252E">
              <w:rPr>
                <w:noProof/>
                <w:webHidden/>
              </w:rPr>
              <w:t>32</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51" w:history="1">
            <w:r w:rsidR="008F6D3A" w:rsidRPr="007F0955">
              <w:rPr>
                <w:rStyle w:val="Hyperlink"/>
                <w:noProof/>
                <w:spacing w:val="-19"/>
              </w:rPr>
              <w:t>C.</w:t>
            </w:r>
            <w:r w:rsidR="008F6D3A">
              <w:rPr>
                <w:rFonts w:asciiTheme="minorHAnsi" w:eastAsiaTheme="minorEastAsia" w:hAnsiTheme="minorHAnsi"/>
                <w:noProof/>
                <w:szCs w:val="22"/>
                <w:lang w:eastAsia="de-CH"/>
              </w:rPr>
              <w:tab/>
            </w:r>
            <w:r w:rsidR="008F6D3A" w:rsidRPr="007F0955">
              <w:rPr>
                <w:rStyle w:val="Hyperlink"/>
                <w:noProof/>
              </w:rPr>
              <w:t>Zivilstandswesen (Art. 39 ff ZGB, Zivilstandsverordnung)</w:t>
            </w:r>
            <w:r w:rsidR="008F6D3A">
              <w:rPr>
                <w:noProof/>
                <w:webHidden/>
              </w:rPr>
              <w:tab/>
            </w:r>
            <w:r w:rsidR="008F6D3A">
              <w:rPr>
                <w:noProof/>
                <w:webHidden/>
              </w:rPr>
              <w:fldChar w:fldCharType="begin"/>
            </w:r>
            <w:r w:rsidR="008F6D3A">
              <w:rPr>
                <w:noProof/>
                <w:webHidden/>
              </w:rPr>
              <w:instrText xml:space="preserve"> PAGEREF _Toc432175551 \h </w:instrText>
            </w:r>
            <w:r w:rsidR="008F6D3A">
              <w:rPr>
                <w:noProof/>
                <w:webHidden/>
              </w:rPr>
            </w:r>
            <w:r w:rsidR="008F6D3A">
              <w:rPr>
                <w:noProof/>
                <w:webHidden/>
              </w:rPr>
              <w:fldChar w:fldCharType="separate"/>
            </w:r>
            <w:r w:rsidR="00C4252E">
              <w:rPr>
                <w:noProof/>
                <w:webHidden/>
              </w:rPr>
              <w:t>32</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552" w:history="1">
            <w:r w:rsidR="008F6D3A" w:rsidRPr="007F0955">
              <w:rPr>
                <w:rStyle w:val="Hyperlink"/>
                <w:noProof/>
              </w:rPr>
              <w:t>II. Juristische Personen und Handelsregister</w:t>
            </w:r>
            <w:r w:rsidR="008F6D3A">
              <w:rPr>
                <w:noProof/>
                <w:webHidden/>
              </w:rPr>
              <w:tab/>
            </w:r>
            <w:r w:rsidR="008F6D3A">
              <w:rPr>
                <w:noProof/>
                <w:webHidden/>
              </w:rPr>
              <w:fldChar w:fldCharType="begin"/>
            </w:r>
            <w:r w:rsidR="008F6D3A">
              <w:rPr>
                <w:noProof/>
                <w:webHidden/>
              </w:rPr>
              <w:instrText xml:space="preserve"> PAGEREF _Toc432175552 \h </w:instrText>
            </w:r>
            <w:r w:rsidR="008F6D3A">
              <w:rPr>
                <w:noProof/>
                <w:webHidden/>
              </w:rPr>
            </w:r>
            <w:r w:rsidR="008F6D3A">
              <w:rPr>
                <w:noProof/>
                <w:webHidden/>
              </w:rPr>
              <w:fldChar w:fldCharType="separate"/>
            </w:r>
            <w:r w:rsidR="00C4252E">
              <w:rPr>
                <w:noProof/>
                <w:webHidden/>
              </w:rPr>
              <w:t>33</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53" w:history="1">
            <w:r w:rsidR="008F6D3A" w:rsidRPr="007F0955">
              <w:rPr>
                <w:rStyle w:val="Hyperlink"/>
                <w:noProof/>
              </w:rPr>
              <w:t>A.</w:t>
            </w:r>
            <w:r w:rsidR="008F6D3A">
              <w:rPr>
                <w:rFonts w:asciiTheme="minorHAnsi" w:eastAsiaTheme="minorEastAsia" w:hAnsiTheme="minorHAnsi"/>
                <w:noProof/>
                <w:szCs w:val="22"/>
                <w:lang w:eastAsia="de-CH"/>
              </w:rPr>
              <w:tab/>
            </w:r>
            <w:r w:rsidR="008F6D3A" w:rsidRPr="007F0955">
              <w:rPr>
                <w:rStyle w:val="Hyperlink"/>
                <w:noProof/>
              </w:rPr>
              <w:t>Juristische Personen</w:t>
            </w:r>
            <w:r w:rsidR="008F6D3A">
              <w:rPr>
                <w:noProof/>
                <w:webHidden/>
              </w:rPr>
              <w:tab/>
            </w:r>
            <w:r w:rsidR="008F6D3A">
              <w:rPr>
                <w:noProof/>
                <w:webHidden/>
              </w:rPr>
              <w:fldChar w:fldCharType="begin"/>
            </w:r>
            <w:r w:rsidR="008F6D3A">
              <w:rPr>
                <w:noProof/>
                <w:webHidden/>
              </w:rPr>
              <w:instrText xml:space="preserve"> PAGEREF _Toc432175553 \h </w:instrText>
            </w:r>
            <w:r w:rsidR="008F6D3A">
              <w:rPr>
                <w:noProof/>
                <w:webHidden/>
              </w:rPr>
            </w:r>
            <w:r w:rsidR="008F6D3A">
              <w:rPr>
                <w:noProof/>
                <w:webHidden/>
              </w:rPr>
              <w:fldChar w:fldCharType="separate"/>
            </w:r>
            <w:r w:rsidR="00C4252E">
              <w:rPr>
                <w:noProof/>
                <w:webHidden/>
              </w:rPr>
              <w:t>33</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54" w:history="1">
            <w:r w:rsidR="008F6D3A" w:rsidRPr="007F0955">
              <w:rPr>
                <w:rStyle w:val="Hyperlink"/>
                <w:noProof/>
              </w:rPr>
              <w:t>B.</w:t>
            </w:r>
            <w:r w:rsidR="008F6D3A">
              <w:rPr>
                <w:rFonts w:asciiTheme="minorHAnsi" w:eastAsiaTheme="minorEastAsia" w:hAnsiTheme="minorHAnsi"/>
                <w:noProof/>
                <w:szCs w:val="22"/>
                <w:lang w:eastAsia="de-CH"/>
              </w:rPr>
              <w:tab/>
            </w:r>
            <w:r w:rsidR="008F6D3A" w:rsidRPr="007F0955">
              <w:rPr>
                <w:rStyle w:val="Hyperlink"/>
                <w:noProof/>
              </w:rPr>
              <w:t>Handelsregister</w:t>
            </w:r>
            <w:r w:rsidR="008F6D3A">
              <w:rPr>
                <w:noProof/>
                <w:webHidden/>
              </w:rPr>
              <w:tab/>
            </w:r>
            <w:r w:rsidR="008F6D3A">
              <w:rPr>
                <w:noProof/>
                <w:webHidden/>
              </w:rPr>
              <w:fldChar w:fldCharType="begin"/>
            </w:r>
            <w:r w:rsidR="008F6D3A">
              <w:rPr>
                <w:noProof/>
                <w:webHidden/>
              </w:rPr>
              <w:instrText xml:space="preserve"> PAGEREF _Toc432175554 \h </w:instrText>
            </w:r>
            <w:r w:rsidR="008F6D3A">
              <w:rPr>
                <w:noProof/>
                <w:webHidden/>
              </w:rPr>
            </w:r>
            <w:r w:rsidR="008F6D3A">
              <w:rPr>
                <w:noProof/>
                <w:webHidden/>
              </w:rPr>
              <w:fldChar w:fldCharType="separate"/>
            </w:r>
            <w:r w:rsidR="00C4252E">
              <w:rPr>
                <w:noProof/>
                <w:webHidden/>
              </w:rPr>
              <w:t>35</w:t>
            </w:r>
            <w:r w:rsidR="008F6D3A">
              <w:rPr>
                <w:noProof/>
                <w:webHidden/>
              </w:rPr>
              <w:fldChar w:fldCharType="end"/>
            </w:r>
          </w:hyperlink>
        </w:p>
        <w:p w:rsidR="008F6D3A" w:rsidRDefault="00C64023">
          <w:pPr>
            <w:pStyle w:val="Verzeichnis1"/>
            <w:tabs>
              <w:tab w:val="right" w:leader="dot" w:pos="9152"/>
            </w:tabs>
            <w:rPr>
              <w:rFonts w:asciiTheme="minorHAnsi" w:eastAsiaTheme="minorEastAsia" w:hAnsiTheme="minorHAnsi"/>
              <w:noProof/>
              <w:szCs w:val="22"/>
              <w:lang w:eastAsia="de-CH"/>
            </w:rPr>
          </w:pPr>
          <w:hyperlink w:anchor="_Toc432175555" w:history="1">
            <w:r w:rsidR="008F6D3A" w:rsidRPr="007F0955">
              <w:rPr>
                <w:rStyle w:val="Hyperlink"/>
                <w:noProof/>
                <w:w w:val="114"/>
              </w:rPr>
              <w:t>Familienrecht</w:t>
            </w:r>
            <w:r w:rsidR="008F6D3A">
              <w:rPr>
                <w:noProof/>
                <w:webHidden/>
              </w:rPr>
              <w:tab/>
            </w:r>
            <w:r w:rsidR="008F6D3A">
              <w:rPr>
                <w:noProof/>
                <w:webHidden/>
              </w:rPr>
              <w:fldChar w:fldCharType="begin"/>
            </w:r>
            <w:r w:rsidR="008F6D3A">
              <w:rPr>
                <w:noProof/>
                <w:webHidden/>
              </w:rPr>
              <w:instrText xml:space="preserve"> PAGEREF _Toc432175555 \h </w:instrText>
            </w:r>
            <w:r w:rsidR="008F6D3A">
              <w:rPr>
                <w:noProof/>
                <w:webHidden/>
              </w:rPr>
            </w:r>
            <w:r w:rsidR="008F6D3A">
              <w:rPr>
                <w:noProof/>
                <w:webHidden/>
              </w:rPr>
              <w:fldChar w:fldCharType="separate"/>
            </w:r>
            <w:r w:rsidR="00C4252E">
              <w:rPr>
                <w:noProof/>
                <w:webHidden/>
              </w:rPr>
              <w:t>37</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556" w:history="1">
            <w:r w:rsidR="008F6D3A" w:rsidRPr="007F0955">
              <w:rPr>
                <w:rStyle w:val="Hyperlink"/>
                <w:noProof/>
              </w:rPr>
              <w:t>I. Einleitung</w:t>
            </w:r>
            <w:r w:rsidR="008F6D3A">
              <w:rPr>
                <w:noProof/>
                <w:webHidden/>
              </w:rPr>
              <w:tab/>
            </w:r>
            <w:r w:rsidR="008F6D3A">
              <w:rPr>
                <w:noProof/>
                <w:webHidden/>
              </w:rPr>
              <w:fldChar w:fldCharType="begin"/>
            </w:r>
            <w:r w:rsidR="008F6D3A">
              <w:rPr>
                <w:noProof/>
                <w:webHidden/>
              </w:rPr>
              <w:instrText xml:space="preserve"> PAGEREF _Toc432175556 \h </w:instrText>
            </w:r>
            <w:r w:rsidR="008F6D3A">
              <w:rPr>
                <w:noProof/>
                <w:webHidden/>
              </w:rPr>
            </w:r>
            <w:r w:rsidR="008F6D3A">
              <w:rPr>
                <w:noProof/>
                <w:webHidden/>
              </w:rPr>
              <w:fldChar w:fldCharType="separate"/>
            </w:r>
            <w:r w:rsidR="00C4252E">
              <w:rPr>
                <w:noProof/>
                <w:webHidden/>
              </w:rPr>
              <w:t>37</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57" w:history="1">
            <w:r w:rsidR="008F6D3A" w:rsidRPr="007F0955">
              <w:rPr>
                <w:rStyle w:val="Hyperlink"/>
                <w:noProof/>
              </w:rPr>
              <w:t>A.</w:t>
            </w:r>
            <w:r w:rsidR="008F6D3A">
              <w:rPr>
                <w:rFonts w:asciiTheme="minorHAnsi" w:eastAsiaTheme="minorEastAsia" w:hAnsiTheme="minorHAnsi"/>
                <w:noProof/>
                <w:szCs w:val="22"/>
                <w:lang w:eastAsia="de-CH"/>
              </w:rPr>
              <w:tab/>
            </w:r>
            <w:r w:rsidR="008F6D3A" w:rsidRPr="007F0955">
              <w:rPr>
                <w:rStyle w:val="Hyperlink"/>
                <w:noProof/>
              </w:rPr>
              <w:t>Familienrecht im Allgemeinen</w:t>
            </w:r>
            <w:r w:rsidR="008F6D3A">
              <w:rPr>
                <w:noProof/>
                <w:webHidden/>
              </w:rPr>
              <w:tab/>
            </w:r>
            <w:r w:rsidR="008F6D3A">
              <w:rPr>
                <w:noProof/>
                <w:webHidden/>
              </w:rPr>
              <w:fldChar w:fldCharType="begin"/>
            </w:r>
            <w:r w:rsidR="008F6D3A">
              <w:rPr>
                <w:noProof/>
                <w:webHidden/>
              </w:rPr>
              <w:instrText xml:space="preserve"> PAGEREF _Toc432175557 \h </w:instrText>
            </w:r>
            <w:r w:rsidR="008F6D3A">
              <w:rPr>
                <w:noProof/>
                <w:webHidden/>
              </w:rPr>
            </w:r>
            <w:r w:rsidR="008F6D3A">
              <w:rPr>
                <w:noProof/>
                <w:webHidden/>
              </w:rPr>
              <w:fldChar w:fldCharType="separate"/>
            </w:r>
            <w:r w:rsidR="00C4252E">
              <w:rPr>
                <w:noProof/>
                <w:webHidden/>
              </w:rPr>
              <w:t>37</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58" w:history="1">
            <w:r w:rsidR="008F6D3A" w:rsidRPr="007F0955">
              <w:rPr>
                <w:rStyle w:val="Hyperlink"/>
                <w:noProof/>
                <w:spacing w:val="-22"/>
              </w:rPr>
              <w:t>B.</w:t>
            </w:r>
            <w:r w:rsidR="008F6D3A">
              <w:rPr>
                <w:rFonts w:asciiTheme="minorHAnsi" w:eastAsiaTheme="minorEastAsia" w:hAnsiTheme="minorHAnsi"/>
                <w:noProof/>
                <w:szCs w:val="22"/>
                <w:lang w:eastAsia="de-CH"/>
              </w:rPr>
              <w:tab/>
            </w:r>
            <w:r w:rsidR="008F6D3A" w:rsidRPr="007F0955">
              <w:rPr>
                <w:rStyle w:val="Hyperlink"/>
                <w:noProof/>
              </w:rPr>
              <w:t>Unterschiede zwischen Familien- bzw. Güterrecht und Erbrecht</w:t>
            </w:r>
            <w:r w:rsidR="008F6D3A">
              <w:rPr>
                <w:noProof/>
                <w:webHidden/>
              </w:rPr>
              <w:tab/>
            </w:r>
            <w:r w:rsidR="008F6D3A">
              <w:rPr>
                <w:noProof/>
                <w:webHidden/>
              </w:rPr>
              <w:fldChar w:fldCharType="begin"/>
            </w:r>
            <w:r w:rsidR="008F6D3A">
              <w:rPr>
                <w:noProof/>
                <w:webHidden/>
              </w:rPr>
              <w:instrText xml:space="preserve"> PAGEREF _Toc432175558 \h </w:instrText>
            </w:r>
            <w:r w:rsidR="008F6D3A">
              <w:rPr>
                <w:noProof/>
                <w:webHidden/>
              </w:rPr>
            </w:r>
            <w:r w:rsidR="008F6D3A">
              <w:rPr>
                <w:noProof/>
                <w:webHidden/>
              </w:rPr>
              <w:fldChar w:fldCharType="separate"/>
            </w:r>
            <w:r w:rsidR="00C4252E">
              <w:rPr>
                <w:noProof/>
                <w:webHidden/>
              </w:rPr>
              <w:t>38</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59" w:history="1">
            <w:r w:rsidR="008F6D3A" w:rsidRPr="007F0955">
              <w:rPr>
                <w:rStyle w:val="Hyperlink"/>
                <w:noProof/>
                <w:spacing w:val="-19"/>
              </w:rPr>
              <w:t>C.</w:t>
            </w:r>
            <w:r w:rsidR="008F6D3A">
              <w:rPr>
                <w:rFonts w:asciiTheme="minorHAnsi" w:eastAsiaTheme="minorEastAsia" w:hAnsiTheme="minorHAnsi"/>
                <w:noProof/>
                <w:szCs w:val="22"/>
                <w:lang w:eastAsia="de-CH"/>
              </w:rPr>
              <w:tab/>
            </w:r>
            <w:r w:rsidR="008F6D3A" w:rsidRPr="007F0955">
              <w:rPr>
                <w:rStyle w:val="Hyperlink"/>
                <w:noProof/>
              </w:rPr>
              <w:t>Eheschliessung und Wirkung der Ehe</w:t>
            </w:r>
            <w:r w:rsidR="008F6D3A">
              <w:rPr>
                <w:noProof/>
                <w:webHidden/>
              </w:rPr>
              <w:tab/>
            </w:r>
            <w:r w:rsidR="008F6D3A">
              <w:rPr>
                <w:noProof/>
                <w:webHidden/>
              </w:rPr>
              <w:fldChar w:fldCharType="begin"/>
            </w:r>
            <w:r w:rsidR="008F6D3A">
              <w:rPr>
                <w:noProof/>
                <w:webHidden/>
              </w:rPr>
              <w:instrText xml:space="preserve"> PAGEREF _Toc432175559 \h </w:instrText>
            </w:r>
            <w:r w:rsidR="008F6D3A">
              <w:rPr>
                <w:noProof/>
                <w:webHidden/>
              </w:rPr>
            </w:r>
            <w:r w:rsidR="008F6D3A">
              <w:rPr>
                <w:noProof/>
                <w:webHidden/>
              </w:rPr>
              <w:fldChar w:fldCharType="separate"/>
            </w:r>
            <w:r w:rsidR="00C4252E">
              <w:rPr>
                <w:noProof/>
                <w:webHidden/>
              </w:rPr>
              <w:t>38</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60" w:history="1">
            <w:r w:rsidR="008F6D3A" w:rsidRPr="007F0955">
              <w:rPr>
                <w:rStyle w:val="Hyperlink"/>
                <w:noProof/>
                <w:spacing w:val="-17"/>
              </w:rPr>
              <w:t>D.</w:t>
            </w:r>
            <w:r w:rsidR="008F6D3A">
              <w:rPr>
                <w:rFonts w:asciiTheme="minorHAnsi" w:eastAsiaTheme="minorEastAsia" w:hAnsiTheme="minorHAnsi"/>
                <w:noProof/>
                <w:szCs w:val="22"/>
                <w:lang w:eastAsia="de-CH"/>
              </w:rPr>
              <w:tab/>
            </w:r>
            <w:r w:rsidR="008F6D3A" w:rsidRPr="007F0955">
              <w:rPr>
                <w:rStyle w:val="Hyperlink"/>
                <w:noProof/>
              </w:rPr>
              <w:t>Eheverträge</w:t>
            </w:r>
            <w:r w:rsidR="008F6D3A">
              <w:rPr>
                <w:noProof/>
                <w:webHidden/>
              </w:rPr>
              <w:tab/>
            </w:r>
            <w:r w:rsidR="008F6D3A">
              <w:rPr>
                <w:noProof/>
                <w:webHidden/>
              </w:rPr>
              <w:fldChar w:fldCharType="begin"/>
            </w:r>
            <w:r w:rsidR="008F6D3A">
              <w:rPr>
                <w:noProof/>
                <w:webHidden/>
              </w:rPr>
              <w:instrText xml:space="preserve"> PAGEREF _Toc432175560 \h </w:instrText>
            </w:r>
            <w:r w:rsidR="008F6D3A">
              <w:rPr>
                <w:noProof/>
                <w:webHidden/>
              </w:rPr>
            </w:r>
            <w:r w:rsidR="008F6D3A">
              <w:rPr>
                <w:noProof/>
                <w:webHidden/>
              </w:rPr>
              <w:fldChar w:fldCharType="separate"/>
            </w:r>
            <w:r w:rsidR="00C4252E">
              <w:rPr>
                <w:noProof/>
                <w:webHidden/>
              </w:rPr>
              <w:t>40</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561" w:history="1">
            <w:r w:rsidR="008F6D3A" w:rsidRPr="007F0955">
              <w:rPr>
                <w:rStyle w:val="Hyperlink"/>
                <w:noProof/>
              </w:rPr>
              <w:t>II. Güterrecht</w:t>
            </w:r>
            <w:r w:rsidR="008F6D3A">
              <w:rPr>
                <w:noProof/>
                <w:webHidden/>
              </w:rPr>
              <w:tab/>
            </w:r>
            <w:r w:rsidR="008F6D3A">
              <w:rPr>
                <w:noProof/>
                <w:webHidden/>
              </w:rPr>
              <w:fldChar w:fldCharType="begin"/>
            </w:r>
            <w:r w:rsidR="008F6D3A">
              <w:rPr>
                <w:noProof/>
                <w:webHidden/>
              </w:rPr>
              <w:instrText xml:space="preserve"> PAGEREF _Toc432175561 \h </w:instrText>
            </w:r>
            <w:r w:rsidR="008F6D3A">
              <w:rPr>
                <w:noProof/>
                <w:webHidden/>
              </w:rPr>
            </w:r>
            <w:r w:rsidR="008F6D3A">
              <w:rPr>
                <w:noProof/>
                <w:webHidden/>
              </w:rPr>
              <w:fldChar w:fldCharType="separate"/>
            </w:r>
            <w:r w:rsidR="00C4252E">
              <w:rPr>
                <w:noProof/>
                <w:webHidden/>
              </w:rPr>
              <w:t>41</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62" w:history="1">
            <w:r w:rsidR="008F6D3A" w:rsidRPr="007F0955">
              <w:rPr>
                <w:rStyle w:val="Hyperlink"/>
                <w:noProof/>
              </w:rPr>
              <w:t>A.</w:t>
            </w:r>
            <w:r w:rsidR="008F6D3A">
              <w:rPr>
                <w:rFonts w:asciiTheme="minorHAnsi" w:eastAsiaTheme="minorEastAsia" w:hAnsiTheme="minorHAnsi"/>
                <w:noProof/>
                <w:szCs w:val="22"/>
                <w:lang w:eastAsia="de-CH"/>
              </w:rPr>
              <w:tab/>
            </w:r>
            <w:r w:rsidR="008F6D3A" w:rsidRPr="007F0955">
              <w:rPr>
                <w:rStyle w:val="Hyperlink"/>
                <w:noProof/>
              </w:rPr>
              <w:t>Allgemeine Vorschriften (Art. 181 – 195a ZGB)</w:t>
            </w:r>
            <w:r w:rsidR="008F6D3A">
              <w:rPr>
                <w:noProof/>
                <w:webHidden/>
              </w:rPr>
              <w:tab/>
            </w:r>
            <w:r w:rsidR="008F6D3A">
              <w:rPr>
                <w:noProof/>
                <w:webHidden/>
              </w:rPr>
              <w:fldChar w:fldCharType="begin"/>
            </w:r>
            <w:r w:rsidR="008F6D3A">
              <w:rPr>
                <w:noProof/>
                <w:webHidden/>
              </w:rPr>
              <w:instrText xml:space="preserve"> PAGEREF _Toc432175562 \h </w:instrText>
            </w:r>
            <w:r w:rsidR="008F6D3A">
              <w:rPr>
                <w:noProof/>
                <w:webHidden/>
              </w:rPr>
            </w:r>
            <w:r w:rsidR="008F6D3A">
              <w:rPr>
                <w:noProof/>
                <w:webHidden/>
              </w:rPr>
              <w:fldChar w:fldCharType="separate"/>
            </w:r>
            <w:r w:rsidR="00C4252E">
              <w:rPr>
                <w:noProof/>
                <w:webHidden/>
              </w:rPr>
              <w:t>41</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63" w:history="1">
            <w:r w:rsidR="008F6D3A" w:rsidRPr="007F0955">
              <w:rPr>
                <w:rStyle w:val="Hyperlink"/>
                <w:noProof/>
              </w:rPr>
              <w:t>B.</w:t>
            </w:r>
            <w:r w:rsidR="008F6D3A">
              <w:rPr>
                <w:rFonts w:asciiTheme="minorHAnsi" w:eastAsiaTheme="minorEastAsia" w:hAnsiTheme="minorHAnsi"/>
                <w:noProof/>
                <w:szCs w:val="22"/>
                <w:lang w:eastAsia="de-CH"/>
              </w:rPr>
              <w:tab/>
            </w:r>
            <w:r w:rsidR="008F6D3A" w:rsidRPr="007F0955">
              <w:rPr>
                <w:rStyle w:val="Hyperlink"/>
                <w:noProof/>
              </w:rPr>
              <w:t>Errungenschaftsbeteiligung (Art. 196 – 220 ZGB)</w:t>
            </w:r>
            <w:r w:rsidR="008F6D3A">
              <w:rPr>
                <w:noProof/>
                <w:webHidden/>
              </w:rPr>
              <w:tab/>
            </w:r>
            <w:r w:rsidR="008F6D3A">
              <w:rPr>
                <w:noProof/>
                <w:webHidden/>
              </w:rPr>
              <w:fldChar w:fldCharType="begin"/>
            </w:r>
            <w:r w:rsidR="008F6D3A">
              <w:rPr>
                <w:noProof/>
                <w:webHidden/>
              </w:rPr>
              <w:instrText xml:space="preserve"> PAGEREF _Toc432175563 \h </w:instrText>
            </w:r>
            <w:r w:rsidR="008F6D3A">
              <w:rPr>
                <w:noProof/>
                <w:webHidden/>
              </w:rPr>
            </w:r>
            <w:r w:rsidR="008F6D3A">
              <w:rPr>
                <w:noProof/>
                <w:webHidden/>
              </w:rPr>
              <w:fldChar w:fldCharType="separate"/>
            </w:r>
            <w:r w:rsidR="00C4252E">
              <w:rPr>
                <w:noProof/>
                <w:webHidden/>
              </w:rPr>
              <w:t>42</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64" w:history="1">
            <w:r w:rsidR="008F6D3A" w:rsidRPr="007F0955">
              <w:rPr>
                <w:rStyle w:val="Hyperlink"/>
                <w:noProof/>
                <w:spacing w:val="-19"/>
              </w:rPr>
              <w:t>C.</w:t>
            </w:r>
            <w:r w:rsidR="008F6D3A">
              <w:rPr>
                <w:rFonts w:asciiTheme="minorHAnsi" w:eastAsiaTheme="minorEastAsia" w:hAnsiTheme="minorHAnsi"/>
                <w:noProof/>
                <w:szCs w:val="22"/>
                <w:lang w:eastAsia="de-CH"/>
              </w:rPr>
              <w:tab/>
            </w:r>
            <w:r w:rsidR="008F6D3A" w:rsidRPr="007F0955">
              <w:rPr>
                <w:rStyle w:val="Hyperlink"/>
                <w:noProof/>
              </w:rPr>
              <w:t>Gütergemeinschaft (Art. 221 – 246 ZGB)</w:t>
            </w:r>
            <w:r w:rsidR="008F6D3A">
              <w:rPr>
                <w:noProof/>
                <w:webHidden/>
              </w:rPr>
              <w:tab/>
            </w:r>
            <w:r w:rsidR="008F6D3A">
              <w:rPr>
                <w:noProof/>
                <w:webHidden/>
              </w:rPr>
              <w:fldChar w:fldCharType="begin"/>
            </w:r>
            <w:r w:rsidR="008F6D3A">
              <w:rPr>
                <w:noProof/>
                <w:webHidden/>
              </w:rPr>
              <w:instrText xml:space="preserve"> PAGEREF _Toc432175564 \h </w:instrText>
            </w:r>
            <w:r w:rsidR="008F6D3A">
              <w:rPr>
                <w:noProof/>
                <w:webHidden/>
              </w:rPr>
            </w:r>
            <w:r w:rsidR="008F6D3A">
              <w:rPr>
                <w:noProof/>
                <w:webHidden/>
              </w:rPr>
              <w:fldChar w:fldCharType="separate"/>
            </w:r>
            <w:r w:rsidR="00C4252E">
              <w:rPr>
                <w:noProof/>
                <w:webHidden/>
              </w:rPr>
              <w:t>47</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65" w:history="1">
            <w:r w:rsidR="008F6D3A" w:rsidRPr="007F0955">
              <w:rPr>
                <w:rStyle w:val="Hyperlink"/>
                <w:noProof/>
                <w:spacing w:val="-17"/>
              </w:rPr>
              <w:t>D.</w:t>
            </w:r>
            <w:r w:rsidR="008F6D3A">
              <w:rPr>
                <w:rFonts w:asciiTheme="minorHAnsi" w:eastAsiaTheme="minorEastAsia" w:hAnsiTheme="minorHAnsi"/>
                <w:noProof/>
                <w:szCs w:val="22"/>
                <w:lang w:eastAsia="de-CH"/>
              </w:rPr>
              <w:tab/>
            </w:r>
            <w:r w:rsidR="008F6D3A" w:rsidRPr="007F0955">
              <w:rPr>
                <w:rStyle w:val="Hyperlink"/>
                <w:noProof/>
              </w:rPr>
              <w:t>Gütertrennung (Art. 247 – 251 ZGB)</w:t>
            </w:r>
            <w:r w:rsidR="008F6D3A">
              <w:rPr>
                <w:noProof/>
                <w:webHidden/>
              </w:rPr>
              <w:tab/>
            </w:r>
            <w:r w:rsidR="008F6D3A">
              <w:rPr>
                <w:noProof/>
                <w:webHidden/>
              </w:rPr>
              <w:fldChar w:fldCharType="begin"/>
            </w:r>
            <w:r w:rsidR="008F6D3A">
              <w:rPr>
                <w:noProof/>
                <w:webHidden/>
              </w:rPr>
              <w:instrText xml:space="preserve"> PAGEREF _Toc432175565 \h </w:instrText>
            </w:r>
            <w:r w:rsidR="008F6D3A">
              <w:rPr>
                <w:noProof/>
                <w:webHidden/>
              </w:rPr>
            </w:r>
            <w:r w:rsidR="008F6D3A">
              <w:rPr>
                <w:noProof/>
                <w:webHidden/>
              </w:rPr>
              <w:fldChar w:fldCharType="separate"/>
            </w:r>
            <w:r w:rsidR="00C4252E">
              <w:rPr>
                <w:noProof/>
                <w:webHidden/>
              </w:rPr>
              <w:t>49</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66" w:history="1">
            <w:r w:rsidR="008F6D3A" w:rsidRPr="007F0955">
              <w:rPr>
                <w:rStyle w:val="Hyperlink"/>
                <w:noProof/>
              </w:rPr>
              <w:t>E.</w:t>
            </w:r>
            <w:r w:rsidR="008F6D3A">
              <w:rPr>
                <w:rFonts w:asciiTheme="minorHAnsi" w:eastAsiaTheme="minorEastAsia" w:hAnsiTheme="minorHAnsi"/>
                <w:noProof/>
                <w:szCs w:val="22"/>
                <w:lang w:eastAsia="de-CH"/>
              </w:rPr>
              <w:tab/>
            </w:r>
            <w:r w:rsidR="008F6D3A" w:rsidRPr="007F0955">
              <w:rPr>
                <w:rStyle w:val="Hyperlink"/>
                <w:noProof/>
              </w:rPr>
              <w:t>Zusammenfassung der drei Güterstände:</w:t>
            </w:r>
            <w:r w:rsidR="008F6D3A">
              <w:rPr>
                <w:noProof/>
                <w:webHidden/>
              </w:rPr>
              <w:tab/>
            </w:r>
            <w:r w:rsidR="008F6D3A">
              <w:rPr>
                <w:noProof/>
                <w:webHidden/>
              </w:rPr>
              <w:fldChar w:fldCharType="begin"/>
            </w:r>
            <w:r w:rsidR="008F6D3A">
              <w:rPr>
                <w:noProof/>
                <w:webHidden/>
              </w:rPr>
              <w:instrText xml:space="preserve"> PAGEREF _Toc432175566 \h </w:instrText>
            </w:r>
            <w:r w:rsidR="008F6D3A">
              <w:rPr>
                <w:noProof/>
                <w:webHidden/>
              </w:rPr>
            </w:r>
            <w:r w:rsidR="008F6D3A">
              <w:rPr>
                <w:noProof/>
                <w:webHidden/>
              </w:rPr>
              <w:fldChar w:fldCharType="separate"/>
            </w:r>
            <w:r w:rsidR="00C4252E">
              <w:rPr>
                <w:noProof/>
                <w:webHidden/>
              </w:rPr>
              <w:t>50</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67" w:history="1">
            <w:r w:rsidR="008F6D3A" w:rsidRPr="007F0955">
              <w:rPr>
                <w:rStyle w:val="Hyperlink"/>
                <w:noProof/>
                <w:spacing w:val="-17"/>
              </w:rPr>
              <w:t>F.</w:t>
            </w:r>
            <w:r w:rsidR="008F6D3A">
              <w:rPr>
                <w:rFonts w:asciiTheme="minorHAnsi" w:eastAsiaTheme="minorEastAsia" w:hAnsiTheme="minorHAnsi"/>
                <w:noProof/>
                <w:szCs w:val="22"/>
                <w:lang w:eastAsia="de-CH"/>
              </w:rPr>
              <w:tab/>
            </w:r>
            <w:r w:rsidR="008F6D3A" w:rsidRPr="007F0955">
              <w:rPr>
                <w:rStyle w:val="Hyperlink"/>
                <w:noProof/>
              </w:rPr>
              <w:t>Wirkungen des Güterstandes auf grundbuchliche Verfügungen</w:t>
            </w:r>
            <w:r w:rsidR="008F6D3A">
              <w:rPr>
                <w:noProof/>
                <w:webHidden/>
              </w:rPr>
              <w:tab/>
            </w:r>
            <w:r w:rsidR="008F6D3A">
              <w:rPr>
                <w:noProof/>
                <w:webHidden/>
              </w:rPr>
              <w:fldChar w:fldCharType="begin"/>
            </w:r>
            <w:r w:rsidR="008F6D3A">
              <w:rPr>
                <w:noProof/>
                <w:webHidden/>
              </w:rPr>
              <w:instrText xml:space="preserve"> PAGEREF _Toc432175567 \h </w:instrText>
            </w:r>
            <w:r w:rsidR="008F6D3A">
              <w:rPr>
                <w:noProof/>
                <w:webHidden/>
              </w:rPr>
            </w:r>
            <w:r w:rsidR="008F6D3A">
              <w:rPr>
                <w:noProof/>
                <w:webHidden/>
              </w:rPr>
              <w:fldChar w:fldCharType="separate"/>
            </w:r>
            <w:r w:rsidR="00C4252E">
              <w:rPr>
                <w:noProof/>
                <w:webHidden/>
              </w:rPr>
              <w:t>50</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568" w:history="1">
            <w:r w:rsidR="008F6D3A" w:rsidRPr="007F0955">
              <w:rPr>
                <w:rStyle w:val="Hyperlink"/>
                <w:noProof/>
              </w:rPr>
              <w:t>III. Kindesrecht (Art. 252 – 359 ZGB)</w:t>
            </w:r>
            <w:r w:rsidR="008F6D3A">
              <w:rPr>
                <w:noProof/>
                <w:webHidden/>
              </w:rPr>
              <w:tab/>
            </w:r>
            <w:r w:rsidR="008F6D3A">
              <w:rPr>
                <w:noProof/>
                <w:webHidden/>
              </w:rPr>
              <w:fldChar w:fldCharType="begin"/>
            </w:r>
            <w:r w:rsidR="008F6D3A">
              <w:rPr>
                <w:noProof/>
                <w:webHidden/>
              </w:rPr>
              <w:instrText xml:space="preserve"> PAGEREF _Toc432175568 \h </w:instrText>
            </w:r>
            <w:r w:rsidR="008F6D3A">
              <w:rPr>
                <w:noProof/>
                <w:webHidden/>
              </w:rPr>
            </w:r>
            <w:r w:rsidR="008F6D3A">
              <w:rPr>
                <w:noProof/>
                <w:webHidden/>
              </w:rPr>
              <w:fldChar w:fldCharType="separate"/>
            </w:r>
            <w:r w:rsidR="00C4252E">
              <w:rPr>
                <w:noProof/>
                <w:webHidden/>
              </w:rPr>
              <w:t>52</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69" w:history="1">
            <w:r w:rsidR="008F6D3A" w:rsidRPr="007F0955">
              <w:rPr>
                <w:rStyle w:val="Hyperlink"/>
                <w:noProof/>
                <w:spacing w:val="-22"/>
              </w:rPr>
              <w:t>A.</w:t>
            </w:r>
            <w:r w:rsidR="008F6D3A">
              <w:rPr>
                <w:rFonts w:asciiTheme="minorHAnsi" w:eastAsiaTheme="minorEastAsia" w:hAnsiTheme="minorHAnsi"/>
                <w:noProof/>
                <w:szCs w:val="22"/>
                <w:lang w:eastAsia="de-CH"/>
              </w:rPr>
              <w:tab/>
            </w:r>
            <w:r w:rsidR="008F6D3A" w:rsidRPr="007F0955">
              <w:rPr>
                <w:rStyle w:val="Hyperlink"/>
                <w:noProof/>
              </w:rPr>
              <w:t>Entstehung</w:t>
            </w:r>
            <w:r w:rsidR="008F6D3A">
              <w:rPr>
                <w:noProof/>
                <w:webHidden/>
              </w:rPr>
              <w:tab/>
            </w:r>
            <w:r w:rsidR="008F6D3A">
              <w:rPr>
                <w:noProof/>
                <w:webHidden/>
              </w:rPr>
              <w:fldChar w:fldCharType="begin"/>
            </w:r>
            <w:r w:rsidR="008F6D3A">
              <w:rPr>
                <w:noProof/>
                <w:webHidden/>
              </w:rPr>
              <w:instrText xml:space="preserve"> PAGEREF _Toc432175569 \h </w:instrText>
            </w:r>
            <w:r w:rsidR="008F6D3A">
              <w:rPr>
                <w:noProof/>
                <w:webHidden/>
              </w:rPr>
            </w:r>
            <w:r w:rsidR="008F6D3A">
              <w:rPr>
                <w:noProof/>
                <w:webHidden/>
              </w:rPr>
              <w:fldChar w:fldCharType="separate"/>
            </w:r>
            <w:r w:rsidR="00C4252E">
              <w:rPr>
                <w:noProof/>
                <w:webHidden/>
              </w:rPr>
              <w:t>52</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70" w:history="1">
            <w:r w:rsidR="008F6D3A" w:rsidRPr="007F0955">
              <w:rPr>
                <w:rStyle w:val="Hyperlink"/>
                <w:noProof/>
                <w:spacing w:val="-9"/>
              </w:rPr>
              <w:t>B.</w:t>
            </w:r>
            <w:r w:rsidR="008F6D3A">
              <w:rPr>
                <w:rFonts w:asciiTheme="minorHAnsi" w:eastAsiaTheme="minorEastAsia" w:hAnsiTheme="minorHAnsi"/>
                <w:noProof/>
                <w:szCs w:val="22"/>
                <w:lang w:eastAsia="de-CH"/>
              </w:rPr>
              <w:tab/>
            </w:r>
            <w:r w:rsidR="008F6D3A" w:rsidRPr="007F0955">
              <w:rPr>
                <w:rStyle w:val="Hyperlink"/>
                <w:noProof/>
              </w:rPr>
              <w:t>Wirkungen</w:t>
            </w:r>
            <w:r w:rsidR="008F6D3A">
              <w:rPr>
                <w:noProof/>
                <w:webHidden/>
              </w:rPr>
              <w:tab/>
            </w:r>
            <w:r w:rsidR="008F6D3A">
              <w:rPr>
                <w:noProof/>
                <w:webHidden/>
              </w:rPr>
              <w:fldChar w:fldCharType="begin"/>
            </w:r>
            <w:r w:rsidR="008F6D3A">
              <w:rPr>
                <w:noProof/>
                <w:webHidden/>
              </w:rPr>
              <w:instrText xml:space="preserve"> PAGEREF _Toc432175570 \h </w:instrText>
            </w:r>
            <w:r w:rsidR="008F6D3A">
              <w:rPr>
                <w:noProof/>
                <w:webHidden/>
              </w:rPr>
            </w:r>
            <w:r w:rsidR="008F6D3A">
              <w:rPr>
                <w:noProof/>
                <w:webHidden/>
              </w:rPr>
              <w:fldChar w:fldCharType="separate"/>
            </w:r>
            <w:r w:rsidR="00C4252E">
              <w:rPr>
                <w:noProof/>
                <w:webHidden/>
              </w:rPr>
              <w:t>53</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571" w:history="1">
            <w:r w:rsidR="008F6D3A" w:rsidRPr="007F0955">
              <w:rPr>
                <w:rStyle w:val="Hyperlink"/>
                <w:noProof/>
              </w:rPr>
              <w:t>IV. Das Erwachsenenschutzrecht (Art. 360 – 456 ZGB)</w:t>
            </w:r>
            <w:r w:rsidR="008F6D3A">
              <w:rPr>
                <w:noProof/>
                <w:webHidden/>
              </w:rPr>
              <w:tab/>
            </w:r>
            <w:r w:rsidR="008F6D3A">
              <w:rPr>
                <w:noProof/>
                <w:webHidden/>
              </w:rPr>
              <w:fldChar w:fldCharType="begin"/>
            </w:r>
            <w:r w:rsidR="008F6D3A">
              <w:rPr>
                <w:noProof/>
                <w:webHidden/>
              </w:rPr>
              <w:instrText xml:space="preserve"> PAGEREF _Toc432175571 \h </w:instrText>
            </w:r>
            <w:r w:rsidR="008F6D3A">
              <w:rPr>
                <w:noProof/>
                <w:webHidden/>
              </w:rPr>
            </w:r>
            <w:r w:rsidR="008F6D3A">
              <w:rPr>
                <w:noProof/>
                <w:webHidden/>
              </w:rPr>
              <w:fldChar w:fldCharType="separate"/>
            </w:r>
            <w:r w:rsidR="00C4252E">
              <w:rPr>
                <w:noProof/>
                <w:webHidden/>
              </w:rPr>
              <w:t>54</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72" w:history="1">
            <w:r w:rsidR="008F6D3A" w:rsidRPr="007F0955">
              <w:rPr>
                <w:rStyle w:val="Hyperlink"/>
                <w:noProof/>
              </w:rPr>
              <w:t>A.</w:t>
            </w:r>
            <w:r w:rsidR="008F6D3A">
              <w:rPr>
                <w:rFonts w:asciiTheme="minorHAnsi" w:eastAsiaTheme="minorEastAsia" w:hAnsiTheme="minorHAnsi"/>
                <w:noProof/>
                <w:szCs w:val="22"/>
                <w:lang w:eastAsia="de-CH"/>
              </w:rPr>
              <w:tab/>
            </w:r>
            <w:r w:rsidR="008F6D3A" w:rsidRPr="007F0955">
              <w:rPr>
                <w:rStyle w:val="Hyperlink"/>
                <w:noProof/>
              </w:rPr>
              <w:t>Grundzüge des Erwachsenenschutzrechts</w:t>
            </w:r>
            <w:r w:rsidR="008F6D3A">
              <w:rPr>
                <w:noProof/>
                <w:webHidden/>
              </w:rPr>
              <w:tab/>
            </w:r>
            <w:r w:rsidR="008F6D3A">
              <w:rPr>
                <w:noProof/>
                <w:webHidden/>
              </w:rPr>
              <w:fldChar w:fldCharType="begin"/>
            </w:r>
            <w:r w:rsidR="008F6D3A">
              <w:rPr>
                <w:noProof/>
                <w:webHidden/>
              </w:rPr>
              <w:instrText xml:space="preserve"> PAGEREF _Toc432175572 \h </w:instrText>
            </w:r>
            <w:r w:rsidR="008F6D3A">
              <w:rPr>
                <w:noProof/>
                <w:webHidden/>
              </w:rPr>
            </w:r>
            <w:r w:rsidR="008F6D3A">
              <w:rPr>
                <w:noProof/>
                <w:webHidden/>
              </w:rPr>
              <w:fldChar w:fldCharType="separate"/>
            </w:r>
            <w:r w:rsidR="00C4252E">
              <w:rPr>
                <w:noProof/>
                <w:webHidden/>
              </w:rPr>
              <w:t>54</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73" w:history="1">
            <w:r w:rsidR="008F6D3A" w:rsidRPr="007F0955">
              <w:rPr>
                <w:rStyle w:val="Hyperlink"/>
                <w:noProof/>
              </w:rPr>
              <w:t>B.</w:t>
            </w:r>
            <w:r w:rsidR="008F6D3A">
              <w:rPr>
                <w:rFonts w:asciiTheme="minorHAnsi" w:eastAsiaTheme="minorEastAsia" w:hAnsiTheme="minorHAnsi"/>
                <w:noProof/>
                <w:szCs w:val="22"/>
                <w:lang w:eastAsia="de-CH"/>
              </w:rPr>
              <w:tab/>
            </w:r>
            <w:r w:rsidR="008F6D3A" w:rsidRPr="007F0955">
              <w:rPr>
                <w:rStyle w:val="Hyperlink"/>
                <w:noProof/>
              </w:rPr>
              <w:t>Eigene Vorsorge und Massnahmen von Gesetzes wegen (Art. 360 ff. ZGB)</w:t>
            </w:r>
            <w:r w:rsidR="008F6D3A">
              <w:rPr>
                <w:noProof/>
                <w:webHidden/>
              </w:rPr>
              <w:tab/>
            </w:r>
            <w:r w:rsidR="008F6D3A">
              <w:rPr>
                <w:noProof/>
                <w:webHidden/>
              </w:rPr>
              <w:fldChar w:fldCharType="begin"/>
            </w:r>
            <w:r w:rsidR="008F6D3A">
              <w:rPr>
                <w:noProof/>
                <w:webHidden/>
              </w:rPr>
              <w:instrText xml:space="preserve"> PAGEREF _Toc432175573 \h </w:instrText>
            </w:r>
            <w:r w:rsidR="008F6D3A">
              <w:rPr>
                <w:noProof/>
                <w:webHidden/>
              </w:rPr>
            </w:r>
            <w:r w:rsidR="008F6D3A">
              <w:rPr>
                <w:noProof/>
                <w:webHidden/>
              </w:rPr>
              <w:fldChar w:fldCharType="separate"/>
            </w:r>
            <w:r w:rsidR="00C4252E">
              <w:rPr>
                <w:noProof/>
                <w:webHidden/>
              </w:rPr>
              <w:t>54</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74" w:history="1">
            <w:r w:rsidR="008F6D3A" w:rsidRPr="007F0955">
              <w:rPr>
                <w:rStyle w:val="Hyperlink"/>
                <w:noProof/>
              </w:rPr>
              <w:t>C.</w:t>
            </w:r>
            <w:r w:rsidR="008F6D3A">
              <w:rPr>
                <w:rFonts w:asciiTheme="minorHAnsi" w:eastAsiaTheme="minorEastAsia" w:hAnsiTheme="minorHAnsi"/>
                <w:noProof/>
                <w:szCs w:val="22"/>
                <w:lang w:eastAsia="de-CH"/>
              </w:rPr>
              <w:tab/>
            </w:r>
            <w:r w:rsidR="008F6D3A" w:rsidRPr="007F0955">
              <w:rPr>
                <w:rStyle w:val="Hyperlink"/>
                <w:noProof/>
              </w:rPr>
              <w:t>Behördliche Massnahmen (Art. 388 ff. ZGB)</w:t>
            </w:r>
            <w:r w:rsidR="008F6D3A">
              <w:rPr>
                <w:noProof/>
                <w:webHidden/>
              </w:rPr>
              <w:tab/>
            </w:r>
            <w:r w:rsidR="008F6D3A">
              <w:rPr>
                <w:noProof/>
                <w:webHidden/>
              </w:rPr>
              <w:fldChar w:fldCharType="begin"/>
            </w:r>
            <w:r w:rsidR="008F6D3A">
              <w:rPr>
                <w:noProof/>
                <w:webHidden/>
              </w:rPr>
              <w:instrText xml:space="preserve"> PAGEREF _Toc432175574 \h </w:instrText>
            </w:r>
            <w:r w:rsidR="008F6D3A">
              <w:rPr>
                <w:noProof/>
                <w:webHidden/>
              </w:rPr>
            </w:r>
            <w:r w:rsidR="008F6D3A">
              <w:rPr>
                <w:noProof/>
                <w:webHidden/>
              </w:rPr>
              <w:fldChar w:fldCharType="separate"/>
            </w:r>
            <w:r w:rsidR="00C4252E">
              <w:rPr>
                <w:noProof/>
                <w:webHidden/>
              </w:rPr>
              <w:t>57</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75" w:history="1">
            <w:r w:rsidR="008F6D3A" w:rsidRPr="007F0955">
              <w:rPr>
                <w:rStyle w:val="Hyperlink"/>
                <w:noProof/>
              </w:rPr>
              <w:t>D.</w:t>
            </w:r>
            <w:r w:rsidR="008F6D3A">
              <w:rPr>
                <w:rFonts w:asciiTheme="minorHAnsi" w:eastAsiaTheme="minorEastAsia" w:hAnsiTheme="minorHAnsi"/>
                <w:noProof/>
                <w:szCs w:val="22"/>
                <w:lang w:eastAsia="de-CH"/>
              </w:rPr>
              <w:tab/>
            </w:r>
            <w:r w:rsidR="008F6D3A" w:rsidRPr="007F0955">
              <w:rPr>
                <w:rStyle w:val="Hyperlink"/>
                <w:noProof/>
              </w:rPr>
              <w:t>Fürsorgerische Unterbringung (Art. 426 ZGB)</w:t>
            </w:r>
            <w:r w:rsidR="008F6D3A">
              <w:rPr>
                <w:noProof/>
                <w:webHidden/>
              </w:rPr>
              <w:tab/>
            </w:r>
            <w:r w:rsidR="008F6D3A">
              <w:rPr>
                <w:noProof/>
                <w:webHidden/>
              </w:rPr>
              <w:fldChar w:fldCharType="begin"/>
            </w:r>
            <w:r w:rsidR="008F6D3A">
              <w:rPr>
                <w:noProof/>
                <w:webHidden/>
              </w:rPr>
              <w:instrText xml:space="preserve"> PAGEREF _Toc432175575 \h </w:instrText>
            </w:r>
            <w:r w:rsidR="008F6D3A">
              <w:rPr>
                <w:noProof/>
                <w:webHidden/>
              </w:rPr>
            </w:r>
            <w:r w:rsidR="008F6D3A">
              <w:rPr>
                <w:noProof/>
                <w:webHidden/>
              </w:rPr>
              <w:fldChar w:fldCharType="separate"/>
            </w:r>
            <w:r w:rsidR="00C4252E">
              <w:rPr>
                <w:noProof/>
                <w:webHidden/>
              </w:rPr>
              <w:t>58</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76" w:history="1">
            <w:r w:rsidR="008F6D3A" w:rsidRPr="007F0955">
              <w:rPr>
                <w:rStyle w:val="Hyperlink"/>
                <w:noProof/>
              </w:rPr>
              <w:t>E.</w:t>
            </w:r>
            <w:r w:rsidR="008F6D3A">
              <w:rPr>
                <w:rFonts w:asciiTheme="minorHAnsi" w:eastAsiaTheme="minorEastAsia" w:hAnsiTheme="minorHAnsi"/>
                <w:noProof/>
                <w:szCs w:val="22"/>
                <w:lang w:eastAsia="de-CH"/>
              </w:rPr>
              <w:tab/>
            </w:r>
            <w:r w:rsidR="008F6D3A" w:rsidRPr="007F0955">
              <w:rPr>
                <w:rStyle w:val="Hyperlink"/>
                <w:noProof/>
              </w:rPr>
              <w:t>Organisation und Zuständigkeiten (Art. 440 ff. ZGB)</w:t>
            </w:r>
            <w:r w:rsidR="008F6D3A">
              <w:rPr>
                <w:noProof/>
                <w:webHidden/>
              </w:rPr>
              <w:tab/>
            </w:r>
            <w:r w:rsidR="008F6D3A">
              <w:rPr>
                <w:noProof/>
                <w:webHidden/>
              </w:rPr>
              <w:fldChar w:fldCharType="begin"/>
            </w:r>
            <w:r w:rsidR="008F6D3A">
              <w:rPr>
                <w:noProof/>
                <w:webHidden/>
              </w:rPr>
              <w:instrText xml:space="preserve"> PAGEREF _Toc432175576 \h </w:instrText>
            </w:r>
            <w:r w:rsidR="008F6D3A">
              <w:rPr>
                <w:noProof/>
                <w:webHidden/>
              </w:rPr>
            </w:r>
            <w:r w:rsidR="008F6D3A">
              <w:rPr>
                <w:noProof/>
                <w:webHidden/>
              </w:rPr>
              <w:fldChar w:fldCharType="separate"/>
            </w:r>
            <w:r w:rsidR="00C4252E">
              <w:rPr>
                <w:noProof/>
                <w:webHidden/>
              </w:rPr>
              <w:t>58</w:t>
            </w:r>
            <w:r w:rsidR="008F6D3A">
              <w:rPr>
                <w:noProof/>
                <w:webHidden/>
              </w:rPr>
              <w:fldChar w:fldCharType="end"/>
            </w:r>
          </w:hyperlink>
        </w:p>
        <w:p w:rsidR="008F6D3A" w:rsidRDefault="00C64023">
          <w:pPr>
            <w:pStyle w:val="Verzeichnis1"/>
            <w:tabs>
              <w:tab w:val="right" w:leader="dot" w:pos="9152"/>
            </w:tabs>
            <w:rPr>
              <w:rFonts w:asciiTheme="minorHAnsi" w:eastAsiaTheme="minorEastAsia" w:hAnsiTheme="minorHAnsi"/>
              <w:noProof/>
              <w:szCs w:val="22"/>
              <w:lang w:eastAsia="de-CH"/>
            </w:rPr>
          </w:pPr>
          <w:hyperlink w:anchor="_Toc432175577" w:history="1">
            <w:r w:rsidR="008F6D3A" w:rsidRPr="007F0955">
              <w:rPr>
                <w:rStyle w:val="Hyperlink"/>
                <w:noProof/>
                <w:w w:val="114"/>
              </w:rPr>
              <w:t>Erbrecht</w:t>
            </w:r>
            <w:r w:rsidR="008F6D3A">
              <w:rPr>
                <w:noProof/>
                <w:webHidden/>
              </w:rPr>
              <w:tab/>
            </w:r>
            <w:r w:rsidR="008F6D3A">
              <w:rPr>
                <w:noProof/>
                <w:webHidden/>
              </w:rPr>
              <w:fldChar w:fldCharType="begin"/>
            </w:r>
            <w:r w:rsidR="008F6D3A">
              <w:rPr>
                <w:noProof/>
                <w:webHidden/>
              </w:rPr>
              <w:instrText xml:space="preserve"> PAGEREF _Toc432175577 \h </w:instrText>
            </w:r>
            <w:r w:rsidR="008F6D3A">
              <w:rPr>
                <w:noProof/>
                <w:webHidden/>
              </w:rPr>
            </w:r>
            <w:r w:rsidR="008F6D3A">
              <w:rPr>
                <w:noProof/>
                <w:webHidden/>
              </w:rPr>
              <w:fldChar w:fldCharType="separate"/>
            </w:r>
            <w:r w:rsidR="00C4252E">
              <w:rPr>
                <w:noProof/>
                <w:webHidden/>
              </w:rPr>
              <w:t>59</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578" w:history="1">
            <w:r w:rsidR="008F6D3A" w:rsidRPr="007F0955">
              <w:rPr>
                <w:rStyle w:val="Hyperlink"/>
                <w:noProof/>
              </w:rPr>
              <w:t>I. Einleitung</w:t>
            </w:r>
            <w:r w:rsidR="008F6D3A">
              <w:rPr>
                <w:noProof/>
                <w:webHidden/>
              </w:rPr>
              <w:tab/>
            </w:r>
            <w:r w:rsidR="008F6D3A">
              <w:rPr>
                <w:noProof/>
                <w:webHidden/>
              </w:rPr>
              <w:fldChar w:fldCharType="begin"/>
            </w:r>
            <w:r w:rsidR="008F6D3A">
              <w:rPr>
                <w:noProof/>
                <w:webHidden/>
              </w:rPr>
              <w:instrText xml:space="preserve"> PAGEREF _Toc432175578 \h </w:instrText>
            </w:r>
            <w:r w:rsidR="008F6D3A">
              <w:rPr>
                <w:noProof/>
                <w:webHidden/>
              </w:rPr>
            </w:r>
            <w:r w:rsidR="008F6D3A">
              <w:rPr>
                <w:noProof/>
                <w:webHidden/>
              </w:rPr>
              <w:fldChar w:fldCharType="separate"/>
            </w:r>
            <w:r w:rsidR="00C4252E">
              <w:rPr>
                <w:noProof/>
                <w:webHidden/>
              </w:rPr>
              <w:t>59</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79" w:history="1">
            <w:r w:rsidR="008F6D3A" w:rsidRPr="007F0955">
              <w:rPr>
                <w:rStyle w:val="Hyperlink"/>
                <w:noProof/>
                <w:spacing w:val="-17"/>
              </w:rPr>
              <w:t>A.</w:t>
            </w:r>
            <w:r w:rsidR="008F6D3A">
              <w:rPr>
                <w:rFonts w:asciiTheme="minorHAnsi" w:eastAsiaTheme="minorEastAsia" w:hAnsiTheme="minorHAnsi"/>
                <w:noProof/>
                <w:szCs w:val="22"/>
                <w:lang w:eastAsia="de-CH"/>
              </w:rPr>
              <w:tab/>
            </w:r>
            <w:r w:rsidR="008F6D3A" w:rsidRPr="007F0955">
              <w:rPr>
                <w:rStyle w:val="Hyperlink"/>
                <w:noProof/>
              </w:rPr>
              <w:t>Begriffe</w:t>
            </w:r>
            <w:r w:rsidR="008F6D3A">
              <w:rPr>
                <w:noProof/>
                <w:webHidden/>
              </w:rPr>
              <w:tab/>
            </w:r>
            <w:r w:rsidR="008F6D3A">
              <w:rPr>
                <w:noProof/>
                <w:webHidden/>
              </w:rPr>
              <w:fldChar w:fldCharType="begin"/>
            </w:r>
            <w:r w:rsidR="008F6D3A">
              <w:rPr>
                <w:noProof/>
                <w:webHidden/>
              </w:rPr>
              <w:instrText xml:space="preserve"> PAGEREF _Toc432175579 \h </w:instrText>
            </w:r>
            <w:r w:rsidR="008F6D3A">
              <w:rPr>
                <w:noProof/>
                <w:webHidden/>
              </w:rPr>
            </w:r>
            <w:r w:rsidR="008F6D3A">
              <w:rPr>
                <w:noProof/>
                <w:webHidden/>
              </w:rPr>
              <w:fldChar w:fldCharType="separate"/>
            </w:r>
            <w:r w:rsidR="00C4252E">
              <w:rPr>
                <w:noProof/>
                <w:webHidden/>
              </w:rPr>
              <w:t>59</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80" w:history="1">
            <w:r w:rsidR="008F6D3A" w:rsidRPr="007F0955">
              <w:rPr>
                <w:rStyle w:val="Hyperlink"/>
                <w:noProof/>
                <w:spacing w:val="-24"/>
              </w:rPr>
              <w:t>B.</w:t>
            </w:r>
            <w:r w:rsidR="008F6D3A">
              <w:rPr>
                <w:rFonts w:asciiTheme="minorHAnsi" w:eastAsiaTheme="minorEastAsia" w:hAnsiTheme="minorHAnsi"/>
                <w:noProof/>
                <w:szCs w:val="22"/>
                <w:lang w:eastAsia="de-CH"/>
              </w:rPr>
              <w:tab/>
            </w:r>
            <w:r w:rsidR="008F6D3A" w:rsidRPr="007F0955">
              <w:rPr>
                <w:rStyle w:val="Hyperlink"/>
                <w:noProof/>
              </w:rPr>
              <w:t>Grundsätze</w:t>
            </w:r>
            <w:r w:rsidR="008F6D3A">
              <w:rPr>
                <w:noProof/>
                <w:webHidden/>
              </w:rPr>
              <w:tab/>
            </w:r>
            <w:r w:rsidR="008F6D3A">
              <w:rPr>
                <w:noProof/>
                <w:webHidden/>
              </w:rPr>
              <w:fldChar w:fldCharType="begin"/>
            </w:r>
            <w:r w:rsidR="008F6D3A">
              <w:rPr>
                <w:noProof/>
                <w:webHidden/>
              </w:rPr>
              <w:instrText xml:space="preserve"> PAGEREF _Toc432175580 \h </w:instrText>
            </w:r>
            <w:r w:rsidR="008F6D3A">
              <w:rPr>
                <w:noProof/>
                <w:webHidden/>
              </w:rPr>
            </w:r>
            <w:r w:rsidR="008F6D3A">
              <w:rPr>
                <w:noProof/>
                <w:webHidden/>
              </w:rPr>
              <w:fldChar w:fldCharType="separate"/>
            </w:r>
            <w:r w:rsidR="00C4252E">
              <w:rPr>
                <w:noProof/>
                <w:webHidden/>
              </w:rPr>
              <w:t>59</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581" w:history="1">
            <w:r w:rsidR="008F6D3A" w:rsidRPr="007F0955">
              <w:rPr>
                <w:rStyle w:val="Hyperlink"/>
                <w:noProof/>
              </w:rPr>
              <w:t>II. Erbfolge</w:t>
            </w:r>
            <w:r w:rsidR="008F6D3A">
              <w:rPr>
                <w:noProof/>
                <w:webHidden/>
              </w:rPr>
              <w:tab/>
            </w:r>
            <w:r w:rsidR="008F6D3A">
              <w:rPr>
                <w:noProof/>
                <w:webHidden/>
              </w:rPr>
              <w:fldChar w:fldCharType="begin"/>
            </w:r>
            <w:r w:rsidR="008F6D3A">
              <w:rPr>
                <w:noProof/>
                <w:webHidden/>
              </w:rPr>
              <w:instrText xml:space="preserve"> PAGEREF _Toc432175581 \h </w:instrText>
            </w:r>
            <w:r w:rsidR="008F6D3A">
              <w:rPr>
                <w:noProof/>
                <w:webHidden/>
              </w:rPr>
            </w:r>
            <w:r w:rsidR="008F6D3A">
              <w:rPr>
                <w:noProof/>
                <w:webHidden/>
              </w:rPr>
              <w:fldChar w:fldCharType="separate"/>
            </w:r>
            <w:r w:rsidR="00C4252E">
              <w:rPr>
                <w:noProof/>
                <w:webHidden/>
              </w:rPr>
              <w:t>60</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82" w:history="1">
            <w:r w:rsidR="008F6D3A" w:rsidRPr="007F0955">
              <w:rPr>
                <w:rStyle w:val="Hyperlink"/>
                <w:noProof/>
              </w:rPr>
              <w:t>A.</w:t>
            </w:r>
            <w:r w:rsidR="008F6D3A">
              <w:rPr>
                <w:rFonts w:asciiTheme="minorHAnsi" w:eastAsiaTheme="minorEastAsia" w:hAnsiTheme="minorHAnsi"/>
                <w:noProof/>
                <w:szCs w:val="22"/>
                <w:lang w:eastAsia="de-CH"/>
              </w:rPr>
              <w:tab/>
            </w:r>
            <w:r w:rsidR="008F6D3A" w:rsidRPr="007F0955">
              <w:rPr>
                <w:rStyle w:val="Hyperlink"/>
                <w:noProof/>
              </w:rPr>
              <w:t>Unterschied gesetzliche/gewillkürte Erbfolge</w:t>
            </w:r>
            <w:r w:rsidR="008F6D3A">
              <w:rPr>
                <w:noProof/>
                <w:webHidden/>
              </w:rPr>
              <w:tab/>
            </w:r>
            <w:r w:rsidR="008F6D3A">
              <w:rPr>
                <w:noProof/>
                <w:webHidden/>
              </w:rPr>
              <w:fldChar w:fldCharType="begin"/>
            </w:r>
            <w:r w:rsidR="008F6D3A">
              <w:rPr>
                <w:noProof/>
                <w:webHidden/>
              </w:rPr>
              <w:instrText xml:space="preserve"> PAGEREF _Toc432175582 \h </w:instrText>
            </w:r>
            <w:r w:rsidR="008F6D3A">
              <w:rPr>
                <w:noProof/>
                <w:webHidden/>
              </w:rPr>
            </w:r>
            <w:r w:rsidR="008F6D3A">
              <w:rPr>
                <w:noProof/>
                <w:webHidden/>
              </w:rPr>
              <w:fldChar w:fldCharType="separate"/>
            </w:r>
            <w:r w:rsidR="00C4252E">
              <w:rPr>
                <w:noProof/>
                <w:webHidden/>
              </w:rPr>
              <w:t>60</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83" w:history="1">
            <w:r w:rsidR="008F6D3A" w:rsidRPr="007F0955">
              <w:rPr>
                <w:rStyle w:val="Hyperlink"/>
                <w:noProof/>
              </w:rPr>
              <w:t>B.</w:t>
            </w:r>
            <w:r w:rsidR="008F6D3A">
              <w:rPr>
                <w:rFonts w:asciiTheme="minorHAnsi" w:eastAsiaTheme="minorEastAsia" w:hAnsiTheme="minorHAnsi"/>
                <w:noProof/>
                <w:szCs w:val="22"/>
                <w:lang w:eastAsia="de-CH"/>
              </w:rPr>
              <w:tab/>
            </w:r>
            <w:r w:rsidR="008F6D3A" w:rsidRPr="007F0955">
              <w:rPr>
                <w:rStyle w:val="Hyperlink"/>
                <w:noProof/>
              </w:rPr>
              <w:t>Gesetzliche Erbfolge</w:t>
            </w:r>
            <w:r w:rsidR="008F6D3A">
              <w:rPr>
                <w:noProof/>
                <w:webHidden/>
              </w:rPr>
              <w:tab/>
            </w:r>
            <w:r w:rsidR="008F6D3A">
              <w:rPr>
                <w:noProof/>
                <w:webHidden/>
              </w:rPr>
              <w:fldChar w:fldCharType="begin"/>
            </w:r>
            <w:r w:rsidR="008F6D3A">
              <w:rPr>
                <w:noProof/>
                <w:webHidden/>
              </w:rPr>
              <w:instrText xml:space="preserve"> PAGEREF _Toc432175583 \h </w:instrText>
            </w:r>
            <w:r w:rsidR="008F6D3A">
              <w:rPr>
                <w:noProof/>
                <w:webHidden/>
              </w:rPr>
            </w:r>
            <w:r w:rsidR="008F6D3A">
              <w:rPr>
                <w:noProof/>
                <w:webHidden/>
              </w:rPr>
              <w:fldChar w:fldCharType="separate"/>
            </w:r>
            <w:r w:rsidR="00C4252E">
              <w:rPr>
                <w:noProof/>
                <w:webHidden/>
              </w:rPr>
              <w:t>60</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584" w:history="1">
            <w:r w:rsidR="008F6D3A" w:rsidRPr="007F0955">
              <w:rPr>
                <w:rStyle w:val="Hyperlink"/>
                <w:noProof/>
              </w:rPr>
              <w:t>III. Der Erbgang</w:t>
            </w:r>
            <w:r w:rsidR="008F6D3A">
              <w:rPr>
                <w:noProof/>
                <w:webHidden/>
              </w:rPr>
              <w:tab/>
            </w:r>
            <w:r w:rsidR="008F6D3A">
              <w:rPr>
                <w:noProof/>
                <w:webHidden/>
              </w:rPr>
              <w:fldChar w:fldCharType="begin"/>
            </w:r>
            <w:r w:rsidR="008F6D3A">
              <w:rPr>
                <w:noProof/>
                <w:webHidden/>
              </w:rPr>
              <w:instrText xml:space="preserve"> PAGEREF _Toc432175584 \h </w:instrText>
            </w:r>
            <w:r w:rsidR="008F6D3A">
              <w:rPr>
                <w:noProof/>
                <w:webHidden/>
              </w:rPr>
            </w:r>
            <w:r w:rsidR="008F6D3A">
              <w:rPr>
                <w:noProof/>
                <w:webHidden/>
              </w:rPr>
              <w:fldChar w:fldCharType="separate"/>
            </w:r>
            <w:r w:rsidR="00C4252E">
              <w:rPr>
                <w:noProof/>
                <w:webHidden/>
              </w:rPr>
              <w:t>74</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85" w:history="1">
            <w:r w:rsidR="008F6D3A" w:rsidRPr="007F0955">
              <w:rPr>
                <w:rStyle w:val="Hyperlink"/>
                <w:noProof/>
              </w:rPr>
              <w:t>A.</w:t>
            </w:r>
            <w:r w:rsidR="008F6D3A">
              <w:rPr>
                <w:rFonts w:asciiTheme="minorHAnsi" w:eastAsiaTheme="minorEastAsia" w:hAnsiTheme="minorHAnsi"/>
                <w:noProof/>
                <w:szCs w:val="22"/>
                <w:lang w:eastAsia="de-CH"/>
              </w:rPr>
              <w:tab/>
            </w:r>
            <w:r w:rsidR="008F6D3A" w:rsidRPr="007F0955">
              <w:rPr>
                <w:rStyle w:val="Hyperlink"/>
                <w:noProof/>
              </w:rPr>
              <w:t>Grundsätzliches (Art. 551 – 601 ZGB)</w:t>
            </w:r>
            <w:r w:rsidR="008F6D3A">
              <w:rPr>
                <w:noProof/>
                <w:webHidden/>
              </w:rPr>
              <w:tab/>
            </w:r>
            <w:r w:rsidR="008F6D3A">
              <w:rPr>
                <w:noProof/>
                <w:webHidden/>
              </w:rPr>
              <w:fldChar w:fldCharType="begin"/>
            </w:r>
            <w:r w:rsidR="008F6D3A">
              <w:rPr>
                <w:noProof/>
                <w:webHidden/>
              </w:rPr>
              <w:instrText xml:space="preserve"> PAGEREF _Toc432175585 \h </w:instrText>
            </w:r>
            <w:r w:rsidR="008F6D3A">
              <w:rPr>
                <w:noProof/>
                <w:webHidden/>
              </w:rPr>
            </w:r>
            <w:r w:rsidR="008F6D3A">
              <w:rPr>
                <w:noProof/>
                <w:webHidden/>
              </w:rPr>
              <w:fldChar w:fldCharType="separate"/>
            </w:r>
            <w:r w:rsidR="00C4252E">
              <w:rPr>
                <w:noProof/>
                <w:webHidden/>
              </w:rPr>
              <w:t>75</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86" w:history="1">
            <w:r w:rsidR="008F6D3A" w:rsidRPr="007F0955">
              <w:rPr>
                <w:rStyle w:val="Hyperlink"/>
                <w:noProof/>
                <w:spacing w:val="-24"/>
              </w:rPr>
              <w:t>B.</w:t>
            </w:r>
            <w:r w:rsidR="008F6D3A">
              <w:rPr>
                <w:rFonts w:asciiTheme="minorHAnsi" w:eastAsiaTheme="minorEastAsia" w:hAnsiTheme="minorHAnsi"/>
                <w:noProof/>
                <w:szCs w:val="22"/>
                <w:lang w:eastAsia="de-CH"/>
              </w:rPr>
              <w:tab/>
            </w:r>
            <w:r w:rsidR="008F6D3A" w:rsidRPr="007F0955">
              <w:rPr>
                <w:rStyle w:val="Hyperlink"/>
                <w:noProof/>
              </w:rPr>
              <w:t>Die Erbengemeinschaft und deren Bedeutung</w:t>
            </w:r>
            <w:r w:rsidR="008F6D3A">
              <w:rPr>
                <w:noProof/>
                <w:webHidden/>
              </w:rPr>
              <w:tab/>
            </w:r>
            <w:r w:rsidR="008F6D3A">
              <w:rPr>
                <w:noProof/>
                <w:webHidden/>
              </w:rPr>
              <w:fldChar w:fldCharType="begin"/>
            </w:r>
            <w:r w:rsidR="008F6D3A">
              <w:rPr>
                <w:noProof/>
                <w:webHidden/>
              </w:rPr>
              <w:instrText xml:space="preserve"> PAGEREF _Toc432175586 \h </w:instrText>
            </w:r>
            <w:r w:rsidR="008F6D3A">
              <w:rPr>
                <w:noProof/>
                <w:webHidden/>
              </w:rPr>
            </w:r>
            <w:r w:rsidR="008F6D3A">
              <w:rPr>
                <w:noProof/>
                <w:webHidden/>
              </w:rPr>
              <w:fldChar w:fldCharType="separate"/>
            </w:r>
            <w:r w:rsidR="00C4252E">
              <w:rPr>
                <w:noProof/>
                <w:webHidden/>
              </w:rPr>
              <w:t>76</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87" w:history="1">
            <w:r w:rsidR="008F6D3A" w:rsidRPr="007F0955">
              <w:rPr>
                <w:rStyle w:val="Hyperlink"/>
                <w:noProof/>
              </w:rPr>
              <w:t>C.</w:t>
            </w:r>
            <w:r w:rsidR="008F6D3A">
              <w:rPr>
                <w:rFonts w:asciiTheme="minorHAnsi" w:eastAsiaTheme="minorEastAsia" w:hAnsiTheme="minorHAnsi"/>
                <w:noProof/>
                <w:szCs w:val="22"/>
                <w:lang w:eastAsia="de-CH"/>
              </w:rPr>
              <w:tab/>
            </w:r>
            <w:r w:rsidR="008F6D3A" w:rsidRPr="007F0955">
              <w:rPr>
                <w:rStyle w:val="Hyperlink"/>
                <w:noProof/>
              </w:rPr>
              <w:t>Feststellung des Nachlasses und der Erben</w:t>
            </w:r>
            <w:r w:rsidR="008F6D3A">
              <w:rPr>
                <w:noProof/>
                <w:webHidden/>
              </w:rPr>
              <w:tab/>
            </w:r>
            <w:r w:rsidR="008F6D3A">
              <w:rPr>
                <w:noProof/>
                <w:webHidden/>
              </w:rPr>
              <w:fldChar w:fldCharType="begin"/>
            </w:r>
            <w:r w:rsidR="008F6D3A">
              <w:rPr>
                <w:noProof/>
                <w:webHidden/>
              </w:rPr>
              <w:instrText xml:space="preserve"> PAGEREF _Toc432175587 \h </w:instrText>
            </w:r>
            <w:r w:rsidR="008F6D3A">
              <w:rPr>
                <w:noProof/>
                <w:webHidden/>
              </w:rPr>
            </w:r>
            <w:r w:rsidR="008F6D3A">
              <w:rPr>
                <w:noProof/>
                <w:webHidden/>
              </w:rPr>
              <w:fldChar w:fldCharType="separate"/>
            </w:r>
            <w:r w:rsidR="00C4252E">
              <w:rPr>
                <w:noProof/>
                <w:webHidden/>
              </w:rPr>
              <w:t>76</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588" w:history="1">
            <w:r w:rsidR="008F6D3A" w:rsidRPr="007F0955">
              <w:rPr>
                <w:rStyle w:val="Hyperlink"/>
                <w:noProof/>
              </w:rPr>
              <w:t>IV. Erbteilung</w:t>
            </w:r>
            <w:r w:rsidR="008F6D3A">
              <w:rPr>
                <w:noProof/>
                <w:webHidden/>
              </w:rPr>
              <w:tab/>
            </w:r>
            <w:r w:rsidR="008F6D3A">
              <w:rPr>
                <w:noProof/>
                <w:webHidden/>
              </w:rPr>
              <w:fldChar w:fldCharType="begin"/>
            </w:r>
            <w:r w:rsidR="008F6D3A">
              <w:rPr>
                <w:noProof/>
                <w:webHidden/>
              </w:rPr>
              <w:instrText xml:space="preserve"> PAGEREF _Toc432175588 \h </w:instrText>
            </w:r>
            <w:r w:rsidR="008F6D3A">
              <w:rPr>
                <w:noProof/>
                <w:webHidden/>
              </w:rPr>
            </w:r>
            <w:r w:rsidR="008F6D3A">
              <w:rPr>
                <w:noProof/>
                <w:webHidden/>
              </w:rPr>
              <w:fldChar w:fldCharType="separate"/>
            </w:r>
            <w:r w:rsidR="00C4252E">
              <w:rPr>
                <w:noProof/>
                <w:webHidden/>
              </w:rPr>
              <w:t>80</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89" w:history="1">
            <w:r w:rsidR="008F6D3A" w:rsidRPr="007F0955">
              <w:rPr>
                <w:rStyle w:val="Hyperlink"/>
                <w:noProof/>
                <w:spacing w:val="-10"/>
              </w:rPr>
              <w:t>A.</w:t>
            </w:r>
            <w:r w:rsidR="008F6D3A">
              <w:rPr>
                <w:rFonts w:asciiTheme="minorHAnsi" w:eastAsiaTheme="minorEastAsia" w:hAnsiTheme="minorHAnsi"/>
                <w:noProof/>
                <w:szCs w:val="22"/>
                <w:lang w:eastAsia="de-CH"/>
              </w:rPr>
              <w:tab/>
            </w:r>
            <w:r w:rsidR="008F6D3A" w:rsidRPr="007F0955">
              <w:rPr>
                <w:rStyle w:val="Hyperlink"/>
                <w:noProof/>
              </w:rPr>
              <w:t>Grundsätzliches</w:t>
            </w:r>
            <w:r w:rsidR="008F6D3A">
              <w:rPr>
                <w:noProof/>
                <w:webHidden/>
              </w:rPr>
              <w:tab/>
            </w:r>
            <w:r w:rsidR="008F6D3A">
              <w:rPr>
                <w:noProof/>
                <w:webHidden/>
              </w:rPr>
              <w:fldChar w:fldCharType="begin"/>
            </w:r>
            <w:r w:rsidR="008F6D3A">
              <w:rPr>
                <w:noProof/>
                <w:webHidden/>
              </w:rPr>
              <w:instrText xml:space="preserve"> PAGEREF _Toc432175589 \h </w:instrText>
            </w:r>
            <w:r w:rsidR="008F6D3A">
              <w:rPr>
                <w:noProof/>
                <w:webHidden/>
              </w:rPr>
            </w:r>
            <w:r w:rsidR="008F6D3A">
              <w:rPr>
                <w:noProof/>
                <w:webHidden/>
              </w:rPr>
              <w:fldChar w:fldCharType="separate"/>
            </w:r>
            <w:r w:rsidR="00C4252E">
              <w:rPr>
                <w:noProof/>
                <w:webHidden/>
              </w:rPr>
              <w:t>80</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90" w:history="1">
            <w:r w:rsidR="008F6D3A" w:rsidRPr="007F0955">
              <w:rPr>
                <w:rStyle w:val="Hyperlink"/>
                <w:noProof/>
                <w:spacing w:val="-24"/>
              </w:rPr>
              <w:t>B.</w:t>
            </w:r>
            <w:r w:rsidR="008F6D3A">
              <w:rPr>
                <w:rFonts w:asciiTheme="minorHAnsi" w:eastAsiaTheme="minorEastAsia" w:hAnsiTheme="minorHAnsi"/>
                <w:noProof/>
                <w:szCs w:val="22"/>
                <w:lang w:eastAsia="de-CH"/>
              </w:rPr>
              <w:tab/>
            </w:r>
            <w:r w:rsidR="008F6D3A" w:rsidRPr="007F0955">
              <w:rPr>
                <w:rStyle w:val="Hyperlink"/>
                <w:noProof/>
              </w:rPr>
              <w:t>Form des Erbteilungsvertrages</w:t>
            </w:r>
            <w:r w:rsidR="008F6D3A">
              <w:rPr>
                <w:noProof/>
                <w:webHidden/>
              </w:rPr>
              <w:tab/>
            </w:r>
            <w:r w:rsidR="008F6D3A">
              <w:rPr>
                <w:noProof/>
                <w:webHidden/>
              </w:rPr>
              <w:fldChar w:fldCharType="begin"/>
            </w:r>
            <w:r w:rsidR="008F6D3A">
              <w:rPr>
                <w:noProof/>
                <w:webHidden/>
              </w:rPr>
              <w:instrText xml:space="preserve"> PAGEREF _Toc432175590 \h </w:instrText>
            </w:r>
            <w:r w:rsidR="008F6D3A">
              <w:rPr>
                <w:noProof/>
                <w:webHidden/>
              </w:rPr>
            </w:r>
            <w:r w:rsidR="008F6D3A">
              <w:rPr>
                <w:noProof/>
                <w:webHidden/>
              </w:rPr>
              <w:fldChar w:fldCharType="separate"/>
            </w:r>
            <w:r w:rsidR="00C4252E">
              <w:rPr>
                <w:noProof/>
                <w:webHidden/>
              </w:rPr>
              <w:t>81</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91" w:history="1">
            <w:r w:rsidR="008F6D3A" w:rsidRPr="007F0955">
              <w:rPr>
                <w:rStyle w:val="Hyperlink"/>
                <w:noProof/>
                <w:spacing w:val="-17"/>
              </w:rPr>
              <w:t>C.</w:t>
            </w:r>
            <w:r w:rsidR="008F6D3A">
              <w:rPr>
                <w:rFonts w:asciiTheme="minorHAnsi" w:eastAsiaTheme="minorEastAsia" w:hAnsiTheme="minorHAnsi"/>
                <w:noProof/>
                <w:szCs w:val="22"/>
                <w:lang w:eastAsia="de-CH"/>
              </w:rPr>
              <w:tab/>
            </w:r>
            <w:r w:rsidR="008F6D3A" w:rsidRPr="007F0955">
              <w:rPr>
                <w:rStyle w:val="Hyperlink"/>
                <w:noProof/>
              </w:rPr>
              <w:t>Inhalt des Erbteilungsvertrages</w:t>
            </w:r>
            <w:r w:rsidR="008F6D3A">
              <w:rPr>
                <w:noProof/>
                <w:webHidden/>
              </w:rPr>
              <w:tab/>
            </w:r>
            <w:r w:rsidR="008F6D3A">
              <w:rPr>
                <w:noProof/>
                <w:webHidden/>
              </w:rPr>
              <w:fldChar w:fldCharType="begin"/>
            </w:r>
            <w:r w:rsidR="008F6D3A">
              <w:rPr>
                <w:noProof/>
                <w:webHidden/>
              </w:rPr>
              <w:instrText xml:space="preserve"> PAGEREF _Toc432175591 \h </w:instrText>
            </w:r>
            <w:r w:rsidR="008F6D3A">
              <w:rPr>
                <w:noProof/>
                <w:webHidden/>
              </w:rPr>
            </w:r>
            <w:r w:rsidR="008F6D3A">
              <w:rPr>
                <w:noProof/>
                <w:webHidden/>
              </w:rPr>
              <w:fldChar w:fldCharType="separate"/>
            </w:r>
            <w:r w:rsidR="00C4252E">
              <w:rPr>
                <w:noProof/>
                <w:webHidden/>
              </w:rPr>
              <w:t>81</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92" w:history="1">
            <w:r w:rsidR="008F6D3A" w:rsidRPr="007F0955">
              <w:rPr>
                <w:rStyle w:val="Hyperlink"/>
                <w:noProof/>
              </w:rPr>
              <w:t>D.</w:t>
            </w:r>
            <w:r w:rsidR="008F6D3A">
              <w:rPr>
                <w:rFonts w:asciiTheme="minorHAnsi" w:eastAsiaTheme="minorEastAsia" w:hAnsiTheme="minorHAnsi"/>
                <w:noProof/>
                <w:szCs w:val="22"/>
                <w:lang w:eastAsia="de-CH"/>
              </w:rPr>
              <w:tab/>
            </w:r>
            <w:r w:rsidR="008F6D3A" w:rsidRPr="007F0955">
              <w:rPr>
                <w:rStyle w:val="Hyperlink"/>
                <w:noProof/>
              </w:rPr>
              <w:t>Ausgleichung</w:t>
            </w:r>
            <w:r w:rsidR="008F6D3A">
              <w:rPr>
                <w:noProof/>
                <w:webHidden/>
              </w:rPr>
              <w:tab/>
            </w:r>
            <w:r w:rsidR="008F6D3A">
              <w:rPr>
                <w:noProof/>
                <w:webHidden/>
              </w:rPr>
              <w:fldChar w:fldCharType="begin"/>
            </w:r>
            <w:r w:rsidR="008F6D3A">
              <w:rPr>
                <w:noProof/>
                <w:webHidden/>
              </w:rPr>
              <w:instrText xml:space="preserve"> PAGEREF _Toc432175592 \h </w:instrText>
            </w:r>
            <w:r w:rsidR="008F6D3A">
              <w:rPr>
                <w:noProof/>
                <w:webHidden/>
              </w:rPr>
            </w:r>
            <w:r w:rsidR="008F6D3A">
              <w:rPr>
                <w:noProof/>
                <w:webHidden/>
              </w:rPr>
              <w:fldChar w:fldCharType="separate"/>
            </w:r>
            <w:r w:rsidR="00C4252E">
              <w:rPr>
                <w:noProof/>
                <w:webHidden/>
              </w:rPr>
              <w:t>81</w:t>
            </w:r>
            <w:r w:rsidR="008F6D3A">
              <w:rPr>
                <w:noProof/>
                <w:webHidden/>
              </w:rPr>
              <w:fldChar w:fldCharType="end"/>
            </w:r>
          </w:hyperlink>
        </w:p>
        <w:p w:rsidR="008F6D3A" w:rsidRDefault="00C64023">
          <w:pPr>
            <w:pStyle w:val="Verzeichnis1"/>
            <w:tabs>
              <w:tab w:val="right" w:leader="dot" w:pos="9152"/>
            </w:tabs>
            <w:rPr>
              <w:rFonts w:asciiTheme="minorHAnsi" w:eastAsiaTheme="minorEastAsia" w:hAnsiTheme="minorHAnsi"/>
              <w:noProof/>
              <w:szCs w:val="22"/>
              <w:lang w:eastAsia="de-CH"/>
            </w:rPr>
          </w:pPr>
          <w:hyperlink w:anchor="_Toc432175593" w:history="1">
            <w:r w:rsidR="008F6D3A" w:rsidRPr="007F0955">
              <w:rPr>
                <w:rStyle w:val="Hyperlink"/>
                <w:noProof/>
                <w:w w:val="114"/>
              </w:rPr>
              <w:t>Handelsrecht</w:t>
            </w:r>
            <w:r w:rsidR="008F6D3A">
              <w:rPr>
                <w:noProof/>
                <w:webHidden/>
              </w:rPr>
              <w:tab/>
            </w:r>
            <w:r w:rsidR="008F6D3A">
              <w:rPr>
                <w:noProof/>
                <w:webHidden/>
              </w:rPr>
              <w:fldChar w:fldCharType="begin"/>
            </w:r>
            <w:r w:rsidR="008F6D3A">
              <w:rPr>
                <w:noProof/>
                <w:webHidden/>
              </w:rPr>
              <w:instrText xml:space="preserve"> PAGEREF _Toc432175593 \h </w:instrText>
            </w:r>
            <w:r w:rsidR="008F6D3A">
              <w:rPr>
                <w:noProof/>
                <w:webHidden/>
              </w:rPr>
            </w:r>
            <w:r w:rsidR="008F6D3A">
              <w:rPr>
                <w:noProof/>
                <w:webHidden/>
              </w:rPr>
              <w:fldChar w:fldCharType="separate"/>
            </w:r>
            <w:r w:rsidR="00C4252E">
              <w:rPr>
                <w:noProof/>
                <w:webHidden/>
              </w:rPr>
              <w:t>83</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594" w:history="1">
            <w:r w:rsidR="008F6D3A" w:rsidRPr="007F0955">
              <w:rPr>
                <w:rStyle w:val="Hyperlink"/>
                <w:noProof/>
              </w:rPr>
              <w:t>I. Einleitung</w:t>
            </w:r>
            <w:r w:rsidR="008F6D3A">
              <w:rPr>
                <w:noProof/>
                <w:webHidden/>
              </w:rPr>
              <w:tab/>
            </w:r>
            <w:r w:rsidR="008F6D3A">
              <w:rPr>
                <w:noProof/>
                <w:webHidden/>
              </w:rPr>
              <w:fldChar w:fldCharType="begin"/>
            </w:r>
            <w:r w:rsidR="008F6D3A">
              <w:rPr>
                <w:noProof/>
                <w:webHidden/>
              </w:rPr>
              <w:instrText xml:space="preserve"> PAGEREF _Toc432175594 \h </w:instrText>
            </w:r>
            <w:r w:rsidR="008F6D3A">
              <w:rPr>
                <w:noProof/>
                <w:webHidden/>
              </w:rPr>
            </w:r>
            <w:r w:rsidR="008F6D3A">
              <w:rPr>
                <w:noProof/>
                <w:webHidden/>
              </w:rPr>
              <w:fldChar w:fldCharType="separate"/>
            </w:r>
            <w:r w:rsidR="00C4252E">
              <w:rPr>
                <w:noProof/>
                <w:webHidden/>
              </w:rPr>
              <w:t>83</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595" w:history="1">
            <w:r w:rsidR="008F6D3A" w:rsidRPr="007F0955">
              <w:rPr>
                <w:rStyle w:val="Hyperlink"/>
                <w:noProof/>
              </w:rPr>
              <w:t>II. Die einfache Gesellschaft (Art. 530 - 551 OR)</w:t>
            </w:r>
            <w:r w:rsidR="008F6D3A">
              <w:rPr>
                <w:noProof/>
                <w:webHidden/>
              </w:rPr>
              <w:tab/>
            </w:r>
            <w:r w:rsidR="008F6D3A">
              <w:rPr>
                <w:noProof/>
                <w:webHidden/>
              </w:rPr>
              <w:fldChar w:fldCharType="begin"/>
            </w:r>
            <w:r w:rsidR="008F6D3A">
              <w:rPr>
                <w:noProof/>
                <w:webHidden/>
              </w:rPr>
              <w:instrText xml:space="preserve"> PAGEREF _Toc432175595 \h </w:instrText>
            </w:r>
            <w:r w:rsidR="008F6D3A">
              <w:rPr>
                <w:noProof/>
                <w:webHidden/>
              </w:rPr>
            </w:r>
            <w:r w:rsidR="008F6D3A">
              <w:rPr>
                <w:noProof/>
                <w:webHidden/>
              </w:rPr>
              <w:fldChar w:fldCharType="separate"/>
            </w:r>
            <w:r w:rsidR="00C4252E">
              <w:rPr>
                <w:noProof/>
                <w:webHidden/>
              </w:rPr>
              <w:t>84</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596" w:history="1">
            <w:r w:rsidR="008F6D3A" w:rsidRPr="007F0955">
              <w:rPr>
                <w:rStyle w:val="Hyperlink"/>
                <w:noProof/>
              </w:rPr>
              <w:t>III. Die Kollektivgesellschaft (Art. 552 - 593 OR)</w:t>
            </w:r>
            <w:r w:rsidR="008F6D3A">
              <w:rPr>
                <w:noProof/>
                <w:webHidden/>
              </w:rPr>
              <w:tab/>
            </w:r>
            <w:r w:rsidR="008F6D3A">
              <w:rPr>
                <w:noProof/>
                <w:webHidden/>
              </w:rPr>
              <w:fldChar w:fldCharType="begin"/>
            </w:r>
            <w:r w:rsidR="008F6D3A">
              <w:rPr>
                <w:noProof/>
                <w:webHidden/>
              </w:rPr>
              <w:instrText xml:space="preserve"> PAGEREF _Toc432175596 \h </w:instrText>
            </w:r>
            <w:r w:rsidR="008F6D3A">
              <w:rPr>
                <w:noProof/>
                <w:webHidden/>
              </w:rPr>
            </w:r>
            <w:r w:rsidR="008F6D3A">
              <w:rPr>
                <w:noProof/>
                <w:webHidden/>
              </w:rPr>
              <w:fldChar w:fldCharType="separate"/>
            </w:r>
            <w:r w:rsidR="00C4252E">
              <w:rPr>
                <w:noProof/>
                <w:webHidden/>
              </w:rPr>
              <w:t>86</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597" w:history="1">
            <w:r w:rsidR="008F6D3A" w:rsidRPr="007F0955">
              <w:rPr>
                <w:rStyle w:val="Hyperlink"/>
                <w:noProof/>
              </w:rPr>
              <w:t>IV. Die Kommanditgesellschaft (Art. 594 - 619 OR)</w:t>
            </w:r>
            <w:r w:rsidR="008F6D3A">
              <w:rPr>
                <w:noProof/>
                <w:webHidden/>
              </w:rPr>
              <w:tab/>
            </w:r>
            <w:r w:rsidR="008F6D3A">
              <w:rPr>
                <w:noProof/>
                <w:webHidden/>
              </w:rPr>
              <w:fldChar w:fldCharType="begin"/>
            </w:r>
            <w:r w:rsidR="008F6D3A">
              <w:rPr>
                <w:noProof/>
                <w:webHidden/>
              </w:rPr>
              <w:instrText xml:space="preserve"> PAGEREF _Toc432175597 \h </w:instrText>
            </w:r>
            <w:r w:rsidR="008F6D3A">
              <w:rPr>
                <w:noProof/>
                <w:webHidden/>
              </w:rPr>
            </w:r>
            <w:r w:rsidR="008F6D3A">
              <w:rPr>
                <w:noProof/>
                <w:webHidden/>
              </w:rPr>
              <w:fldChar w:fldCharType="separate"/>
            </w:r>
            <w:r w:rsidR="00C4252E">
              <w:rPr>
                <w:noProof/>
                <w:webHidden/>
              </w:rPr>
              <w:t>87</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598" w:history="1">
            <w:r w:rsidR="008F6D3A" w:rsidRPr="007F0955">
              <w:rPr>
                <w:rStyle w:val="Hyperlink"/>
                <w:noProof/>
              </w:rPr>
              <w:t>V. Die Aktiengesellschaft (Art. 620 - 763 OR)</w:t>
            </w:r>
            <w:r w:rsidR="008F6D3A">
              <w:rPr>
                <w:noProof/>
                <w:webHidden/>
              </w:rPr>
              <w:tab/>
            </w:r>
            <w:r w:rsidR="008F6D3A">
              <w:rPr>
                <w:noProof/>
                <w:webHidden/>
              </w:rPr>
              <w:fldChar w:fldCharType="begin"/>
            </w:r>
            <w:r w:rsidR="008F6D3A">
              <w:rPr>
                <w:noProof/>
                <w:webHidden/>
              </w:rPr>
              <w:instrText xml:space="preserve"> PAGEREF _Toc432175598 \h </w:instrText>
            </w:r>
            <w:r w:rsidR="008F6D3A">
              <w:rPr>
                <w:noProof/>
                <w:webHidden/>
              </w:rPr>
            </w:r>
            <w:r w:rsidR="008F6D3A">
              <w:rPr>
                <w:noProof/>
                <w:webHidden/>
              </w:rPr>
              <w:fldChar w:fldCharType="separate"/>
            </w:r>
            <w:r w:rsidR="00C4252E">
              <w:rPr>
                <w:noProof/>
                <w:webHidden/>
              </w:rPr>
              <w:t>88</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599" w:history="1">
            <w:r w:rsidR="008F6D3A" w:rsidRPr="007F0955">
              <w:rPr>
                <w:rStyle w:val="Hyperlink"/>
                <w:noProof/>
              </w:rPr>
              <w:t>A.</w:t>
            </w:r>
            <w:r w:rsidR="008F6D3A">
              <w:rPr>
                <w:rFonts w:asciiTheme="minorHAnsi" w:eastAsiaTheme="minorEastAsia" w:hAnsiTheme="minorHAnsi"/>
                <w:noProof/>
                <w:szCs w:val="22"/>
                <w:lang w:eastAsia="de-CH"/>
              </w:rPr>
              <w:tab/>
            </w:r>
            <w:r w:rsidR="008F6D3A" w:rsidRPr="007F0955">
              <w:rPr>
                <w:rStyle w:val="Hyperlink"/>
                <w:noProof/>
              </w:rPr>
              <w:t>Allgemeines</w:t>
            </w:r>
            <w:r w:rsidR="008F6D3A">
              <w:rPr>
                <w:noProof/>
                <w:webHidden/>
              </w:rPr>
              <w:tab/>
            </w:r>
            <w:r w:rsidR="008F6D3A">
              <w:rPr>
                <w:noProof/>
                <w:webHidden/>
              </w:rPr>
              <w:fldChar w:fldCharType="begin"/>
            </w:r>
            <w:r w:rsidR="008F6D3A">
              <w:rPr>
                <w:noProof/>
                <w:webHidden/>
              </w:rPr>
              <w:instrText xml:space="preserve"> PAGEREF _Toc432175599 \h </w:instrText>
            </w:r>
            <w:r w:rsidR="008F6D3A">
              <w:rPr>
                <w:noProof/>
                <w:webHidden/>
              </w:rPr>
            </w:r>
            <w:r w:rsidR="008F6D3A">
              <w:rPr>
                <w:noProof/>
                <w:webHidden/>
              </w:rPr>
              <w:fldChar w:fldCharType="separate"/>
            </w:r>
            <w:r w:rsidR="00C4252E">
              <w:rPr>
                <w:noProof/>
                <w:webHidden/>
              </w:rPr>
              <w:t>88</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00" w:history="1">
            <w:r w:rsidR="008F6D3A" w:rsidRPr="007F0955">
              <w:rPr>
                <w:rStyle w:val="Hyperlink"/>
                <w:noProof/>
              </w:rPr>
              <w:t>B.</w:t>
            </w:r>
            <w:r w:rsidR="008F6D3A">
              <w:rPr>
                <w:rFonts w:asciiTheme="minorHAnsi" w:eastAsiaTheme="minorEastAsia" w:hAnsiTheme="minorHAnsi"/>
                <w:noProof/>
                <w:szCs w:val="22"/>
                <w:lang w:eastAsia="de-CH"/>
              </w:rPr>
              <w:tab/>
            </w:r>
            <w:r w:rsidR="008F6D3A" w:rsidRPr="007F0955">
              <w:rPr>
                <w:rStyle w:val="Hyperlink"/>
                <w:noProof/>
              </w:rPr>
              <w:t>Statuten</w:t>
            </w:r>
            <w:r w:rsidR="008F6D3A">
              <w:rPr>
                <w:noProof/>
                <w:webHidden/>
              </w:rPr>
              <w:tab/>
            </w:r>
            <w:r w:rsidR="008F6D3A">
              <w:rPr>
                <w:noProof/>
                <w:webHidden/>
              </w:rPr>
              <w:fldChar w:fldCharType="begin"/>
            </w:r>
            <w:r w:rsidR="008F6D3A">
              <w:rPr>
                <w:noProof/>
                <w:webHidden/>
              </w:rPr>
              <w:instrText xml:space="preserve"> PAGEREF _Toc432175600 \h </w:instrText>
            </w:r>
            <w:r w:rsidR="008F6D3A">
              <w:rPr>
                <w:noProof/>
                <w:webHidden/>
              </w:rPr>
            </w:r>
            <w:r w:rsidR="008F6D3A">
              <w:rPr>
                <w:noProof/>
                <w:webHidden/>
              </w:rPr>
              <w:fldChar w:fldCharType="separate"/>
            </w:r>
            <w:r w:rsidR="00C4252E">
              <w:rPr>
                <w:noProof/>
                <w:webHidden/>
              </w:rPr>
              <w:t>88</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01" w:history="1">
            <w:r w:rsidR="008F6D3A" w:rsidRPr="007F0955">
              <w:rPr>
                <w:rStyle w:val="Hyperlink"/>
                <w:noProof/>
              </w:rPr>
              <w:t>C.</w:t>
            </w:r>
            <w:r w:rsidR="008F6D3A">
              <w:rPr>
                <w:rFonts w:asciiTheme="minorHAnsi" w:eastAsiaTheme="minorEastAsia" w:hAnsiTheme="minorHAnsi"/>
                <w:noProof/>
                <w:szCs w:val="22"/>
                <w:lang w:eastAsia="de-CH"/>
              </w:rPr>
              <w:tab/>
            </w:r>
            <w:r w:rsidR="008F6D3A" w:rsidRPr="007F0955">
              <w:rPr>
                <w:rStyle w:val="Hyperlink"/>
                <w:noProof/>
              </w:rPr>
              <w:t>Aktien / Aktienkapital</w:t>
            </w:r>
            <w:r w:rsidR="008F6D3A">
              <w:rPr>
                <w:noProof/>
                <w:webHidden/>
              </w:rPr>
              <w:tab/>
            </w:r>
            <w:r w:rsidR="008F6D3A">
              <w:rPr>
                <w:noProof/>
                <w:webHidden/>
              </w:rPr>
              <w:fldChar w:fldCharType="begin"/>
            </w:r>
            <w:r w:rsidR="008F6D3A">
              <w:rPr>
                <w:noProof/>
                <w:webHidden/>
              </w:rPr>
              <w:instrText xml:space="preserve"> PAGEREF _Toc432175601 \h </w:instrText>
            </w:r>
            <w:r w:rsidR="008F6D3A">
              <w:rPr>
                <w:noProof/>
                <w:webHidden/>
              </w:rPr>
            </w:r>
            <w:r w:rsidR="008F6D3A">
              <w:rPr>
                <w:noProof/>
                <w:webHidden/>
              </w:rPr>
              <w:fldChar w:fldCharType="separate"/>
            </w:r>
            <w:r w:rsidR="00C4252E">
              <w:rPr>
                <w:noProof/>
                <w:webHidden/>
              </w:rPr>
              <w:t>89</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02" w:history="1">
            <w:r w:rsidR="008F6D3A" w:rsidRPr="007F0955">
              <w:rPr>
                <w:rStyle w:val="Hyperlink"/>
                <w:noProof/>
              </w:rPr>
              <w:t>D.</w:t>
            </w:r>
            <w:r w:rsidR="008F6D3A">
              <w:rPr>
                <w:rFonts w:asciiTheme="minorHAnsi" w:eastAsiaTheme="minorEastAsia" w:hAnsiTheme="minorHAnsi"/>
                <w:noProof/>
                <w:szCs w:val="22"/>
                <w:lang w:eastAsia="de-CH"/>
              </w:rPr>
              <w:tab/>
            </w:r>
            <w:r w:rsidR="008F6D3A" w:rsidRPr="007F0955">
              <w:rPr>
                <w:rStyle w:val="Hyperlink"/>
                <w:noProof/>
              </w:rPr>
              <w:t>Rechte und Pflichten der Aktionäre</w:t>
            </w:r>
            <w:r w:rsidR="008F6D3A">
              <w:rPr>
                <w:noProof/>
                <w:webHidden/>
              </w:rPr>
              <w:tab/>
            </w:r>
            <w:r w:rsidR="008F6D3A">
              <w:rPr>
                <w:noProof/>
                <w:webHidden/>
              </w:rPr>
              <w:fldChar w:fldCharType="begin"/>
            </w:r>
            <w:r w:rsidR="008F6D3A">
              <w:rPr>
                <w:noProof/>
                <w:webHidden/>
              </w:rPr>
              <w:instrText xml:space="preserve"> PAGEREF _Toc432175602 \h </w:instrText>
            </w:r>
            <w:r w:rsidR="008F6D3A">
              <w:rPr>
                <w:noProof/>
                <w:webHidden/>
              </w:rPr>
            </w:r>
            <w:r w:rsidR="008F6D3A">
              <w:rPr>
                <w:noProof/>
                <w:webHidden/>
              </w:rPr>
              <w:fldChar w:fldCharType="separate"/>
            </w:r>
            <w:r w:rsidR="00C4252E">
              <w:rPr>
                <w:noProof/>
                <w:webHidden/>
              </w:rPr>
              <w:t>90</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03" w:history="1">
            <w:r w:rsidR="008F6D3A" w:rsidRPr="007F0955">
              <w:rPr>
                <w:rStyle w:val="Hyperlink"/>
                <w:noProof/>
              </w:rPr>
              <w:t>E.</w:t>
            </w:r>
            <w:r w:rsidR="008F6D3A">
              <w:rPr>
                <w:rFonts w:asciiTheme="minorHAnsi" w:eastAsiaTheme="minorEastAsia" w:hAnsiTheme="minorHAnsi"/>
                <w:noProof/>
                <w:szCs w:val="22"/>
                <w:lang w:eastAsia="de-CH"/>
              </w:rPr>
              <w:tab/>
            </w:r>
            <w:r w:rsidR="008F6D3A" w:rsidRPr="007F0955">
              <w:rPr>
                <w:rStyle w:val="Hyperlink"/>
                <w:noProof/>
              </w:rPr>
              <w:t>Organe</w:t>
            </w:r>
            <w:r w:rsidR="008F6D3A">
              <w:rPr>
                <w:noProof/>
                <w:webHidden/>
              </w:rPr>
              <w:tab/>
            </w:r>
            <w:r w:rsidR="008F6D3A">
              <w:rPr>
                <w:noProof/>
                <w:webHidden/>
              </w:rPr>
              <w:fldChar w:fldCharType="begin"/>
            </w:r>
            <w:r w:rsidR="008F6D3A">
              <w:rPr>
                <w:noProof/>
                <w:webHidden/>
              </w:rPr>
              <w:instrText xml:space="preserve"> PAGEREF _Toc432175603 \h </w:instrText>
            </w:r>
            <w:r w:rsidR="008F6D3A">
              <w:rPr>
                <w:noProof/>
                <w:webHidden/>
              </w:rPr>
            </w:r>
            <w:r w:rsidR="008F6D3A">
              <w:rPr>
                <w:noProof/>
                <w:webHidden/>
              </w:rPr>
              <w:fldChar w:fldCharType="separate"/>
            </w:r>
            <w:r w:rsidR="00C4252E">
              <w:rPr>
                <w:noProof/>
                <w:webHidden/>
              </w:rPr>
              <w:t>91</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04" w:history="1">
            <w:r w:rsidR="008F6D3A" w:rsidRPr="007F0955">
              <w:rPr>
                <w:rStyle w:val="Hyperlink"/>
                <w:noProof/>
              </w:rPr>
              <w:t>F.</w:t>
            </w:r>
            <w:r w:rsidR="008F6D3A">
              <w:rPr>
                <w:rFonts w:asciiTheme="minorHAnsi" w:eastAsiaTheme="minorEastAsia" w:hAnsiTheme="minorHAnsi"/>
                <w:noProof/>
                <w:szCs w:val="22"/>
                <w:lang w:eastAsia="de-CH"/>
              </w:rPr>
              <w:tab/>
            </w:r>
            <w:r w:rsidR="008F6D3A" w:rsidRPr="007F0955">
              <w:rPr>
                <w:rStyle w:val="Hyperlink"/>
                <w:noProof/>
              </w:rPr>
              <w:t>Die Gründung der Aktiengesellschaft (Art. 629 - 635a OR)</w:t>
            </w:r>
            <w:r w:rsidR="008F6D3A">
              <w:rPr>
                <w:noProof/>
                <w:webHidden/>
              </w:rPr>
              <w:tab/>
            </w:r>
            <w:r w:rsidR="008F6D3A">
              <w:rPr>
                <w:noProof/>
                <w:webHidden/>
              </w:rPr>
              <w:fldChar w:fldCharType="begin"/>
            </w:r>
            <w:r w:rsidR="008F6D3A">
              <w:rPr>
                <w:noProof/>
                <w:webHidden/>
              </w:rPr>
              <w:instrText xml:space="preserve"> PAGEREF _Toc432175604 \h </w:instrText>
            </w:r>
            <w:r w:rsidR="008F6D3A">
              <w:rPr>
                <w:noProof/>
                <w:webHidden/>
              </w:rPr>
            </w:r>
            <w:r w:rsidR="008F6D3A">
              <w:rPr>
                <w:noProof/>
                <w:webHidden/>
              </w:rPr>
              <w:fldChar w:fldCharType="separate"/>
            </w:r>
            <w:r w:rsidR="00C4252E">
              <w:rPr>
                <w:noProof/>
                <w:webHidden/>
              </w:rPr>
              <w:t>92</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05" w:history="1">
            <w:r w:rsidR="008F6D3A" w:rsidRPr="007F0955">
              <w:rPr>
                <w:rStyle w:val="Hyperlink"/>
                <w:noProof/>
              </w:rPr>
              <w:t>G.</w:t>
            </w:r>
            <w:r w:rsidR="008F6D3A">
              <w:rPr>
                <w:rFonts w:asciiTheme="minorHAnsi" w:eastAsiaTheme="minorEastAsia" w:hAnsiTheme="minorHAnsi"/>
                <w:noProof/>
                <w:szCs w:val="22"/>
                <w:lang w:eastAsia="de-CH"/>
              </w:rPr>
              <w:tab/>
            </w:r>
            <w:r w:rsidR="008F6D3A" w:rsidRPr="007F0955">
              <w:rPr>
                <w:rStyle w:val="Hyperlink"/>
                <w:noProof/>
              </w:rPr>
              <w:t>Statutenänderungen</w:t>
            </w:r>
            <w:r w:rsidR="008F6D3A">
              <w:rPr>
                <w:noProof/>
                <w:webHidden/>
              </w:rPr>
              <w:tab/>
            </w:r>
            <w:r w:rsidR="008F6D3A">
              <w:rPr>
                <w:noProof/>
                <w:webHidden/>
              </w:rPr>
              <w:fldChar w:fldCharType="begin"/>
            </w:r>
            <w:r w:rsidR="008F6D3A">
              <w:rPr>
                <w:noProof/>
                <w:webHidden/>
              </w:rPr>
              <w:instrText xml:space="preserve"> PAGEREF _Toc432175605 \h </w:instrText>
            </w:r>
            <w:r w:rsidR="008F6D3A">
              <w:rPr>
                <w:noProof/>
                <w:webHidden/>
              </w:rPr>
            </w:r>
            <w:r w:rsidR="008F6D3A">
              <w:rPr>
                <w:noProof/>
                <w:webHidden/>
              </w:rPr>
              <w:fldChar w:fldCharType="separate"/>
            </w:r>
            <w:r w:rsidR="00C4252E">
              <w:rPr>
                <w:noProof/>
                <w:webHidden/>
              </w:rPr>
              <w:t>93</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606" w:history="1">
            <w:r w:rsidR="008F6D3A" w:rsidRPr="007F0955">
              <w:rPr>
                <w:rStyle w:val="Hyperlink"/>
                <w:noProof/>
              </w:rPr>
              <w:t>VI. Die Gesellschaft mit beschränkter Haftung</w:t>
            </w:r>
            <w:r w:rsidR="008F6D3A">
              <w:rPr>
                <w:noProof/>
                <w:webHidden/>
              </w:rPr>
              <w:tab/>
            </w:r>
            <w:r w:rsidR="008F6D3A">
              <w:rPr>
                <w:noProof/>
                <w:webHidden/>
              </w:rPr>
              <w:fldChar w:fldCharType="begin"/>
            </w:r>
            <w:r w:rsidR="008F6D3A">
              <w:rPr>
                <w:noProof/>
                <w:webHidden/>
              </w:rPr>
              <w:instrText xml:space="preserve"> PAGEREF _Toc432175606 \h </w:instrText>
            </w:r>
            <w:r w:rsidR="008F6D3A">
              <w:rPr>
                <w:noProof/>
                <w:webHidden/>
              </w:rPr>
            </w:r>
            <w:r w:rsidR="008F6D3A">
              <w:rPr>
                <w:noProof/>
                <w:webHidden/>
              </w:rPr>
              <w:fldChar w:fldCharType="separate"/>
            </w:r>
            <w:r w:rsidR="00C4252E">
              <w:rPr>
                <w:noProof/>
                <w:webHidden/>
              </w:rPr>
              <w:t>96</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07" w:history="1">
            <w:r w:rsidR="008F6D3A" w:rsidRPr="007F0955">
              <w:rPr>
                <w:rStyle w:val="Hyperlink"/>
                <w:noProof/>
              </w:rPr>
              <w:t>A.</w:t>
            </w:r>
            <w:r w:rsidR="008F6D3A">
              <w:rPr>
                <w:rFonts w:asciiTheme="minorHAnsi" w:eastAsiaTheme="minorEastAsia" w:hAnsiTheme="minorHAnsi"/>
                <w:noProof/>
                <w:szCs w:val="22"/>
                <w:lang w:eastAsia="de-CH"/>
              </w:rPr>
              <w:tab/>
            </w:r>
            <w:r w:rsidR="008F6D3A" w:rsidRPr="007F0955">
              <w:rPr>
                <w:rStyle w:val="Hyperlink"/>
                <w:noProof/>
              </w:rPr>
              <w:t>Allgemeines</w:t>
            </w:r>
            <w:r w:rsidR="008F6D3A">
              <w:rPr>
                <w:noProof/>
                <w:webHidden/>
              </w:rPr>
              <w:tab/>
            </w:r>
            <w:r w:rsidR="008F6D3A">
              <w:rPr>
                <w:noProof/>
                <w:webHidden/>
              </w:rPr>
              <w:fldChar w:fldCharType="begin"/>
            </w:r>
            <w:r w:rsidR="008F6D3A">
              <w:rPr>
                <w:noProof/>
                <w:webHidden/>
              </w:rPr>
              <w:instrText xml:space="preserve"> PAGEREF _Toc432175607 \h </w:instrText>
            </w:r>
            <w:r w:rsidR="008F6D3A">
              <w:rPr>
                <w:noProof/>
                <w:webHidden/>
              </w:rPr>
            </w:r>
            <w:r w:rsidR="008F6D3A">
              <w:rPr>
                <w:noProof/>
                <w:webHidden/>
              </w:rPr>
              <w:fldChar w:fldCharType="separate"/>
            </w:r>
            <w:r w:rsidR="00C4252E">
              <w:rPr>
                <w:noProof/>
                <w:webHidden/>
              </w:rPr>
              <w:t>96</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08" w:history="1">
            <w:r w:rsidR="008F6D3A" w:rsidRPr="007F0955">
              <w:rPr>
                <w:rStyle w:val="Hyperlink"/>
                <w:noProof/>
              </w:rPr>
              <w:t>B.</w:t>
            </w:r>
            <w:r w:rsidR="008F6D3A">
              <w:rPr>
                <w:rFonts w:asciiTheme="minorHAnsi" w:eastAsiaTheme="minorEastAsia" w:hAnsiTheme="minorHAnsi"/>
                <w:noProof/>
                <w:szCs w:val="22"/>
                <w:lang w:eastAsia="de-CH"/>
              </w:rPr>
              <w:tab/>
            </w:r>
            <w:r w:rsidR="008F6D3A" w:rsidRPr="007F0955">
              <w:rPr>
                <w:rStyle w:val="Hyperlink"/>
                <w:noProof/>
              </w:rPr>
              <w:t>Stammkapital, Stammanteile</w:t>
            </w:r>
            <w:r w:rsidR="008F6D3A">
              <w:rPr>
                <w:noProof/>
                <w:webHidden/>
              </w:rPr>
              <w:tab/>
            </w:r>
            <w:r w:rsidR="008F6D3A">
              <w:rPr>
                <w:noProof/>
                <w:webHidden/>
              </w:rPr>
              <w:fldChar w:fldCharType="begin"/>
            </w:r>
            <w:r w:rsidR="008F6D3A">
              <w:rPr>
                <w:noProof/>
                <w:webHidden/>
              </w:rPr>
              <w:instrText xml:space="preserve"> PAGEREF _Toc432175608 \h </w:instrText>
            </w:r>
            <w:r w:rsidR="008F6D3A">
              <w:rPr>
                <w:noProof/>
                <w:webHidden/>
              </w:rPr>
            </w:r>
            <w:r w:rsidR="008F6D3A">
              <w:rPr>
                <w:noProof/>
                <w:webHidden/>
              </w:rPr>
              <w:fldChar w:fldCharType="separate"/>
            </w:r>
            <w:r w:rsidR="00C4252E">
              <w:rPr>
                <w:noProof/>
                <w:webHidden/>
              </w:rPr>
              <w:t>97</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09" w:history="1">
            <w:r w:rsidR="008F6D3A" w:rsidRPr="007F0955">
              <w:rPr>
                <w:rStyle w:val="Hyperlink"/>
                <w:noProof/>
              </w:rPr>
              <w:t>C.</w:t>
            </w:r>
            <w:r w:rsidR="008F6D3A">
              <w:rPr>
                <w:rFonts w:asciiTheme="minorHAnsi" w:eastAsiaTheme="minorEastAsia" w:hAnsiTheme="minorHAnsi"/>
                <w:noProof/>
                <w:szCs w:val="22"/>
                <w:lang w:eastAsia="de-CH"/>
              </w:rPr>
              <w:tab/>
            </w:r>
            <w:r w:rsidR="008F6D3A" w:rsidRPr="007F0955">
              <w:rPr>
                <w:rStyle w:val="Hyperlink"/>
                <w:noProof/>
              </w:rPr>
              <w:t>Statuten</w:t>
            </w:r>
            <w:r w:rsidR="008F6D3A">
              <w:rPr>
                <w:noProof/>
                <w:webHidden/>
              </w:rPr>
              <w:tab/>
            </w:r>
            <w:r w:rsidR="008F6D3A">
              <w:rPr>
                <w:noProof/>
                <w:webHidden/>
              </w:rPr>
              <w:fldChar w:fldCharType="begin"/>
            </w:r>
            <w:r w:rsidR="008F6D3A">
              <w:rPr>
                <w:noProof/>
                <w:webHidden/>
              </w:rPr>
              <w:instrText xml:space="preserve"> PAGEREF _Toc432175609 \h </w:instrText>
            </w:r>
            <w:r w:rsidR="008F6D3A">
              <w:rPr>
                <w:noProof/>
                <w:webHidden/>
              </w:rPr>
            </w:r>
            <w:r w:rsidR="008F6D3A">
              <w:rPr>
                <w:noProof/>
                <w:webHidden/>
              </w:rPr>
              <w:fldChar w:fldCharType="separate"/>
            </w:r>
            <w:r w:rsidR="00C4252E">
              <w:rPr>
                <w:noProof/>
                <w:webHidden/>
              </w:rPr>
              <w:t>97</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10" w:history="1">
            <w:r w:rsidR="008F6D3A" w:rsidRPr="007F0955">
              <w:rPr>
                <w:rStyle w:val="Hyperlink"/>
                <w:noProof/>
              </w:rPr>
              <w:t>D.</w:t>
            </w:r>
            <w:r w:rsidR="008F6D3A">
              <w:rPr>
                <w:rFonts w:asciiTheme="minorHAnsi" w:eastAsiaTheme="minorEastAsia" w:hAnsiTheme="minorHAnsi"/>
                <w:noProof/>
                <w:szCs w:val="22"/>
                <w:lang w:eastAsia="de-CH"/>
              </w:rPr>
              <w:tab/>
            </w:r>
            <w:r w:rsidR="008F6D3A" w:rsidRPr="007F0955">
              <w:rPr>
                <w:rStyle w:val="Hyperlink"/>
                <w:noProof/>
              </w:rPr>
              <w:t>Rechte und Pflichten der Gesellschafter, Verantwortlichkeit</w:t>
            </w:r>
            <w:r w:rsidR="008F6D3A">
              <w:rPr>
                <w:noProof/>
                <w:webHidden/>
              </w:rPr>
              <w:tab/>
            </w:r>
            <w:r w:rsidR="008F6D3A">
              <w:rPr>
                <w:noProof/>
                <w:webHidden/>
              </w:rPr>
              <w:fldChar w:fldCharType="begin"/>
            </w:r>
            <w:r w:rsidR="008F6D3A">
              <w:rPr>
                <w:noProof/>
                <w:webHidden/>
              </w:rPr>
              <w:instrText xml:space="preserve"> PAGEREF _Toc432175610 \h </w:instrText>
            </w:r>
            <w:r w:rsidR="008F6D3A">
              <w:rPr>
                <w:noProof/>
                <w:webHidden/>
              </w:rPr>
            </w:r>
            <w:r w:rsidR="008F6D3A">
              <w:rPr>
                <w:noProof/>
                <w:webHidden/>
              </w:rPr>
              <w:fldChar w:fldCharType="separate"/>
            </w:r>
            <w:r w:rsidR="00C4252E">
              <w:rPr>
                <w:noProof/>
                <w:webHidden/>
              </w:rPr>
              <w:t>98</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11" w:history="1">
            <w:r w:rsidR="008F6D3A" w:rsidRPr="007F0955">
              <w:rPr>
                <w:rStyle w:val="Hyperlink"/>
                <w:noProof/>
              </w:rPr>
              <w:t>E.</w:t>
            </w:r>
            <w:r w:rsidR="008F6D3A">
              <w:rPr>
                <w:rFonts w:asciiTheme="minorHAnsi" w:eastAsiaTheme="minorEastAsia" w:hAnsiTheme="minorHAnsi"/>
                <w:noProof/>
                <w:szCs w:val="22"/>
                <w:lang w:eastAsia="de-CH"/>
              </w:rPr>
              <w:tab/>
            </w:r>
            <w:r w:rsidR="008F6D3A" w:rsidRPr="007F0955">
              <w:rPr>
                <w:rStyle w:val="Hyperlink"/>
                <w:noProof/>
              </w:rPr>
              <w:t>Organe der GmbH (Art. 804 – 819 OR)</w:t>
            </w:r>
            <w:r w:rsidR="008F6D3A">
              <w:rPr>
                <w:noProof/>
                <w:webHidden/>
              </w:rPr>
              <w:tab/>
            </w:r>
            <w:r w:rsidR="008F6D3A">
              <w:rPr>
                <w:noProof/>
                <w:webHidden/>
              </w:rPr>
              <w:fldChar w:fldCharType="begin"/>
            </w:r>
            <w:r w:rsidR="008F6D3A">
              <w:rPr>
                <w:noProof/>
                <w:webHidden/>
              </w:rPr>
              <w:instrText xml:space="preserve"> PAGEREF _Toc432175611 \h </w:instrText>
            </w:r>
            <w:r w:rsidR="008F6D3A">
              <w:rPr>
                <w:noProof/>
                <w:webHidden/>
              </w:rPr>
            </w:r>
            <w:r w:rsidR="008F6D3A">
              <w:rPr>
                <w:noProof/>
                <w:webHidden/>
              </w:rPr>
              <w:fldChar w:fldCharType="separate"/>
            </w:r>
            <w:r w:rsidR="00C4252E">
              <w:rPr>
                <w:noProof/>
                <w:webHidden/>
              </w:rPr>
              <w:t>99</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12" w:history="1">
            <w:r w:rsidR="008F6D3A" w:rsidRPr="007F0955">
              <w:rPr>
                <w:rStyle w:val="Hyperlink"/>
                <w:noProof/>
              </w:rPr>
              <w:t>F.</w:t>
            </w:r>
            <w:r w:rsidR="008F6D3A">
              <w:rPr>
                <w:rFonts w:asciiTheme="minorHAnsi" w:eastAsiaTheme="minorEastAsia" w:hAnsiTheme="minorHAnsi"/>
                <w:noProof/>
                <w:szCs w:val="22"/>
                <w:lang w:eastAsia="de-CH"/>
              </w:rPr>
              <w:tab/>
            </w:r>
            <w:r w:rsidR="008F6D3A" w:rsidRPr="007F0955">
              <w:rPr>
                <w:rStyle w:val="Hyperlink"/>
                <w:noProof/>
              </w:rPr>
              <w:t>Gründung (Art. 777 – 779a OR)</w:t>
            </w:r>
            <w:r w:rsidR="008F6D3A">
              <w:rPr>
                <w:noProof/>
                <w:webHidden/>
              </w:rPr>
              <w:tab/>
            </w:r>
            <w:r w:rsidR="008F6D3A">
              <w:rPr>
                <w:noProof/>
                <w:webHidden/>
              </w:rPr>
              <w:fldChar w:fldCharType="begin"/>
            </w:r>
            <w:r w:rsidR="008F6D3A">
              <w:rPr>
                <w:noProof/>
                <w:webHidden/>
              </w:rPr>
              <w:instrText xml:space="preserve"> PAGEREF _Toc432175612 \h </w:instrText>
            </w:r>
            <w:r w:rsidR="008F6D3A">
              <w:rPr>
                <w:noProof/>
                <w:webHidden/>
              </w:rPr>
            </w:r>
            <w:r w:rsidR="008F6D3A">
              <w:rPr>
                <w:noProof/>
                <w:webHidden/>
              </w:rPr>
              <w:fldChar w:fldCharType="separate"/>
            </w:r>
            <w:r w:rsidR="00C4252E">
              <w:rPr>
                <w:noProof/>
                <w:webHidden/>
              </w:rPr>
              <w:t>100</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13" w:history="1">
            <w:r w:rsidR="008F6D3A" w:rsidRPr="007F0955">
              <w:rPr>
                <w:rStyle w:val="Hyperlink"/>
                <w:noProof/>
              </w:rPr>
              <w:t>G.</w:t>
            </w:r>
            <w:r w:rsidR="008F6D3A">
              <w:rPr>
                <w:rFonts w:asciiTheme="minorHAnsi" w:eastAsiaTheme="minorEastAsia" w:hAnsiTheme="minorHAnsi"/>
                <w:noProof/>
                <w:szCs w:val="22"/>
                <w:lang w:eastAsia="de-CH"/>
              </w:rPr>
              <w:tab/>
            </w:r>
            <w:r w:rsidR="008F6D3A" w:rsidRPr="007F0955">
              <w:rPr>
                <w:rStyle w:val="Hyperlink"/>
                <w:noProof/>
              </w:rPr>
              <w:t>Statutenänderung, Erhöhung und Herabsetzung des Stammkapitals, Erwerb eigener Stammanteile</w:t>
            </w:r>
            <w:r w:rsidR="008F6D3A">
              <w:rPr>
                <w:noProof/>
                <w:webHidden/>
              </w:rPr>
              <w:tab/>
            </w:r>
            <w:r w:rsidR="008F6D3A">
              <w:rPr>
                <w:noProof/>
                <w:webHidden/>
              </w:rPr>
              <w:fldChar w:fldCharType="begin"/>
            </w:r>
            <w:r w:rsidR="008F6D3A">
              <w:rPr>
                <w:noProof/>
                <w:webHidden/>
              </w:rPr>
              <w:instrText xml:space="preserve"> PAGEREF _Toc432175613 \h </w:instrText>
            </w:r>
            <w:r w:rsidR="008F6D3A">
              <w:rPr>
                <w:noProof/>
                <w:webHidden/>
              </w:rPr>
            </w:r>
            <w:r w:rsidR="008F6D3A">
              <w:rPr>
                <w:noProof/>
                <w:webHidden/>
              </w:rPr>
              <w:fldChar w:fldCharType="separate"/>
            </w:r>
            <w:r w:rsidR="00C4252E">
              <w:rPr>
                <w:noProof/>
                <w:webHidden/>
              </w:rPr>
              <w:t>100</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14" w:history="1">
            <w:r w:rsidR="008F6D3A" w:rsidRPr="007F0955">
              <w:rPr>
                <w:rStyle w:val="Hyperlink"/>
                <w:noProof/>
              </w:rPr>
              <w:t>H.</w:t>
            </w:r>
            <w:r w:rsidR="008F6D3A">
              <w:rPr>
                <w:rFonts w:asciiTheme="minorHAnsi" w:eastAsiaTheme="minorEastAsia" w:hAnsiTheme="minorHAnsi"/>
                <w:noProof/>
                <w:szCs w:val="22"/>
                <w:lang w:eastAsia="de-CH"/>
              </w:rPr>
              <w:tab/>
            </w:r>
            <w:r w:rsidR="008F6D3A" w:rsidRPr="007F0955">
              <w:rPr>
                <w:rStyle w:val="Hyperlink"/>
                <w:noProof/>
              </w:rPr>
              <w:t>Auflösung und Ausscheiden (Art. 821 – 826 OR)</w:t>
            </w:r>
            <w:r w:rsidR="008F6D3A">
              <w:rPr>
                <w:noProof/>
                <w:webHidden/>
              </w:rPr>
              <w:tab/>
            </w:r>
            <w:r w:rsidR="008F6D3A">
              <w:rPr>
                <w:noProof/>
                <w:webHidden/>
              </w:rPr>
              <w:fldChar w:fldCharType="begin"/>
            </w:r>
            <w:r w:rsidR="008F6D3A">
              <w:rPr>
                <w:noProof/>
                <w:webHidden/>
              </w:rPr>
              <w:instrText xml:space="preserve"> PAGEREF _Toc432175614 \h </w:instrText>
            </w:r>
            <w:r w:rsidR="008F6D3A">
              <w:rPr>
                <w:noProof/>
                <w:webHidden/>
              </w:rPr>
            </w:r>
            <w:r w:rsidR="008F6D3A">
              <w:rPr>
                <w:noProof/>
                <w:webHidden/>
              </w:rPr>
              <w:fldChar w:fldCharType="separate"/>
            </w:r>
            <w:r w:rsidR="00C4252E">
              <w:rPr>
                <w:noProof/>
                <w:webHidden/>
              </w:rPr>
              <w:t>101</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15" w:history="1">
            <w:r w:rsidR="008F6D3A" w:rsidRPr="007F0955">
              <w:rPr>
                <w:rStyle w:val="Hyperlink"/>
                <w:noProof/>
              </w:rPr>
              <w:t>I.</w:t>
            </w:r>
            <w:r w:rsidR="008F6D3A">
              <w:rPr>
                <w:rFonts w:asciiTheme="minorHAnsi" w:eastAsiaTheme="minorEastAsia" w:hAnsiTheme="minorHAnsi"/>
                <w:noProof/>
                <w:szCs w:val="22"/>
                <w:lang w:eastAsia="de-CH"/>
              </w:rPr>
              <w:tab/>
            </w:r>
            <w:r w:rsidR="008F6D3A" w:rsidRPr="007F0955">
              <w:rPr>
                <w:rStyle w:val="Hyperlink"/>
                <w:noProof/>
              </w:rPr>
              <w:t>Übergangsbestimmungen</w:t>
            </w:r>
            <w:r w:rsidR="008F6D3A">
              <w:rPr>
                <w:noProof/>
                <w:webHidden/>
              </w:rPr>
              <w:tab/>
            </w:r>
            <w:r w:rsidR="008F6D3A">
              <w:rPr>
                <w:noProof/>
                <w:webHidden/>
              </w:rPr>
              <w:fldChar w:fldCharType="begin"/>
            </w:r>
            <w:r w:rsidR="008F6D3A">
              <w:rPr>
                <w:noProof/>
                <w:webHidden/>
              </w:rPr>
              <w:instrText xml:space="preserve"> PAGEREF _Toc432175615 \h </w:instrText>
            </w:r>
            <w:r w:rsidR="008F6D3A">
              <w:rPr>
                <w:noProof/>
                <w:webHidden/>
              </w:rPr>
            </w:r>
            <w:r w:rsidR="008F6D3A">
              <w:rPr>
                <w:noProof/>
                <w:webHidden/>
              </w:rPr>
              <w:fldChar w:fldCharType="separate"/>
            </w:r>
            <w:r w:rsidR="00C4252E">
              <w:rPr>
                <w:noProof/>
                <w:webHidden/>
              </w:rPr>
              <w:t>102</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616" w:history="1">
            <w:r w:rsidR="008F6D3A" w:rsidRPr="007F0955">
              <w:rPr>
                <w:rStyle w:val="Hyperlink"/>
                <w:noProof/>
              </w:rPr>
              <w:t>VII. Die Kommanditaktiengesellschaft</w:t>
            </w:r>
            <w:r w:rsidR="008F6D3A">
              <w:rPr>
                <w:noProof/>
                <w:webHidden/>
              </w:rPr>
              <w:tab/>
            </w:r>
            <w:r w:rsidR="008F6D3A">
              <w:rPr>
                <w:noProof/>
                <w:webHidden/>
              </w:rPr>
              <w:fldChar w:fldCharType="begin"/>
            </w:r>
            <w:r w:rsidR="008F6D3A">
              <w:rPr>
                <w:noProof/>
                <w:webHidden/>
              </w:rPr>
              <w:instrText xml:space="preserve"> PAGEREF _Toc432175616 \h </w:instrText>
            </w:r>
            <w:r w:rsidR="008F6D3A">
              <w:rPr>
                <w:noProof/>
                <w:webHidden/>
              </w:rPr>
            </w:r>
            <w:r w:rsidR="008F6D3A">
              <w:rPr>
                <w:noProof/>
                <w:webHidden/>
              </w:rPr>
              <w:fldChar w:fldCharType="separate"/>
            </w:r>
            <w:r w:rsidR="00C4252E">
              <w:rPr>
                <w:noProof/>
                <w:webHidden/>
              </w:rPr>
              <w:t>102</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617" w:history="1">
            <w:r w:rsidR="008F6D3A" w:rsidRPr="007F0955">
              <w:rPr>
                <w:rStyle w:val="Hyperlink"/>
                <w:noProof/>
              </w:rPr>
              <w:t>VIII. Die Genossenschaft (Art. 828 - 926 OR)</w:t>
            </w:r>
            <w:r w:rsidR="008F6D3A">
              <w:rPr>
                <w:noProof/>
                <w:webHidden/>
              </w:rPr>
              <w:tab/>
            </w:r>
            <w:r w:rsidR="008F6D3A">
              <w:rPr>
                <w:noProof/>
                <w:webHidden/>
              </w:rPr>
              <w:fldChar w:fldCharType="begin"/>
            </w:r>
            <w:r w:rsidR="008F6D3A">
              <w:rPr>
                <w:noProof/>
                <w:webHidden/>
              </w:rPr>
              <w:instrText xml:space="preserve"> PAGEREF _Toc432175617 \h </w:instrText>
            </w:r>
            <w:r w:rsidR="008F6D3A">
              <w:rPr>
                <w:noProof/>
                <w:webHidden/>
              </w:rPr>
            </w:r>
            <w:r w:rsidR="008F6D3A">
              <w:rPr>
                <w:noProof/>
                <w:webHidden/>
              </w:rPr>
              <w:fldChar w:fldCharType="separate"/>
            </w:r>
            <w:r w:rsidR="00C4252E">
              <w:rPr>
                <w:noProof/>
                <w:webHidden/>
              </w:rPr>
              <w:t>102</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18" w:history="1">
            <w:r w:rsidR="008F6D3A" w:rsidRPr="007F0955">
              <w:rPr>
                <w:rStyle w:val="Hyperlink"/>
                <w:noProof/>
              </w:rPr>
              <w:t>A.</w:t>
            </w:r>
            <w:r w:rsidR="008F6D3A">
              <w:rPr>
                <w:rFonts w:asciiTheme="minorHAnsi" w:eastAsiaTheme="minorEastAsia" w:hAnsiTheme="minorHAnsi"/>
                <w:noProof/>
                <w:szCs w:val="22"/>
                <w:lang w:eastAsia="de-CH"/>
              </w:rPr>
              <w:tab/>
            </w:r>
            <w:r w:rsidR="008F6D3A" w:rsidRPr="007F0955">
              <w:rPr>
                <w:rStyle w:val="Hyperlink"/>
                <w:noProof/>
              </w:rPr>
              <w:t>Allgemeines</w:t>
            </w:r>
            <w:r w:rsidR="008F6D3A">
              <w:rPr>
                <w:noProof/>
                <w:webHidden/>
              </w:rPr>
              <w:tab/>
            </w:r>
            <w:r w:rsidR="008F6D3A">
              <w:rPr>
                <w:noProof/>
                <w:webHidden/>
              </w:rPr>
              <w:fldChar w:fldCharType="begin"/>
            </w:r>
            <w:r w:rsidR="008F6D3A">
              <w:rPr>
                <w:noProof/>
                <w:webHidden/>
              </w:rPr>
              <w:instrText xml:space="preserve"> PAGEREF _Toc432175618 \h </w:instrText>
            </w:r>
            <w:r w:rsidR="008F6D3A">
              <w:rPr>
                <w:noProof/>
                <w:webHidden/>
              </w:rPr>
            </w:r>
            <w:r w:rsidR="008F6D3A">
              <w:rPr>
                <w:noProof/>
                <w:webHidden/>
              </w:rPr>
              <w:fldChar w:fldCharType="separate"/>
            </w:r>
            <w:r w:rsidR="00C4252E">
              <w:rPr>
                <w:noProof/>
                <w:webHidden/>
              </w:rPr>
              <w:t>102</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19" w:history="1">
            <w:r w:rsidR="008F6D3A" w:rsidRPr="007F0955">
              <w:rPr>
                <w:rStyle w:val="Hyperlink"/>
                <w:noProof/>
              </w:rPr>
              <w:t>B.</w:t>
            </w:r>
            <w:r w:rsidR="008F6D3A">
              <w:rPr>
                <w:rFonts w:asciiTheme="minorHAnsi" w:eastAsiaTheme="minorEastAsia" w:hAnsiTheme="minorHAnsi"/>
                <w:noProof/>
                <w:szCs w:val="22"/>
                <w:lang w:eastAsia="de-CH"/>
              </w:rPr>
              <w:tab/>
            </w:r>
            <w:r w:rsidR="008F6D3A" w:rsidRPr="007F0955">
              <w:rPr>
                <w:rStyle w:val="Hyperlink"/>
                <w:noProof/>
              </w:rPr>
              <w:t>Statuten</w:t>
            </w:r>
            <w:r w:rsidR="008F6D3A">
              <w:rPr>
                <w:noProof/>
                <w:webHidden/>
              </w:rPr>
              <w:tab/>
            </w:r>
            <w:r w:rsidR="008F6D3A">
              <w:rPr>
                <w:noProof/>
                <w:webHidden/>
              </w:rPr>
              <w:fldChar w:fldCharType="begin"/>
            </w:r>
            <w:r w:rsidR="008F6D3A">
              <w:rPr>
                <w:noProof/>
                <w:webHidden/>
              </w:rPr>
              <w:instrText xml:space="preserve"> PAGEREF _Toc432175619 \h </w:instrText>
            </w:r>
            <w:r w:rsidR="008F6D3A">
              <w:rPr>
                <w:noProof/>
                <w:webHidden/>
              </w:rPr>
            </w:r>
            <w:r w:rsidR="008F6D3A">
              <w:rPr>
                <w:noProof/>
                <w:webHidden/>
              </w:rPr>
              <w:fldChar w:fldCharType="separate"/>
            </w:r>
            <w:r w:rsidR="00C4252E">
              <w:rPr>
                <w:noProof/>
                <w:webHidden/>
              </w:rPr>
              <w:t>102</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20" w:history="1">
            <w:r w:rsidR="008F6D3A" w:rsidRPr="007F0955">
              <w:rPr>
                <w:rStyle w:val="Hyperlink"/>
                <w:noProof/>
              </w:rPr>
              <w:t>C.</w:t>
            </w:r>
            <w:r w:rsidR="008F6D3A">
              <w:rPr>
                <w:rFonts w:asciiTheme="minorHAnsi" w:eastAsiaTheme="minorEastAsia" w:hAnsiTheme="minorHAnsi"/>
                <w:noProof/>
                <w:szCs w:val="22"/>
                <w:lang w:eastAsia="de-CH"/>
              </w:rPr>
              <w:tab/>
            </w:r>
            <w:r w:rsidR="008F6D3A" w:rsidRPr="007F0955">
              <w:rPr>
                <w:rStyle w:val="Hyperlink"/>
                <w:noProof/>
              </w:rPr>
              <w:t>Grundkapital</w:t>
            </w:r>
            <w:r w:rsidR="008F6D3A">
              <w:rPr>
                <w:noProof/>
                <w:webHidden/>
              </w:rPr>
              <w:tab/>
            </w:r>
            <w:r w:rsidR="008F6D3A">
              <w:rPr>
                <w:noProof/>
                <w:webHidden/>
              </w:rPr>
              <w:fldChar w:fldCharType="begin"/>
            </w:r>
            <w:r w:rsidR="008F6D3A">
              <w:rPr>
                <w:noProof/>
                <w:webHidden/>
              </w:rPr>
              <w:instrText xml:space="preserve"> PAGEREF _Toc432175620 \h </w:instrText>
            </w:r>
            <w:r w:rsidR="008F6D3A">
              <w:rPr>
                <w:noProof/>
                <w:webHidden/>
              </w:rPr>
            </w:r>
            <w:r w:rsidR="008F6D3A">
              <w:rPr>
                <w:noProof/>
                <w:webHidden/>
              </w:rPr>
              <w:fldChar w:fldCharType="separate"/>
            </w:r>
            <w:r w:rsidR="00C4252E">
              <w:rPr>
                <w:noProof/>
                <w:webHidden/>
              </w:rPr>
              <w:t>103</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21" w:history="1">
            <w:r w:rsidR="008F6D3A" w:rsidRPr="007F0955">
              <w:rPr>
                <w:rStyle w:val="Hyperlink"/>
                <w:noProof/>
              </w:rPr>
              <w:t>D.</w:t>
            </w:r>
            <w:r w:rsidR="008F6D3A">
              <w:rPr>
                <w:rFonts w:asciiTheme="minorHAnsi" w:eastAsiaTheme="minorEastAsia" w:hAnsiTheme="minorHAnsi"/>
                <w:noProof/>
                <w:szCs w:val="22"/>
                <w:lang w:eastAsia="de-CH"/>
              </w:rPr>
              <w:tab/>
            </w:r>
            <w:r w:rsidR="008F6D3A" w:rsidRPr="007F0955">
              <w:rPr>
                <w:rStyle w:val="Hyperlink"/>
                <w:noProof/>
              </w:rPr>
              <w:t>Rechte und Pflichten der Genossenschafter</w:t>
            </w:r>
            <w:r w:rsidR="008F6D3A">
              <w:rPr>
                <w:noProof/>
                <w:webHidden/>
              </w:rPr>
              <w:tab/>
            </w:r>
            <w:r w:rsidR="008F6D3A">
              <w:rPr>
                <w:noProof/>
                <w:webHidden/>
              </w:rPr>
              <w:fldChar w:fldCharType="begin"/>
            </w:r>
            <w:r w:rsidR="008F6D3A">
              <w:rPr>
                <w:noProof/>
                <w:webHidden/>
              </w:rPr>
              <w:instrText xml:space="preserve"> PAGEREF _Toc432175621 \h </w:instrText>
            </w:r>
            <w:r w:rsidR="008F6D3A">
              <w:rPr>
                <w:noProof/>
                <w:webHidden/>
              </w:rPr>
            </w:r>
            <w:r w:rsidR="008F6D3A">
              <w:rPr>
                <w:noProof/>
                <w:webHidden/>
              </w:rPr>
              <w:fldChar w:fldCharType="separate"/>
            </w:r>
            <w:r w:rsidR="00C4252E">
              <w:rPr>
                <w:noProof/>
                <w:webHidden/>
              </w:rPr>
              <w:t>103</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22" w:history="1">
            <w:r w:rsidR="008F6D3A" w:rsidRPr="007F0955">
              <w:rPr>
                <w:rStyle w:val="Hyperlink"/>
                <w:noProof/>
              </w:rPr>
              <w:t>E.</w:t>
            </w:r>
            <w:r w:rsidR="008F6D3A">
              <w:rPr>
                <w:rFonts w:asciiTheme="minorHAnsi" w:eastAsiaTheme="minorEastAsia" w:hAnsiTheme="minorHAnsi"/>
                <w:noProof/>
                <w:szCs w:val="22"/>
                <w:lang w:eastAsia="de-CH"/>
              </w:rPr>
              <w:tab/>
            </w:r>
            <w:r w:rsidR="008F6D3A" w:rsidRPr="007F0955">
              <w:rPr>
                <w:rStyle w:val="Hyperlink"/>
                <w:noProof/>
              </w:rPr>
              <w:t>Organe</w:t>
            </w:r>
            <w:r w:rsidR="008F6D3A">
              <w:rPr>
                <w:noProof/>
                <w:webHidden/>
              </w:rPr>
              <w:tab/>
            </w:r>
            <w:r w:rsidR="008F6D3A">
              <w:rPr>
                <w:noProof/>
                <w:webHidden/>
              </w:rPr>
              <w:fldChar w:fldCharType="begin"/>
            </w:r>
            <w:r w:rsidR="008F6D3A">
              <w:rPr>
                <w:noProof/>
                <w:webHidden/>
              </w:rPr>
              <w:instrText xml:space="preserve"> PAGEREF _Toc432175622 \h </w:instrText>
            </w:r>
            <w:r w:rsidR="008F6D3A">
              <w:rPr>
                <w:noProof/>
                <w:webHidden/>
              </w:rPr>
            </w:r>
            <w:r w:rsidR="008F6D3A">
              <w:rPr>
                <w:noProof/>
                <w:webHidden/>
              </w:rPr>
              <w:fldChar w:fldCharType="separate"/>
            </w:r>
            <w:r w:rsidR="00C4252E">
              <w:rPr>
                <w:noProof/>
                <w:webHidden/>
              </w:rPr>
              <w:t>103</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23" w:history="1">
            <w:r w:rsidR="008F6D3A" w:rsidRPr="007F0955">
              <w:rPr>
                <w:rStyle w:val="Hyperlink"/>
                <w:noProof/>
              </w:rPr>
              <w:t>F.</w:t>
            </w:r>
            <w:r w:rsidR="008F6D3A">
              <w:rPr>
                <w:rFonts w:asciiTheme="minorHAnsi" w:eastAsiaTheme="minorEastAsia" w:hAnsiTheme="minorHAnsi"/>
                <w:noProof/>
                <w:szCs w:val="22"/>
                <w:lang w:eastAsia="de-CH"/>
              </w:rPr>
              <w:tab/>
            </w:r>
            <w:r w:rsidR="008F6D3A" w:rsidRPr="007F0955">
              <w:rPr>
                <w:rStyle w:val="Hyperlink"/>
                <w:noProof/>
              </w:rPr>
              <w:t>Gründung und Auflösung</w:t>
            </w:r>
            <w:r w:rsidR="008F6D3A">
              <w:rPr>
                <w:noProof/>
                <w:webHidden/>
              </w:rPr>
              <w:tab/>
            </w:r>
            <w:r w:rsidR="008F6D3A">
              <w:rPr>
                <w:noProof/>
                <w:webHidden/>
              </w:rPr>
              <w:fldChar w:fldCharType="begin"/>
            </w:r>
            <w:r w:rsidR="008F6D3A">
              <w:rPr>
                <w:noProof/>
                <w:webHidden/>
              </w:rPr>
              <w:instrText xml:space="preserve"> PAGEREF _Toc432175623 \h </w:instrText>
            </w:r>
            <w:r w:rsidR="008F6D3A">
              <w:rPr>
                <w:noProof/>
                <w:webHidden/>
              </w:rPr>
            </w:r>
            <w:r w:rsidR="008F6D3A">
              <w:rPr>
                <w:noProof/>
                <w:webHidden/>
              </w:rPr>
              <w:fldChar w:fldCharType="separate"/>
            </w:r>
            <w:r w:rsidR="00C4252E">
              <w:rPr>
                <w:noProof/>
                <w:webHidden/>
              </w:rPr>
              <w:t>104</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624" w:history="1">
            <w:r w:rsidR="008F6D3A" w:rsidRPr="007F0955">
              <w:rPr>
                <w:rStyle w:val="Hyperlink"/>
                <w:noProof/>
              </w:rPr>
              <w:t>IX. Hinweis auf die Handelsregisterverordnung (HRV)</w:t>
            </w:r>
            <w:r w:rsidR="008F6D3A">
              <w:rPr>
                <w:noProof/>
                <w:webHidden/>
              </w:rPr>
              <w:tab/>
            </w:r>
            <w:r w:rsidR="008F6D3A">
              <w:rPr>
                <w:noProof/>
                <w:webHidden/>
              </w:rPr>
              <w:fldChar w:fldCharType="begin"/>
            </w:r>
            <w:r w:rsidR="008F6D3A">
              <w:rPr>
                <w:noProof/>
                <w:webHidden/>
              </w:rPr>
              <w:instrText xml:space="preserve"> PAGEREF _Toc432175624 \h </w:instrText>
            </w:r>
            <w:r w:rsidR="008F6D3A">
              <w:rPr>
                <w:noProof/>
                <w:webHidden/>
              </w:rPr>
            </w:r>
            <w:r w:rsidR="008F6D3A">
              <w:rPr>
                <w:noProof/>
                <w:webHidden/>
              </w:rPr>
              <w:fldChar w:fldCharType="separate"/>
            </w:r>
            <w:r w:rsidR="00C4252E">
              <w:rPr>
                <w:noProof/>
                <w:webHidden/>
              </w:rPr>
              <w:t>105</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625" w:history="1">
            <w:r w:rsidR="008F6D3A" w:rsidRPr="007F0955">
              <w:rPr>
                <w:rStyle w:val="Hyperlink"/>
                <w:noProof/>
              </w:rPr>
              <w:t>X. Hinweis auf das Fusionsgesetz (FusG)</w:t>
            </w:r>
            <w:r w:rsidR="008F6D3A">
              <w:rPr>
                <w:noProof/>
                <w:webHidden/>
              </w:rPr>
              <w:tab/>
            </w:r>
            <w:r w:rsidR="008F6D3A">
              <w:rPr>
                <w:noProof/>
                <w:webHidden/>
              </w:rPr>
              <w:fldChar w:fldCharType="begin"/>
            </w:r>
            <w:r w:rsidR="008F6D3A">
              <w:rPr>
                <w:noProof/>
                <w:webHidden/>
              </w:rPr>
              <w:instrText xml:space="preserve"> PAGEREF _Toc432175625 \h </w:instrText>
            </w:r>
            <w:r w:rsidR="008F6D3A">
              <w:rPr>
                <w:noProof/>
                <w:webHidden/>
              </w:rPr>
            </w:r>
            <w:r w:rsidR="008F6D3A">
              <w:rPr>
                <w:noProof/>
                <w:webHidden/>
              </w:rPr>
              <w:fldChar w:fldCharType="separate"/>
            </w:r>
            <w:r w:rsidR="00C4252E">
              <w:rPr>
                <w:noProof/>
                <w:webHidden/>
              </w:rPr>
              <w:t>106</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626" w:history="1">
            <w:r w:rsidR="008F6D3A" w:rsidRPr="007F0955">
              <w:rPr>
                <w:rStyle w:val="Hyperlink"/>
                <w:noProof/>
              </w:rPr>
              <w:t>XI. Firmenrecht</w:t>
            </w:r>
            <w:r w:rsidR="008F6D3A">
              <w:rPr>
                <w:noProof/>
                <w:webHidden/>
              </w:rPr>
              <w:tab/>
            </w:r>
            <w:r w:rsidR="008F6D3A">
              <w:rPr>
                <w:noProof/>
                <w:webHidden/>
              </w:rPr>
              <w:fldChar w:fldCharType="begin"/>
            </w:r>
            <w:r w:rsidR="008F6D3A">
              <w:rPr>
                <w:noProof/>
                <w:webHidden/>
              </w:rPr>
              <w:instrText xml:space="preserve"> PAGEREF _Toc432175626 \h </w:instrText>
            </w:r>
            <w:r w:rsidR="008F6D3A">
              <w:rPr>
                <w:noProof/>
                <w:webHidden/>
              </w:rPr>
            </w:r>
            <w:r w:rsidR="008F6D3A">
              <w:rPr>
                <w:noProof/>
                <w:webHidden/>
              </w:rPr>
              <w:fldChar w:fldCharType="separate"/>
            </w:r>
            <w:r w:rsidR="00C4252E">
              <w:rPr>
                <w:noProof/>
                <w:webHidden/>
              </w:rPr>
              <w:t>108</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627" w:history="1">
            <w:r w:rsidR="008F6D3A" w:rsidRPr="007F0955">
              <w:rPr>
                <w:rStyle w:val="Hyperlink"/>
                <w:noProof/>
              </w:rPr>
              <w:t>XII. Solidarbürgschaft</w:t>
            </w:r>
            <w:r w:rsidR="008F6D3A">
              <w:rPr>
                <w:noProof/>
                <w:webHidden/>
              </w:rPr>
              <w:tab/>
            </w:r>
            <w:r w:rsidR="008F6D3A">
              <w:rPr>
                <w:noProof/>
                <w:webHidden/>
              </w:rPr>
              <w:fldChar w:fldCharType="begin"/>
            </w:r>
            <w:r w:rsidR="008F6D3A">
              <w:rPr>
                <w:noProof/>
                <w:webHidden/>
              </w:rPr>
              <w:instrText xml:space="preserve"> PAGEREF _Toc432175627 \h </w:instrText>
            </w:r>
            <w:r w:rsidR="008F6D3A">
              <w:rPr>
                <w:noProof/>
                <w:webHidden/>
              </w:rPr>
            </w:r>
            <w:r w:rsidR="008F6D3A">
              <w:rPr>
                <w:noProof/>
                <w:webHidden/>
              </w:rPr>
              <w:fldChar w:fldCharType="separate"/>
            </w:r>
            <w:r w:rsidR="00C4252E">
              <w:rPr>
                <w:noProof/>
                <w:webHidden/>
              </w:rPr>
              <w:t>109</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28" w:history="1">
            <w:r w:rsidR="008F6D3A" w:rsidRPr="007F0955">
              <w:rPr>
                <w:rStyle w:val="Hyperlink"/>
                <w:noProof/>
                <w:spacing w:val="-10"/>
              </w:rPr>
              <w:t>A.</w:t>
            </w:r>
            <w:r w:rsidR="008F6D3A">
              <w:rPr>
                <w:rFonts w:asciiTheme="minorHAnsi" w:eastAsiaTheme="minorEastAsia" w:hAnsiTheme="minorHAnsi"/>
                <w:noProof/>
                <w:szCs w:val="22"/>
                <w:lang w:eastAsia="de-CH"/>
              </w:rPr>
              <w:tab/>
            </w:r>
            <w:r w:rsidR="008F6D3A" w:rsidRPr="007F0955">
              <w:rPr>
                <w:rStyle w:val="Hyperlink"/>
                <w:noProof/>
              </w:rPr>
              <w:t>Begriff</w:t>
            </w:r>
            <w:r w:rsidR="008F6D3A">
              <w:rPr>
                <w:noProof/>
                <w:webHidden/>
              </w:rPr>
              <w:tab/>
            </w:r>
            <w:r w:rsidR="008F6D3A">
              <w:rPr>
                <w:noProof/>
                <w:webHidden/>
              </w:rPr>
              <w:fldChar w:fldCharType="begin"/>
            </w:r>
            <w:r w:rsidR="008F6D3A">
              <w:rPr>
                <w:noProof/>
                <w:webHidden/>
              </w:rPr>
              <w:instrText xml:space="preserve"> PAGEREF _Toc432175628 \h </w:instrText>
            </w:r>
            <w:r w:rsidR="008F6D3A">
              <w:rPr>
                <w:noProof/>
                <w:webHidden/>
              </w:rPr>
            </w:r>
            <w:r w:rsidR="008F6D3A">
              <w:rPr>
                <w:noProof/>
                <w:webHidden/>
              </w:rPr>
              <w:fldChar w:fldCharType="separate"/>
            </w:r>
            <w:r w:rsidR="00C4252E">
              <w:rPr>
                <w:noProof/>
                <w:webHidden/>
              </w:rPr>
              <w:t>109</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29" w:history="1">
            <w:r w:rsidR="008F6D3A" w:rsidRPr="007F0955">
              <w:rPr>
                <w:rStyle w:val="Hyperlink"/>
                <w:noProof/>
              </w:rPr>
              <w:t>B.</w:t>
            </w:r>
            <w:r w:rsidR="008F6D3A">
              <w:rPr>
                <w:rFonts w:asciiTheme="minorHAnsi" w:eastAsiaTheme="minorEastAsia" w:hAnsiTheme="minorHAnsi"/>
                <w:noProof/>
                <w:szCs w:val="22"/>
                <w:lang w:eastAsia="de-CH"/>
              </w:rPr>
              <w:tab/>
            </w:r>
            <w:r w:rsidR="008F6D3A" w:rsidRPr="007F0955">
              <w:rPr>
                <w:rStyle w:val="Hyperlink"/>
                <w:noProof/>
              </w:rPr>
              <w:t>Formvorschriften</w:t>
            </w:r>
            <w:r w:rsidR="008F6D3A">
              <w:rPr>
                <w:noProof/>
                <w:webHidden/>
              </w:rPr>
              <w:tab/>
            </w:r>
            <w:r w:rsidR="008F6D3A">
              <w:rPr>
                <w:noProof/>
                <w:webHidden/>
              </w:rPr>
              <w:fldChar w:fldCharType="begin"/>
            </w:r>
            <w:r w:rsidR="008F6D3A">
              <w:rPr>
                <w:noProof/>
                <w:webHidden/>
              </w:rPr>
              <w:instrText xml:space="preserve"> PAGEREF _Toc432175629 \h </w:instrText>
            </w:r>
            <w:r w:rsidR="008F6D3A">
              <w:rPr>
                <w:noProof/>
                <w:webHidden/>
              </w:rPr>
            </w:r>
            <w:r w:rsidR="008F6D3A">
              <w:rPr>
                <w:noProof/>
                <w:webHidden/>
              </w:rPr>
              <w:fldChar w:fldCharType="separate"/>
            </w:r>
            <w:r w:rsidR="00C4252E">
              <w:rPr>
                <w:noProof/>
                <w:webHidden/>
              </w:rPr>
              <w:t>109</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30" w:history="1">
            <w:r w:rsidR="008F6D3A" w:rsidRPr="007F0955">
              <w:rPr>
                <w:rStyle w:val="Hyperlink"/>
                <w:noProof/>
              </w:rPr>
              <w:t>C.</w:t>
            </w:r>
            <w:r w:rsidR="008F6D3A">
              <w:rPr>
                <w:rFonts w:asciiTheme="minorHAnsi" w:eastAsiaTheme="minorEastAsia" w:hAnsiTheme="minorHAnsi"/>
                <w:noProof/>
                <w:szCs w:val="22"/>
                <w:lang w:eastAsia="de-CH"/>
              </w:rPr>
              <w:tab/>
            </w:r>
            <w:r w:rsidR="008F6D3A" w:rsidRPr="007F0955">
              <w:rPr>
                <w:rStyle w:val="Hyperlink"/>
                <w:noProof/>
              </w:rPr>
              <w:t>Untergang</w:t>
            </w:r>
            <w:r w:rsidR="008F6D3A">
              <w:rPr>
                <w:noProof/>
                <w:webHidden/>
              </w:rPr>
              <w:tab/>
            </w:r>
            <w:r w:rsidR="008F6D3A">
              <w:rPr>
                <w:noProof/>
                <w:webHidden/>
              </w:rPr>
              <w:fldChar w:fldCharType="begin"/>
            </w:r>
            <w:r w:rsidR="008F6D3A">
              <w:rPr>
                <w:noProof/>
                <w:webHidden/>
              </w:rPr>
              <w:instrText xml:space="preserve"> PAGEREF _Toc432175630 \h </w:instrText>
            </w:r>
            <w:r w:rsidR="008F6D3A">
              <w:rPr>
                <w:noProof/>
                <w:webHidden/>
              </w:rPr>
            </w:r>
            <w:r w:rsidR="008F6D3A">
              <w:rPr>
                <w:noProof/>
                <w:webHidden/>
              </w:rPr>
              <w:fldChar w:fldCharType="separate"/>
            </w:r>
            <w:r w:rsidR="00C4252E">
              <w:rPr>
                <w:noProof/>
                <w:webHidden/>
              </w:rPr>
              <w:t>110</w:t>
            </w:r>
            <w:r w:rsidR="008F6D3A">
              <w:rPr>
                <w:noProof/>
                <w:webHidden/>
              </w:rPr>
              <w:fldChar w:fldCharType="end"/>
            </w:r>
          </w:hyperlink>
        </w:p>
        <w:p w:rsidR="008F6D3A" w:rsidRDefault="00C64023">
          <w:pPr>
            <w:pStyle w:val="Verzeichnis1"/>
            <w:tabs>
              <w:tab w:val="right" w:leader="dot" w:pos="9152"/>
            </w:tabs>
            <w:rPr>
              <w:rFonts w:asciiTheme="minorHAnsi" w:eastAsiaTheme="minorEastAsia" w:hAnsiTheme="minorHAnsi"/>
              <w:noProof/>
              <w:szCs w:val="22"/>
              <w:lang w:eastAsia="de-CH"/>
            </w:rPr>
          </w:pPr>
          <w:hyperlink w:anchor="_Toc432175631" w:history="1">
            <w:r w:rsidR="008F6D3A" w:rsidRPr="007F0955">
              <w:rPr>
                <w:rStyle w:val="Hyperlink"/>
                <w:noProof/>
                <w:w w:val="114"/>
              </w:rPr>
              <w:t>Steuerrecht</w:t>
            </w:r>
            <w:r w:rsidR="008F6D3A">
              <w:rPr>
                <w:noProof/>
                <w:webHidden/>
              </w:rPr>
              <w:tab/>
            </w:r>
            <w:r w:rsidR="008F6D3A">
              <w:rPr>
                <w:noProof/>
                <w:webHidden/>
              </w:rPr>
              <w:fldChar w:fldCharType="begin"/>
            </w:r>
            <w:r w:rsidR="008F6D3A">
              <w:rPr>
                <w:noProof/>
                <w:webHidden/>
              </w:rPr>
              <w:instrText xml:space="preserve"> PAGEREF _Toc432175631 \h </w:instrText>
            </w:r>
            <w:r w:rsidR="008F6D3A">
              <w:rPr>
                <w:noProof/>
                <w:webHidden/>
              </w:rPr>
            </w:r>
            <w:r w:rsidR="008F6D3A">
              <w:rPr>
                <w:noProof/>
                <w:webHidden/>
              </w:rPr>
              <w:fldChar w:fldCharType="separate"/>
            </w:r>
            <w:r w:rsidR="00C4252E">
              <w:rPr>
                <w:noProof/>
                <w:webHidden/>
              </w:rPr>
              <w:t>111</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632" w:history="1">
            <w:r w:rsidR="008F6D3A" w:rsidRPr="007F0955">
              <w:rPr>
                <w:rStyle w:val="Hyperlink"/>
                <w:noProof/>
              </w:rPr>
              <w:t>I. Einleitung</w:t>
            </w:r>
            <w:r w:rsidR="008F6D3A">
              <w:rPr>
                <w:noProof/>
                <w:webHidden/>
              </w:rPr>
              <w:tab/>
            </w:r>
            <w:r w:rsidR="008F6D3A">
              <w:rPr>
                <w:noProof/>
                <w:webHidden/>
              </w:rPr>
              <w:fldChar w:fldCharType="begin"/>
            </w:r>
            <w:r w:rsidR="008F6D3A">
              <w:rPr>
                <w:noProof/>
                <w:webHidden/>
              </w:rPr>
              <w:instrText xml:space="preserve"> PAGEREF _Toc432175632 \h </w:instrText>
            </w:r>
            <w:r w:rsidR="008F6D3A">
              <w:rPr>
                <w:noProof/>
                <w:webHidden/>
              </w:rPr>
            </w:r>
            <w:r w:rsidR="008F6D3A">
              <w:rPr>
                <w:noProof/>
                <w:webHidden/>
              </w:rPr>
              <w:fldChar w:fldCharType="separate"/>
            </w:r>
            <w:r w:rsidR="00C4252E">
              <w:rPr>
                <w:noProof/>
                <w:webHidden/>
              </w:rPr>
              <w:t>111</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633" w:history="1">
            <w:r w:rsidR="008F6D3A" w:rsidRPr="007F0955">
              <w:rPr>
                <w:rStyle w:val="Hyperlink"/>
                <w:noProof/>
              </w:rPr>
              <w:t>II. Handänderungssteuern</w:t>
            </w:r>
            <w:r w:rsidR="008F6D3A">
              <w:rPr>
                <w:noProof/>
                <w:webHidden/>
              </w:rPr>
              <w:tab/>
            </w:r>
            <w:r w:rsidR="008F6D3A">
              <w:rPr>
                <w:noProof/>
                <w:webHidden/>
              </w:rPr>
              <w:fldChar w:fldCharType="begin"/>
            </w:r>
            <w:r w:rsidR="008F6D3A">
              <w:rPr>
                <w:noProof/>
                <w:webHidden/>
              </w:rPr>
              <w:instrText xml:space="preserve"> PAGEREF _Toc432175633 \h </w:instrText>
            </w:r>
            <w:r w:rsidR="008F6D3A">
              <w:rPr>
                <w:noProof/>
                <w:webHidden/>
              </w:rPr>
            </w:r>
            <w:r w:rsidR="008F6D3A">
              <w:rPr>
                <w:noProof/>
                <w:webHidden/>
              </w:rPr>
              <w:fldChar w:fldCharType="separate"/>
            </w:r>
            <w:r w:rsidR="00C4252E">
              <w:rPr>
                <w:noProof/>
                <w:webHidden/>
              </w:rPr>
              <w:t>111</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34" w:history="1">
            <w:r w:rsidR="008F6D3A" w:rsidRPr="007F0955">
              <w:rPr>
                <w:rStyle w:val="Hyperlink"/>
                <w:noProof/>
              </w:rPr>
              <w:t>A.</w:t>
            </w:r>
            <w:r w:rsidR="008F6D3A">
              <w:rPr>
                <w:rFonts w:asciiTheme="minorHAnsi" w:eastAsiaTheme="minorEastAsia" w:hAnsiTheme="minorHAnsi"/>
                <w:noProof/>
                <w:szCs w:val="22"/>
                <w:lang w:eastAsia="de-CH"/>
              </w:rPr>
              <w:tab/>
            </w:r>
            <w:r w:rsidR="008F6D3A" w:rsidRPr="007F0955">
              <w:rPr>
                <w:rStyle w:val="Hyperlink"/>
                <w:noProof/>
              </w:rPr>
              <w:t>Allgemeines</w:t>
            </w:r>
            <w:r w:rsidR="008F6D3A">
              <w:rPr>
                <w:noProof/>
                <w:webHidden/>
              </w:rPr>
              <w:tab/>
            </w:r>
            <w:r w:rsidR="008F6D3A">
              <w:rPr>
                <w:noProof/>
                <w:webHidden/>
              </w:rPr>
              <w:fldChar w:fldCharType="begin"/>
            </w:r>
            <w:r w:rsidR="008F6D3A">
              <w:rPr>
                <w:noProof/>
                <w:webHidden/>
              </w:rPr>
              <w:instrText xml:space="preserve"> PAGEREF _Toc432175634 \h </w:instrText>
            </w:r>
            <w:r w:rsidR="008F6D3A">
              <w:rPr>
                <w:noProof/>
                <w:webHidden/>
              </w:rPr>
            </w:r>
            <w:r w:rsidR="008F6D3A">
              <w:rPr>
                <w:noProof/>
                <w:webHidden/>
              </w:rPr>
              <w:fldChar w:fldCharType="separate"/>
            </w:r>
            <w:r w:rsidR="00C4252E">
              <w:rPr>
                <w:noProof/>
                <w:webHidden/>
              </w:rPr>
              <w:t>111</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35" w:history="1">
            <w:r w:rsidR="008F6D3A" w:rsidRPr="007F0955">
              <w:rPr>
                <w:rStyle w:val="Hyperlink"/>
                <w:noProof/>
              </w:rPr>
              <w:t>B.</w:t>
            </w:r>
            <w:r w:rsidR="008F6D3A">
              <w:rPr>
                <w:rFonts w:asciiTheme="minorHAnsi" w:eastAsiaTheme="minorEastAsia" w:hAnsiTheme="minorHAnsi"/>
                <w:noProof/>
                <w:szCs w:val="22"/>
                <w:lang w:eastAsia="de-CH"/>
              </w:rPr>
              <w:tab/>
            </w:r>
            <w:r w:rsidR="008F6D3A" w:rsidRPr="007F0955">
              <w:rPr>
                <w:rStyle w:val="Hyperlink"/>
                <w:noProof/>
              </w:rPr>
              <w:t>Handänderungssteuern Normalfall (Art. 11 HG)</w:t>
            </w:r>
            <w:r w:rsidR="008F6D3A">
              <w:rPr>
                <w:noProof/>
                <w:webHidden/>
              </w:rPr>
              <w:tab/>
            </w:r>
            <w:r w:rsidR="008F6D3A">
              <w:rPr>
                <w:noProof/>
                <w:webHidden/>
              </w:rPr>
              <w:fldChar w:fldCharType="begin"/>
            </w:r>
            <w:r w:rsidR="008F6D3A">
              <w:rPr>
                <w:noProof/>
                <w:webHidden/>
              </w:rPr>
              <w:instrText xml:space="preserve"> PAGEREF _Toc432175635 \h </w:instrText>
            </w:r>
            <w:r w:rsidR="008F6D3A">
              <w:rPr>
                <w:noProof/>
                <w:webHidden/>
              </w:rPr>
            </w:r>
            <w:r w:rsidR="008F6D3A">
              <w:rPr>
                <w:noProof/>
                <w:webHidden/>
              </w:rPr>
              <w:fldChar w:fldCharType="separate"/>
            </w:r>
            <w:r w:rsidR="00C4252E">
              <w:rPr>
                <w:noProof/>
                <w:webHidden/>
              </w:rPr>
              <w:t>113</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36" w:history="1">
            <w:r w:rsidR="008F6D3A" w:rsidRPr="007F0955">
              <w:rPr>
                <w:rStyle w:val="Hyperlink"/>
                <w:noProof/>
              </w:rPr>
              <w:t>C.</w:t>
            </w:r>
            <w:r w:rsidR="008F6D3A">
              <w:rPr>
                <w:rFonts w:asciiTheme="minorHAnsi" w:eastAsiaTheme="minorEastAsia" w:hAnsiTheme="minorHAnsi"/>
                <w:noProof/>
                <w:szCs w:val="22"/>
                <w:lang w:eastAsia="de-CH"/>
              </w:rPr>
              <w:tab/>
            </w:r>
            <w:r w:rsidR="008F6D3A" w:rsidRPr="007F0955">
              <w:rPr>
                <w:rStyle w:val="Hyperlink"/>
                <w:noProof/>
              </w:rPr>
              <w:t>Handänderungssteuern Erwerb als Hauptwohnsitz (Art. 11a und 11b HG)</w:t>
            </w:r>
            <w:r w:rsidR="008F6D3A">
              <w:rPr>
                <w:noProof/>
                <w:webHidden/>
              </w:rPr>
              <w:tab/>
            </w:r>
            <w:r w:rsidR="008F6D3A">
              <w:rPr>
                <w:noProof/>
                <w:webHidden/>
              </w:rPr>
              <w:fldChar w:fldCharType="begin"/>
            </w:r>
            <w:r w:rsidR="008F6D3A">
              <w:rPr>
                <w:noProof/>
                <w:webHidden/>
              </w:rPr>
              <w:instrText xml:space="preserve"> PAGEREF _Toc432175636 \h </w:instrText>
            </w:r>
            <w:r w:rsidR="008F6D3A">
              <w:rPr>
                <w:noProof/>
                <w:webHidden/>
              </w:rPr>
            </w:r>
            <w:r w:rsidR="008F6D3A">
              <w:rPr>
                <w:noProof/>
                <w:webHidden/>
              </w:rPr>
              <w:fldChar w:fldCharType="separate"/>
            </w:r>
            <w:r w:rsidR="00C4252E">
              <w:rPr>
                <w:noProof/>
                <w:webHidden/>
              </w:rPr>
              <w:t>116</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637" w:history="1">
            <w:r w:rsidR="008F6D3A" w:rsidRPr="007F0955">
              <w:rPr>
                <w:rStyle w:val="Hyperlink"/>
                <w:noProof/>
              </w:rPr>
              <w:t>III. Erbschafts- und Schenkungssteuern (ESchG)</w:t>
            </w:r>
            <w:r w:rsidR="008F6D3A">
              <w:rPr>
                <w:noProof/>
                <w:webHidden/>
              </w:rPr>
              <w:tab/>
            </w:r>
            <w:r w:rsidR="008F6D3A">
              <w:rPr>
                <w:noProof/>
                <w:webHidden/>
              </w:rPr>
              <w:fldChar w:fldCharType="begin"/>
            </w:r>
            <w:r w:rsidR="008F6D3A">
              <w:rPr>
                <w:noProof/>
                <w:webHidden/>
              </w:rPr>
              <w:instrText xml:space="preserve"> PAGEREF _Toc432175637 \h </w:instrText>
            </w:r>
            <w:r w:rsidR="008F6D3A">
              <w:rPr>
                <w:noProof/>
                <w:webHidden/>
              </w:rPr>
            </w:r>
            <w:r w:rsidR="008F6D3A">
              <w:rPr>
                <w:noProof/>
                <w:webHidden/>
              </w:rPr>
              <w:fldChar w:fldCharType="separate"/>
            </w:r>
            <w:r w:rsidR="00C4252E">
              <w:rPr>
                <w:noProof/>
                <w:webHidden/>
              </w:rPr>
              <w:t>125</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38" w:history="1">
            <w:r w:rsidR="008F6D3A" w:rsidRPr="007F0955">
              <w:rPr>
                <w:rStyle w:val="Hyperlink"/>
                <w:noProof/>
                <w:spacing w:val="-10"/>
              </w:rPr>
              <w:t>A.</w:t>
            </w:r>
            <w:r w:rsidR="008F6D3A">
              <w:rPr>
                <w:rFonts w:asciiTheme="minorHAnsi" w:eastAsiaTheme="minorEastAsia" w:hAnsiTheme="minorHAnsi"/>
                <w:noProof/>
                <w:szCs w:val="22"/>
                <w:lang w:eastAsia="de-CH"/>
              </w:rPr>
              <w:tab/>
            </w:r>
            <w:r w:rsidR="008F6D3A" w:rsidRPr="007F0955">
              <w:rPr>
                <w:rStyle w:val="Hyperlink"/>
                <w:noProof/>
              </w:rPr>
              <w:t>Grundsätze der Besteuerung</w:t>
            </w:r>
            <w:r w:rsidR="008F6D3A">
              <w:rPr>
                <w:noProof/>
                <w:webHidden/>
              </w:rPr>
              <w:tab/>
            </w:r>
            <w:r w:rsidR="008F6D3A">
              <w:rPr>
                <w:noProof/>
                <w:webHidden/>
              </w:rPr>
              <w:fldChar w:fldCharType="begin"/>
            </w:r>
            <w:r w:rsidR="008F6D3A">
              <w:rPr>
                <w:noProof/>
                <w:webHidden/>
              </w:rPr>
              <w:instrText xml:space="preserve"> PAGEREF _Toc432175638 \h </w:instrText>
            </w:r>
            <w:r w:rsidR="008F6D3A">
              <w:rPr>
                <w:noProof/>
                <w:webHidden/>
              </w:rPr>
            </w:r>
            <w:r w:rsidR="008F6D3A">
              <w:rPr>
                <w:noProof/>
                <w:webHidden/>
              </w:rPr>
              <w:fldChar w:fldCharType="separate"/>
            </w:r>
            <w:r w:rsidR="00C4252E">
              <w:rPr>
                <w:noProof/>
                <w:webHidden/>
              </w:rPr>
              <w:t>125</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39" w:history="1">
            <w:r w:rsidR="008F6D3A" w:rsidRPr="007F0955">
              <w:rPr>
                <w:rStyle w:val="Hyperlink"/>
                <w:noProof/>
                <w:spacing w:val="-24"/>
              </w:rPr>
              <w:t>B.</w:t>
            </w:r>
            <w:r w:rsidR="008F6D3A">
              <w:rPr>
                <w:rFonts w:asciiTheme="minorHAnsi" w:eastAsiaTheme="minorEastAsia" w:hAnsiTheme="minorHAnsi"/>
                <w:noProof/>
                <w:szCs w:val="22"/>
                <w:lang w:eastAsia="de-CH"/>
              </w:rPr>
              <w:tab/>
            </w:r>
            <w:r w:rsidR="008F6D3A" w:rsidRPr="007F0955">
              <w:rPr>
                <w:rStyle w:val="Hyperlink"/>
                <w:noProof/>
              </w:rPr>
              <w:t>Steuerpflicht, Steuerbefreiungsgründe</w:t>
            </w:r>
            <w:r w:rsidR="008F6D3A">
              <w:rPr>
                <w:noProof/>
                <w:webHidden/>
              </w:rPr>
              <w:tab/>
            </w:r>
            <w:r w:rsidR="008F6D3A">
              <w:rPr>
                <w:noProof/>
                <w:webHidden/>
              </w:rPr>
              <w:fldChar w:fldCharType="begin"/>
            </w:r>
            <w:r w:rsidR="008F6D3A">
              <w:rPr>
                <w:noProof/>
                <w:webHidden/>
              </w:rPr>
              <w:instrText xml:space="preserve"> PAGEREF _Toc432175639 \h </w:instrText>
            </w:r>
            <w:r w:rsidR="008F6D3A">
              <w:rPr>
                <w:noProof/>
                <w:webHidden/>
              </w:rPr>
            </w:r>
            <w:r w:rsidR="008F6D3A">
              <w:rPr>
                <w:noProof/>
                <w:webHidden/>
              </w:rPr>
              <w:fldChar w:fldCharType="separate"/>
            </w:r>
            <w:r w:rsidR="00C4252E">
              <w:rPr>
                <w:noProof/>
                <w:webHidden/>
              </w:rPr>
              <w:t>125</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40" w:history="1">
            <w:r w:rsidR="008F6D3A" w:rsidRPr="007F0955">
              <w:rPr>
                <w:rStyle w:val="Hyperlink"/>
                <w:noProof/>
                <w:spacing w:val="-19"/>
              </w:rPr>
              <w:t>C.</w:t>
            </w:r>
            <w:r w:rsidR="008F6D3A">
              <w:rPr>
                <w:rFonts w:asciiTheme="minorHAnsi" w:eastAsiaTheme="minorEastAsia" w:hAnsiTheme="minorHAnsi"/>
                <w:noProof/>
                <w:szCs w:val="22"/>
                <w:lang w:eastAsia="de-CH"/>
              </w:rPr>
              <w:tab/>
            </w:r>
            <w:r w:rsidR="008F6D3A" w:rsidRPr="007F0955">
              <w:rPr>
                <w:rStyle w:val="Hyperlink"/>
                <w:noProof/>
              </w:rPr>
              <w:t>Steuergegenstände</w:t>
            </w:r>
            <w:r w:rsidR="008F6D3A">
              <w:rPr>
                <w:noProof/>
                <w:webHidden/>
              </w:rPr>
              <w:tab/>
            </w:r>
            <w:r w:rsidR="008F6D3A">
              <w:rPr>
                <w:noProof/>
                <w:webHidden/>
              </w:rPr>
              <w:fldChar w:fldCharType="begin"/>
            </w:r>
            <w:r w:rsidR="008F6D3A">
              <w:rPr>
                <w:noProof/>
                <w:webHidden/>
              </w:rPr>
              <w:instrText xml:space="preserve"> PAGEREF _Toc432175640 \h </w:instrText>
            </w:r>
            <w:r w:rsidR="008F6D3A">
              <w:rPr>
                <w:noProof/>
                <w:webHidden/>
              </w:rPr>
            </w:r>
            <w:r w:rsidR="008F6D3A">
              <w:rPr>
                <w:noProof/>
                <w:webHidden/>
              </w:rPr>
              <w:fldChar w:fldCharType="separate"/>
            </w:r>
            <w:r w:rsidR="00C4252E">
              <w:rPr>
                <w:noProof/>
                <w:webHidden/>
              </w:rPr>
              <w:t>126</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641" w:history="1">
            <w:r w:rsidR="008F6D3A" w:rsidRPr="007F0955">
              <w:rPr>
                <w:rStyle w:val="Hyperlink"/>
                <w:noProof/>
              </w:rPr>
              <w:t>IV. Grundstückgewinnsteuer (Art. 126 ff. StG)</w:t>
            </w:r>
            <w:r w:rsidR="008F6D3A">
              <w:rPr>
                <w:noProof/>
                <w:webHidden/>
              </w:rPr>
              <w:tab/>
            </w:r>
            <w:r w:rsidR="008F6D3A">
              <w:rPr>
                <w:noProof/>
                <w:webHidden/>
              </w:rPr>
              <w:fldChar w:fldCharType="begin"/>
            </w:r>
            <w:r w:rsidR="008F6D3A">
              <w:rPr>
                <w:noProof/>
                <w:webHidden/>
              </w:rPr>
              <w:instrText xml:space="preserve"> PAGEREF _Toc432175641 \h </w:instrText>
            </w:r>
            <w:r w:rsidR="008F6D3A">
              <w:rPr>
                <w:noProof/>
                <w:webHidden/>
              </w:rPr>
            </w:r>
            <w:r w:rsidR="008F6D3A">
              <w:rPr>
                <w:noProof/>
                <w:webHidden/>
              </w:rPr>
              <w:fldChar w:fldCharType="separate"/>
            </w:r>
            <w:r w:rsidR="00C4252E">
              <w:rPr>
                <w:noProof/>
                <w:webHidden/>
              </w:rPr>
              <w:t>126</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42" w:history="1">
            <w:r w:rsidR="008F6D3A" w:rsidRPr="007F0955">
              <w:rPr>
                <w:rStyle w:val="Hyperlink"/>
                <w:noProof/>
              </w:rPr>
              <w:t>A.</w:t>
            </w:r>
            <w:r w:rsidR="008F6D3A">
              <w:rPr>
                <w:rFonts w:asciiTheme="minorHAnsi" w:eastAsiaTheme="minorEastAsia" w:hAnsiTheme="minorHAnsi"/>
                <w:noProof/>
                <w:szCs w:val="22"/>
                <w:lang w:eastAsia="de-CH"/>
              </w:rPr>
              <w:tab/>
            </w:r>
            <w:r w:rsidR="008F6D3A" w:rsidRPr="007F0955">
              <w:rPr>
                <w:rStyle w:val="Hyperlink"/>
                <w:noProof/>
              </w:rPr>
              <w:t>Gegenstand der Grundstückgewinnsteuern</w:t>
            </w:r>
            <w:r w:rsidR="008F6D3A">
              <w:rPr>
                <w:noProof/>
                <w:webHidden/>
              </w:rPr>
              <w:tab/>
            </w:r>
            <w:r w:rsidR="008F6D3A">
              <w:rPr>
                <w:noProof/>
                <w:webHidden/>
              </w:rPr>
              <w:fldChar w:fldCharType="begin"/>
            </w:r>
            <w:r w:rsidR="008F6D3A">
              <w:rPr>
                <w:noProof/>
                <w:webHidden/>
              </w:rPr>
              <w:instrText xml:space="preserve"> PAGEREF _Toc432175642 \h </w:instrText>
            </w:r>
            <w:r w:rsidR="008F6D3A">
              <w:rPr>
                <w:noProof/>
                <w:webHidden/>
              </w:rPr>
            </w:r>
            <w:r w:rsidR="008F6D3A">
              <w:rPr>
                <w:noProof/>
                <w:webHidden/>
              </w:rPr>
              <w:fldChar w:fldCharType="separate"/>
            </w:r>
            <w:r w:rsidR="00C4252E">
              <w:rPr>
                <w:noProof/>
                <w:webHidden/>
              </w:rPr>
              <w:t>126</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43" w:history="1">
            <w:r w:rsidR="008F6D3A" w:rsidRPr="007F0955">
              <w:rPr>
                <w:rStyle w:val="Hyperlink"/>
                <w:noProof/>
                <w:spacing w:val="-24"/>
              </w:rPr>
              <w:t>B.</w:t>
            </w:r>
            <w:r w:rsidR="008F6D3A">
              <w:rPr>
                <w:rFonts w:asciiTheme="minorHAnsi" w:eastAsiaTheme="minorEastAsia" w:hAnsiTheme="minorHAnsi"/>
                <w:noProof/>
                <w:szCs w:val="22"/>
                <w:lang w:eastAsia="de-CH"/>
              </w:rPr>
              <w:tab/>
            </w:r>
            <w:r w:rsidR="008F6D3A" w:rsidRPr="007F0955">
              <w:rPr>
                <w:rStyle w:val="Hyperlink"/>
                <w:noProof/>
              </w:rPr>
              <w:t>Berechnungsgrundlagen</w:t>
            </w:r>
            <w:r w:rsidR="008F6D3A">
              <w:rPr>
                <w:noProof/>
                <w:webHidden/>
              </w:rPr>
              <w:tab/>
            </w:r>
            <w:r w:rsidR="008F6D3A">
              <w:rPr>
                <w:noProof/>
                <w:webHidden/>
              </w:rPr>
              <w:fldChar w:fldCharType="begin"/>
            </w:r>
            <w:r w:rsidR="008F6D3A">
              <w:rPr>
                <w:noProof/>
                <w:webHidden/>
              </w:rPr>
              <w:instrText xml:space="preserve"> PAGEREF _Toc432175643 \h </w:instrText>
            </w:r>
            <w:r w:rsidR="008F6D3A">
              <w:rPr>
                <w:noProof/>
                <w:webHidden/>
              </w:rPr>
            </w:r>
            <w:r w:rsidR="008F6D3A">
              <w:rPr>
                <w:noProof/>
                <w:webHidden/>
              </w:rPr>
              <w:fldChar w:fldCharType="separate"/>
            </w:r>
            <w:r w:rsidR="00C4252E">
              <w:rPr>
                <w:noProof/>
                <w:webHidden/>
              </w:rPr>
              <w:t>127</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44" w:history="1">
            <w:r w:rsidR="008F6D3A" w:rsidRPr="007F0955">
              <w:rPr>
                <w:rStyle w:val="Hyperlink"/>
                <w:noProof/>
                <w:spacing w:val="-22"/>
              </w:rPr>
              <w:t>C.</w:t>
            </w:r>
            <w:r w:rsidR="008F6D3A">
              <w:rPr>
                <w:rFonts w:asciiTheme="minorHAnsi" w:eastAsiaTheme="minorEastAsia" w:hAnsiTheme="minorHAnsi"/>
                <w:noProof/>
                <w:szCs w:val="22"/>
                <w:lang w:eastAsia="de-CH"/>
              </w:rPr>
              <w:tab/>
            </w:r>
            <w:r w:rsidR="008F6D3A" w:rsidRPr="007F0955">
              <w:rPr>
                <w:rStyle w:val="Hyperlink"/>
                <w:noProof/>
              </w:rPr>
              <w:t>Sicherung</w:t>
            </w:r>
            <w:r w:rsidR="008F6D3A">
              <w:rPr>
                <w:noProof/>
                <w:webHidden/>
              </w:rPr>
              <w:tab/>
            </w:r>
            <w:r w:rsidR="008F6D3A">
              <w:rPr>
                <w:noProof/>
                <w:webHidden/>
              </w:rPr>
              <w:fldChar w:fldCharType="begin"/>
            </w:r>
            <w:r w:rsidR="008F6D3A">
              <w:rPr>
                <w:noProof/>
                <w:webHidden/>
              </w:rPr>
              <w:instrText xml:space="preserve"> PAGEREF _Toc432175644 \h </w:instrText>
            </w:r>
            <w:r w:rsidR="008F6D3A">
              <w:rPr>
                <w:noProof/>
                <w:webHidden/>
              </w:rPr>
            </w:r>
            <w:r w:rsidR="008F6D3A">
              <w:rPr>
                <w:noProof/>
                <w:webHidden/>
              </w:rPr>
              <w:fldChar w:fldCharType="separate"/>
            </w:r>
            <w:r w:rsidR="00C4252E">
              <w:rPr>
                <w:noProof/>
                <w:webHidden/>
              </w:rPr>
              <w:t>127</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645" w:history="1">
            <w:r w:rsidR="008F6D3A" w:rsidRPr="007F0955">
              <w:rPr>
                <w:rStyle w:val="Hyperlink"/>
                <w:noProof/>
              </w:rPr>
              <w:t>V. Emissionsabgabe</w:t>
            </w:r>
            <w:r w:rsidR="008F6D3A">
              <w:rPr>
                <w:noProof/>
                <w:webHidden/>
              </w:rPr>
              <w:tab/>
            </w:r>
            <w:r w:rsidR="008F6D3A">
              <w:rPr>
                <w:noProof/>
                <w:webHidden/>
              </w:rPr>
              <w:fldChar w:fldCharType="begin"/>
            </w:r>
            <w:r w:rsidR="008F6D3A">
              <w:rPr>
                <w:noProof/>
                <w:webHidden/>
              </w:rPr>
              <w:instrText xml:space="preserve"> PAGEREF _Toc432175645 \h </w:instrText>
            </w:r>
            <w:r w:rsidR="008F6D3A">
              <w:rPr>
                <w:noProof/>
                <w:webHidden/>
              </w:rPr>
            </w:r>
            <w:r w:rsidR="008F6D3A">
              <w:rPr>
                <w:noProof/>
                <w:webHidden/>
              </w:rPr>
              <w:fldChar w:fldCharType="separate"/>
            </w:r>
            <w:r w:rsidR="00C4252E">
              <w:rPr>
                <w:noProof/>
                <w:webHidden/>
              </w:rPr>
              <w:t>128</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646" w:history="1">
            <w:r w:rsidR="008F6D3A" w:rsidRPr="007F0955">
              <w:rPr>
                <w:rStyle w:val="Hyperlink"/>
                <w:noProof/>
              </w:rPr>
              <w:t>VI. Einkommens- und Vermögenssteuern</w:t>
            </w:r>
            <w:r w:rsidR="008F6D3A">
              <w:rPr>
                <w:noProof/>
                <w:webHidden/>
              </w:rPr>
              <w:tab/>
            </w:r>
            <w:r w:rsidR="008F6D3A">
              <w:rPr>
                <w:noProof/>
                <w:webHidden/>
              </w:rPr>
              <w:fldChar w:fldCharType="begin"/>
            </w:r>
            <w:r w:rsidR="008F6D3A">
              <w:rPr>
                <w:noProof/>
                <w:webHidden/>
              </w:rPr>
              <w:instrText xml:space="preserve"> PAGEREF _Toc432175646 \h </w:instrText>
            </w:r>
            <w:r w:rsidR="008F6D3A">
              <w:rPr>
                <w:noProof/>
                <w:webHidden/>
              </w:rPr>
            </w:r>
            <w:r w:rsidR="008F6D3A">
              <w:rPr>
                <w:noProof/>
                <w:webHidden/>
              </w:rPr>
              <w:fldChar w:fldCharType="separate"/>
            </w:r>
            <w:r w:rsidR="00C4252E">
              <w:rPr>
                <w:noProof/>
                <w:webHidden/>
              </w:rPr>
              <w:t>128</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47" w:history="1">
            <w:r w:rsidR="008F6D3A" w:rsidRPr="007F0955">
              <w:rPr>
                <w:rStyle w:val="Hyperlink"/>
                <w:noProof/>
                <w:spacing w:val="-10"/>
              </w:rPr>
              <w:t>A.</w:t>
            </w:r>
            <w:r w:rsidR="008F6D3A">
              <w:rPr>
                <w:rFonts w:asciiTheme="minorHAnsi" w:eastAsiaTheme="minorEastAsia" w:hAnsiTheme="minorHAnsi"/>
                <w:noProof/>
                <w:szCs w:val="22"/>
                <w:lang w:eastAsia="de-CH"/>
              </w:rPr>
              <w:tab/>
            </w:r>
            <w:r w:rsidR="008F6D3A" w:rsidRPr="007F0955">
              <w:rPr>
                <w:rStyle w:val="Hyperlink"/>
                <w:noProof/>
              </w:rPr>
              <w:t>Grundsätze</w:t>
            </w:r>
            <w:r w:rsidR="008F6D3A">
              <w:rPr>
                <w:noProof/>
                <w:webHidden/>
              </w:rPr>
              <w:tab/>
            </w:r>
            <w:r w:rsidR="008F6D3A">
              <w:rPr>
                <w:noProof/>
                <w:webHidden/>
              </w:rPr>
              <w:fldChar w:fldCharType="begin"/>
            </w:r>
            <w:r w:rsidR="008F6D3A">
              <w:rPr>
                <w:noProof/>
                <w:webHidden/>
              </w:rPr>
              <w:instrText xml:space="preserve"> PAGEREF _Toc432175647 \h </w:instrText>
            </w:r>
            <w:r w:rsidR="008F6D3A">
              <w:rPr>
                <w:noProof/>
                <w:webHidden/>
              </w:rPr>
            </w:r>
            <w:r w:rsidR="008F6D3A">
              <w:rPr>
                <w:noProof/>
                <w:webHidden/>
              </w:rPr>
              <w:fldChar w:fldCharType="separate"/>
            </w:r>
            <w:r w:rsidR="00C4252E">
              <w:rPr>
                <w:noProof/>
                <w:webHidden/>
              </w:rPr>
              <w:t>128</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48" w:history="1">
            <w:r w:rsidR="008F6D3A" w:rsidRPr="007F0955">
              <w:rPr>
                <w:rStyle w:val="Hyperlink"/>
                <w:noProof/>
                <w:spacing w:val="-24"/>
              </w:rPr>
              <w:t>B.</w:t>
            </w:r>
            <w:r w:rsidR="008F6D3A">
              <w:rPr>
                <w:rFonts w:asciiTheme="minorHAnsi" w:eastAsiaTheme="minorEastAsia" w:hAnsiTheme="minorHAnsi"/>
                <w:noProof/>
                <w:szCs w:val="22"/>
                <w:lang w:eastAsia="de-CH"/>
              </w:rPr>
              <w:tab/>
            </w:r>
            <w:r w:rsidR="008F6D3A" w:rsidRPr="007F0955">
              <w:rPr>
                <w:rStyle w:val="Hyperlink"/>
                <w:noProof/>
              </w:rPr>
              <w:t>Steuererhebendes Gemeinwesen</w:t>
            </w:r>
            <w:r w:rsidR="008F6D3A">
              <w:rPr>
                <w:noProof/>
                <w:webHidden/>
              </w:rPr>
              <w:tab/>
            </w:r>
            <w:r w:rsidR="008F6D3A">
              <w:rPr>
                <w:noProof/>
                <w:webHidden/>
              </w:rPr>
              <w:fldChar w:fldCharType="begin"/>
            </w:r>
            <w:r w:rsidR="008F6D3A">
              <w:rPr>
                <w:noProof/>
                <w:webHidden/>
              </w:rPr>
              <w:instrText xml:space="preserve"> PAGEREF _Toc432175648 \h </w:instrText>
            </w:r>
            <w:r w:rsidR="008F6D3A">
              <w:rPr>
                <w:noProof/>
                <w:webHidden/>
              </w:rPr>
            </w:r>
            <w:r w:rsidR="008F6D3A">
              <w:rPr>
                <w:noProof/>
                <w:webHidden/>
              </w:rPr>
              <w:fldChar w:fldCharType="separate"/>
            </w:r>
            <w:r w:rsidR="00C4252E">
              <w:rPr>
                <w:noProof/>
                <w:webHidden/>
              </w:rPr>
              <w:t>129</w:t>
            </w:r>
            <w:r w:rsidR="008F6D3A">
              <w:rPr>
                <w:noProof/>
                <w:webHidden/>
              </w:rPr>
              <w:fldChar w:fldCharType="end"/>
            </w:r>
          </w:hyperlink>
        </w:p>
        <w:p w:rsidR="008F6D3A" w:rsidRDefault="00C64023">
          <w:pPr>
            <w:pStyle w:val="Verzeichnis1"/>
            <w:tabs>
              <w:tab w:val="right" w:leader="dot" w:pos="9152"/>
            </w:tabs>
            <w:rPr>
              <w:rFonts w:asciiTheme="minorHAnsi" w:eastAsiaTheme="minorEastAsia" w:hAnsiTheme="minorHAnsi"/>
              <w:noProof/>
              <w:szCs w:val="22"/>
              <w:lang w:eastAsia="de-CH"/>
            </w:rPr>
          </w:pPr>
          <w:hyperlink w:anchor="_Toc432175649" w:history="1">
            <w:r w:rsidR="008F6D3A" w:rsidRPr="007F0955">
              <w:rPr>
                <w:rStyle w:val="Hyperlink"/>
                <w:noProof/>
              </w:rPr>
              <w:t>Sachen- und Grundbuchrecht</w:t>
            </w:r>
            <w:r w:rsidR="008F6D3A">
              <w:rPr>
                <w:noProof/>
                <w:webHidden/>
              </w:rPr>
              <w:tab/>
            </w:r>
            <w:r w:rsidR="008F6D3A">
              <w:rPr>
                <w:noProof/>
                <w:webHidden/>
              </w:rPr>
              <w:fldChar w:fldCharType="begin"/>
            </w:r>
            <w:r w:rsidR="008F6D3A">
              <w:rPr>
                <w:noProof/>
                <w:webHidden/>
              </w:rPr>
              <w:instrText xml:space="preserve"> PAGEREF _Toc432175649 \h </w:instrText>
            </w:r>
            <w:r w:rsidR="008F6D3A">
              <w:rPr>
                <w:noProof/>
                <w:webHidden/>
              </w:rPr>
            </w:r>
            <w:r w:rsidR="008F6D3A">
              <w:rPr>
                <w:noProof/>
                <w:webHidden/>
              </w:rPr>
              <w:fldChar w:fldCharType="separate"/>
            </w:r>
            <w:r w:rsidR="00C4252E">
              <w:rPr>
                <w:noProof/>
                <w:webHidden/>
              </w:rPr>
              <w:t>130</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650" w:history="1">
            <w:r w:rsidR="008F6D3A" w:rsidRPr="007F0955">
              <w:rPr>
                <w:rStyle w:val="Hyperlink"/>
                <w:noProof/>
              </w:rPr>
              <w:t>I. Einleitung</w:t>
            </w:r>
            <w:r w:rsidR="008F6D3A">
              <w:rPr>
                <w:noProof/>
                <w:webHidden/>
              </w:rPr>
              <w:tab/>
            </w:r>
            <w:r w:rsidR="008F6D3A">
              <w:rPr>
                <w:noProof/>
                <w:webHidden/>
              </w:rPr>
              <w:fldChar w:fldCharType="begin"/>
            </w:r>
            <w:r w:rsidR="008F6D3A">
              <w:rPr>
                <w:noProof/>
                <w:webHidden/>
              </w:rPr>
              <w:instrText xml:space="preserve"> PAGEREF _Toc432175650 \h </w:instrText>
            </w:r>
            <w:r w:rsidR="008F6D3A">
              <w:rPr>
                <w:noProof/>
                <w:webHidden/>
              </w:rPr>
            </w:r>
            <w:r w:rsidR="008F6D3A">
              <w:rPr>
                <w:noProof/>
                <w:webHidden/>
              </w:rPr>
              <w:fldChar w:fldCharType="separate"/>
            </w:r>
            <w:r w:rsidR="00C4252E">
              <w:rPr>
                <w:noProof/>
                <w:webHidden/>
              </w:rPr>
              <w:t>130</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651" w:history="1">
            <w:r w:rsidR="008F6D3A" w:rsidRPr="007F0955">
              <w:rPr>
                <w:rStyle w:val="Hyperlink"/>
                <w:noProof/>
              </w:rPr>
              <w:t>II. Eigentum(Art. 641 - 729 ZGB)</w:t>
            </w:r>
            <w:r w:rsidR="008F6D3A">
              <w:rPr>
                <w:noProof/>
                <w:webHidden/>
              </w:rPr>
              <w:tab/>
            </w:r>
            <w:r w:rsidR="008F6D3A">
              <w:rPr>
                <w:noProof/>
                <w:webHidden/>
              </w:rPr>
              <w:fldChar w:fldCharType="begin"/>
            </w:r>
            <w:r w:rsidR="008F6D3A">
              <w:rPr>
                <w:noProof/>
                <w:webHidden/>
              </w:rPr>
              <w:instrText xml:space="preserve"> PAGEREF _Toc432175651 \h </w:instrText>
            </w:r>
            <w:r w:rsidR="008F6D3A">
              <w:rPr>
                <w:noProof/>
                <w:webHidden/>
              </w:rPr>
            </w:r>
            <w:r w:rsidR="008F6D3A">
              <w:rPr>
                <w:noProof/>
                <w:webHidden/>
              </w:rPr>
              <w:fldChar w:fldCharType="separate"/>
            </w:r>
            <w:r w:rsidR="00C4252E">
              <w:rPr>
                <w:noProof/>
                <w:webHidden/>
              </w:rPr>
              <w:t>133</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52" w:history="1">
            <w:r w:rsidR="008F6D3A" w:rsidRPr="007F0955">
              <w:rPr>
                <w:rStyle w:val="Hyperlink"/>
                <w:noProof/>
              </w:rPr>
              <w:t>A.</w:t>
            </w:r>
            <w:r w:rsidR="008F6D3A">
              <w:rPr>
                <w:rFonts w:asciiTheme="minorHAnsi" w:eastAsiaTheme="minorEastAsia" w:hAnsiTheme="minorHAnsi"/>
                <w:noProof/>
                <w:szCs w:val="22"/>
                <w:lang w:eastAsia="de-CH"/>
              </w:rPr>
              <w:tab/>
            </w:r>
            <w:r w:rsidR="008F6D3A" w:rsidRPr="007F0955">
              <w:rPr>
                <w:rStyle w:val="Hyperlink"/>
                <w:noProof/>
              </w:rPr>
              <w:t>Begriff und Eigentumsarten (Art. 641 ff. ZGB)</w:t>
            </w:r>
            <w:r w:rsidR="008F6D3A">
              <w:rPr>
                <w:noProof/>
                <w:webHidden/>
              </w:rPr>
              <w:tab/>
            </w:r>
            <w:r w:rsidR="008F6D3A">
              <w:rPr>
                <w:noProof/>
                <w:webHidden/>
              </w:rPr>
              <w:fldChar w:fldCharType="begin"/>
            </w:r>
            <w:r w:rsidR="008F6D3A">
              <w:rPr>
                <w:noProof/>
                <w:webHidden/>
              </w:rPr>
              <w:instrText xml:space="preserve"> PAGEREF _Toc432175652 \h </w:instrText>
            </w:r>
            <w:r w:rsidR="008F6D3A">
              <w:rPr>
                <w:noProof/>
                <w:webHidden/>
              </w:rPr>
            </w:r>
            <w:r w:rsidR="008F6D3A">
              <w:rPr>
                <w:noProof/>
                <w:webHidden/>
              </w:rPr>
              <w:fldChar w:fldCharType="separate"/>
            </w:r>
            <w:r w:rsidR="00C4252E">
              <w:rPr>
                <w:noProof/>
                <w:webHidden/>
              </w:rPr>
              <w:t>133</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53" w:history="1">
            <w:r w:rsidR="008F6D3A" w:rsidRPr="007F0955">
              <w:rPr>
                <w:rStyle w:val="Hyperlink"/>
                <w:noProof/>
              </w:rPr>
              <w:t>B.</w:t>
            </w:r>
            <w:r w:rsidR="008F6D3A">
              <w:rPr>
                <w:rFonts w:asciiTheme="minorHAnsi" w:eastAsiaTheme="minorEastAsia" w:hAnsiTheme="minorHAnsi"/>
                <w:noProof/>
                <w:szCs w:val="22"/>
                <w:lang w:eastAsia="de-CH"/>
              </w:rPr>
              <w:tab/>
            </w:r>
            <w:r w:rsidR="008F6D3A" w:rsidRPr="007F0955">
              <w:rPr>
                <w:rStyle w:val="Hyperlink"/>
                <w:noProof/>
              </w:rPr>
              <w:t>Miteigentum (Art. 646 ff. ZGB)</w:t>
            </w:r>
            <w:r w:rsidR="008F6D3A">
              <w:rPr>
                <w:noProof/>
                <w:webHidden/>
              </w:rPr>
              <w:tab/>
            </w:r>
            <w:r w:rsidR="008F6D3A">
              <w:rPr>
                <w:noProof/>
                <w:webHidden/>
              </w:rPr>
              <w:fldChar w:fldCharType="begin"/>
            </w:r>
            <w:r w:rsidR="008F6D3A">
              <w:rPr>
                <w:noProof/>
                <w:webHidden/>
              </w:rPr>
              <w:instrText xml:space="preserve"> PAGEREF _Toc432175653 \h </w:instrText>
            </w:r>
            <w:r w:rsidR="008F6D3A">
              <w:rPr>
                <w:noProof/>
                <w:webHidden/>
              </w:rPr>
            </w:r>
            <w:r w:rsidR="008F6D3A">
              <w:rPr>
                <w:noProof/>
                <w:webHidden/>
              </w:rPr>
              <w:fldChar w:fldCharType="separate"/>
            </w:r>
            <w:r w:rsidR="00C4252E">
              <w:rPr>
                <w:noProof/>
                <w:webHidden/>
              </w:rPr>
              <w:t>134</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54" w:history="1">
            <w:r w:rsidR="008F6D3A" w:rsidRPr="007F0955">
              <w:rPr>
                <w:rStyle w:val="Hyperlink"/>
                <w:noProof/>
              </w:rPr>
              <w:t>C.</w:t>
            </w:r>
            <w:r w:rsidR="008F6D3A">
              <w:rPr>
                <w:rFonts w:asciiTheme="minorHAnsi" w:eastAsiaTheme="minorEastAsia" w:hAnsiTheme="minorHAnsi"/>
                <w:noProof/>
                <w:szCs w:val="22"/>
                <w:lang w:eastAsia="de-CH"/>
              </w:rPr>
              <w:tab/>
            </w:r>
            <w:r w:rsidR="008F6D3A" w:rsidRPr="007F0955">
              <w:rPr>
                <w:rStyle w:val="Hyperlink"/>
                <w:noProof/>
              </w:rPr>
              <w:t>Gesamteigentum (Art. 652 - 654a ZGB)</w:t>
            </w:r>
            <w:r w:rsidR="008F6D3A">
              <w:rPr>
                <w:noProof/>
                <w:webHidden/>
              </w:rPr>
              <w:tab/>
            </w:r>
            <w:r w:rsidR="008F6D3A">
              <w:rPr>
                <w:noProof/>
                <w:webHidden/>
              </w:rPr>
              <w:fldChar w:fldCharType="begin"/>
            </w:r>
            <w:r w:rsidR="008F6D3A">
              <w:rPr>
                <w:noProof/>
                <w:webHidden/>
              </w:rPr>
              <w:instrText xml:space="preserve"> PAGEREF _Toc432175654 \h </w:instrText>
            </w:r>
            <w:r w:rsidR="008F6D3A">
              <w:rPr>
                <w:noProof/>
                <w:webHidden/>
              </w:rPr>
            </w:r>
            <w:r w:rsidR="008F6D3A">
              <w:rPr>
                <w:noProof/>
                <w:webHidden/>
              </w:rPr>
              <w:fldChar w:fldCharType="separate"/>
            </w:r>
            <w:r w:rsidR="00C4252E">
              <w:rPr>
                <w:noProof/>
                <w:webHidden/>
              </w:rPr>
              <w:t>135</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655" w:history="1">
            <w:r w:rsidR="008F6D3A" w:rsidRPr="007F0955">
              <w:rPr>
                <w:rStyle w:val="Hyperlink"/>
                <w:noProof/>
              </w:rPr>
              <w:t>III. Grundeigentum (Art. 655 ff. ZGB)</w:t>
            </w:r>
            <w:r w:rsidR="008F6D3A">
              <w:rPr>
                <w:noProof/>
                <w:webHidden/>
              </w:rPr>
              <w:tab/>
            </w:r>
            <w:r w:rsidR="008F6D3A">
              <w:rPr>
                <w:noProof/>
                <w:webHidden/>
              </w:rPr>
              <w:fldChar w:fldCharType="begin"/>
            </w:r>
            <w:r w:rsidR="008F6D3A">
              <w:rPr>
                <w:noProof/>
                <w:webHidden/>
              </w:rPr>
              <w:instrText xml:space="preserve"> PAGEREF _Toc432175655 \h </w:instrText>
            </w:r>
            <w:r w:rsidR="008F6D3A">
              <w:rPr>
                <w:noProof/>
                <w:webHidden/>
              </w:rPr>
            </w:r>
            <w:r w:rsidR="008F6D3A">
              <w:rPr>
                <w:noProof/>
                <w:webHidden/>
              </w:rPr>
              <w:fldChar w:fldCharType="separate"/>
            </w:r>
            <w:r w:rsidR="00C4252E">
              <w:rPr>
                <w:noProof/>
                <w:webHidden/>
              </w:rPr>
              <w:t>136</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56" w:history="1">
            <w:r w:rsidR="008F6D3A" w:rsidRPr="007F0955">
              <w:rPr>
                <w:rStyle w:val="Hyperlink"/>
                <w:noProof/>
              </w:rPr>
              <w:t>A.</w:t>
            </w:r>
            <w:r w:rsidR="008F6D3A">
              <w:rPr>
                <w:rFonts w:asciiTheme="minorHAnsi" w:eastAsiaTheme="minorEastAsia" w:hAnsiTheme="minorHAnsi"/>
                <w:noProof/>
                <w:szCs w:val="22"/>
                <w:lang w:eastAsia="de-CH"/>
              </w:rPr>
              <w:tab/>
            </w:r>
            <w:r w:rsidR="008F6D3A" w:rsidRPr="007F0955">
              <w:rPr>
                <w:rStyle w:val="Hyperlink"/>
                <w:noProof/>
              </w:rPr>
              <w:t>Gegenstand des Grundeigentums</w:t>
            </w:r>
            <w:r w:rsidR="008F6D3A">
              <w:rPr>
                <w:noProof/>
                <w:webHidden/>
              </w:rPr>
              <w:tab/>
            </w:r>
            <w:r w:rsidR="008F6D3A">
              <w:rPr>
                <w:noProof/>
                <w:webHidden/>
              </w:rPr>
              <w:fldChar w:fldCharType="begin"/>
            </w:r>
            <w:r w:rsidR="008F6D3A">
              <w:rPr>
                <w:noProof/>
                <w:webHidden/>
              </w:rPr>
              <w:instrText xml:space="preserve"> PAGEREF _Toc432175656 \h </w:instrText>
            </w:r>
            <w:r w:rsidR="008F6D3A">
              <w:rPr>
                <w:noProof/>
                <w:webHidden/>
              </w:rPr>
            </w:r>
            <w:r w:rsidR="008F6D3A">
              <w:rPr>
                <w:noProof/>
                <w:webHidden/>
              </w:rPr>
              <w:fldChar w:fldCharType="separate"/>
            </w:r>
            <w:r w:rsidR="00C4252E">
              <w:rPr>
                <w:noProof/>
                <w:webHidden/>
              </w:rPr>
              <w:t>136</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57" w:history="1">
            <w:r w:rsidR="008F6D3A" w:rsidRPr="007F0955">
              <w:rPr>
                <w:rStyle w:val="Hyperlink"/>
                <w:noProof/>
              </w:rPr>
              <w:t>B.</w:t>
            </w:r>
            <w:r w:rsidR="008F6D3A">
              <w:rPr>
                <w:rFonts w:asciiTheme="minorHAnsi" w:eastAsiaTheme="minorEastAsia" w:hAnsiTheme="minorHAnsi"/>
                <w:noProof/>
                <w:szCs w:val="22"/>
                <w:lang w:eastAsia="de-CH"/>
              </w:rPr>
              <w:tab/>
            </w:r>
            <w:r w:rsidR="008F6D3A" w:rsidRPr="007F0955">
              <w:rPr>
                <w:rStyle w:val="Hyperlink"/>
                <w:noProof/>
              </w:rPr>
              <w:t>Erwerb des Grundeigentums</w:t>
            </w:r>
            <w:r w:rsidR="008F6D3A">
              <w:rPr>
                <w:noProof/>
                <w:webHidden/>
              </w:rPr>
              <w:tab/>
            </w:r>
            <w:r w:rsidR="008F6D3A">
              <w:rPr>
                <w:noProof/>
                <w:webHidden/>
              </w:rPr>
              <w:fldChar w:fldCharType="begin"/>
            </w:r>
            <w:r w:rsidR="008F6D3A">
              <w:rPr>
                <w:noProof/>
                <w:webHidden/>
              </w:rPr>
              <w:instrText xml:space="preserve"> PAGEREF _Toc432175657 \h </w:instrText>
            </w:r>
            <w:r w:rsidR="008F6D3A">
              <w:rPr>
                <w:noProof/>
                <w:webHidden/>
              </w:rPr>
            </w:r>
            <w:r w:rsidR="008F6D3A">
              <w:rPr>
                <w:noProof/>
                <w:webHidden/>
              </w:rPr>
              <w:fldChar w:fldCharType="separate"/>
            </w:r>
            <w:r w:rsidR="00C4252E">
              <w:rPr>
                <w:noProof/>
                <w:webHidden/>
              </w:rPr>
              <w:t>137</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58" w:history="1">
            <w:r w:rsidR="008F6D3A" w:rsidRPr="007F0955">
              <w:rPr>
                <w:rStyle w:val="Hyperlink"/>
                <w:noProof/>
              </w:rPr>
              <w:t>C.</w:t>
            </w:r>
            <w:r w:rsidR="008F6D3A">
              <w:rPr>
                <w:rFonts w:asciiTheme="minorHAnsi" w:eastAsiaTheme="minorEastAsia" w:hAnsiTheme="minorHAnsi"/>
                <w:noProof/>
                <w:szCs w:val="22"/>
                <w:lang w:eastAsia="de-CH"/>
              </w:rPr>
              <w:tab/>
            </w:r>
            <w:r w:rsidR="008F6D3A" w:rsidRPr="007F0955">
              <w:rPr>
                <w:rStyle w:val="Hyperlink"/>
                <w:noProof/>
              </w:rPr>
              <w:t>Inhalt des Grundeigentums</w:t>
            </w:r>
            <w:r w:rsidR="008F6D3A">
              <w:rPr>
                <w:noProof/>
                <w:webHidden/>
              </w:rPr>
              <w:tab/>
            </w:r>
            <w:r w:rsidR="008F6D3A">
              <w:rPr>
                <w:noProof/>
                <w:webHidden/>
              </w:rPr>
              <w:fldChar w:fldCharType="begin"/>
            </w:r>
            <w:r w:rsidR="008F6D3A">
              <w:rPr>
                <w:noProof/>
                <w:webHidden/>
              </w:rPr>
              <w:instrText xml:space="preserve"> PAGEREF _Toc432175658 \h </w:instrText>
            </w:r>
            <w:r w:rsidR="008F6D3A">
              <w:rPr>
                <w:noProof/>
                <w:webHidden/>
              </w:rPr>
            </w:r>
            <w:r w:rsidR="008F6D3A">
              <w:rPr>
                <w:noProof/>
                <w:webHidden/>
              </w:rPr>
              <w:fldChar w:fldCharType="separate"/>
            </w:r>
            <w:r w:rsidR="00C4252E">
              <w:rPr>
                <w:noProof/>
                <w:webHidden/>
              </w:rPr>
              <w:t>139</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59" w:history="1">
            <w:r w:rsidR="008F6D3A" w:rsidRPr="007F0955">
              <w:rPr>
                <w:rStyle w:val="Hyperlink"/>
                <w:noProof/>
              </w:rPr>
              <w:t>D.</w:t>
            </w:r>
            <w:r w:rsidR="008F6D3A">
              <w:rPr>
                <w:rFonts w:asciiTheme="minorHAnsi" w:eastAsiaTheme="minorEastAsia" w:hAnsiTheme="minorHAnsi"/>
                <w:noProof/>
                <w:szCs w:val="22"/>
                <w:lang w:eastAsia="de-CH"/>
              </w:rPr>
              <w:tab/>
            </w:r>
            <w:r w:rsidR="008F6D3A" w:rsidRPr="007F0955">
              <w:rPr>
                <w:rStyle w:val="Hyperlink"/>
                <w:noProof/>
              </w:rPr>
              <w:t>Beschränkungen des Grundeigentums (Art. 680 ff. ZGB)</w:t>
            </w:r>
            <w:r w:rsidR="008F6D3A">
              <w:rPr>
                <w:noProof/>
                <w:webHidden/>
              </w:rPr>
              <w:tab/>
            </w:r>
            <w:r w:rsidR="008F6D3A">
              <w:rPr>
                <w:noProof/>
                <w:webHidden/>
              </w:rPr>
              <w:fldChar w:fldCharType="begin"/>
            </w:r>
            <w:r w:rsidR="008F6D3A">
              <w:rPr>
                <w:noProof/>
                <w:webHidden/>
              </w:rPr>
              <w:instrText xml:space="preserve"> PAGEREF _Toc432175659 \h </w:instrText>
            </w:r>
            <w:r w:rsidR="008F6D3A">
              <w:rPr>
                <w:noProof/>
                <w:webHidden/>
              </w:rPr>
            </w:r>
            <w:r w:rsidR="008F6D3A">
              <w:rPr>
                <w:noProof/>
                <w:webHidden/>
              </w:rPr>
              <w:fldChar w:fldCharType="separate"/>
            </w:r>
            <w:r w:rsidR="00C4252E">
              <w:rPr>
                <w:noProof/>
                <w:webHidden/>
              </w:rPr>
              <w:t>140</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60" w:history="1">
            <w:r w:rsidR="008F6D3A" w:rsidRPr="007F0955">
              <w:rPr>
                <w:rStyle w:val="Hyperlink"/>
                <w:noProof/>
              </w:rPr>
              <w:t>E.</w:t>
            </w:r>
            <w:r w:rsidR="008F6D3A">
              <w:rPr>
                <w:rFonts w:asciiTheme="minorHAnsi" w:eastAsiaTheme="minorEastAsia" w:hAnsiTheme="minorHAnsi"/>
                <w:noProof/>
                <w:szCs w:val="22"/>
                <w:lang w:eastAsia="de-CH"/>
              </w:rPr>
              <w:tab/>
            </w:r>
            <w:r w:rsidR="008F6D3A" w:rsidRPr="007F0955">
              <w:rPr>
                <w:rStyle w:val="Hyperlink"/>
                <w:noProof/>
              </w:rPr>
              <w:t>Rechte an Quellen und Brunnen (Art. 704 – 712 ZGB)</w:t>
            </w:r>
            <w:r w:rsidR="008F6D3A">
              <w:rPr>
                <w:noProof/>
                <w:webHidden/>
              </w:rPr>
              <w:tab/>
            </w:r>
            <w:r w:rsidR="008F6D3A">
              <w:rPr>
                <w:noProof/>
                <w:webHidden/>
              </w:rPr>
              <w:fldChar w:fldCharType="begin"/>
            </w:r>
            <w:r w:rsidR="008F6D3A">
              <w:rPr>
                <w:noProof/>
                <w:webHidden/>
              </w:rPr>
              <w:instrText xml:space="preserve"> PAGEREF _Toc432175660 \h </w:instrText>
            </w:r>
            <w:r w:rsidR="008F6D3A">
              <w:rPr>
                <w:noProof/>
                <w:webHidden/>
              </w:rPr>
            </w:r>
            <w:r w:rsidR="008F6D3A">
              <w:rPr>
                <w:noProof/>
                <w:webHidden/>
              </w:rPr>
              <w:fldChar w:fldCharType="separate"/>
            </w:r>
            <w:r w:rsidR="00C4252E">
              <w:rPr>
                <w:noProof/>
                <w:webHidden/>
              </w:rPr>
              <w:t>143</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61" w:history="1">
            <w:r w:rsidR="008F6D3A" w:rsidRPr="007F0955">
              <w:rPr>
                <w:rStyle w:val="Hyperlink"/>
                <w:noProof/>
              </w:rPr>
              <w:t>F.</w:t>
            </w:r>
            <w:r w:rsidR="008F6D3A">
              <w:rPr>
                <w:rFonts w:asciiTheme="minorHAnsi" w:eastAsiaTheme="minorEastAsia" w:hAnsiTheme="minorHAnsi"/>
                <w:noProof/>
                <w:szCs w:val="22"/>
                <w:lang w:eastAsia="de-CH"/>
              </w:rPr>
              <w:tab/>
            </w:r>
            <w:r w:rsidR="008F6D3A" w:rsidRPr="007F0955">
              <w:rPr>
                <w:rStyle w:val="Hyperlink"/>
                <w:noProof/>
              </w:rPr>
              <w:t>Das Stockwerkeigentum (Art. 712 a – 712 t ZGB)</w:t>
            </w:r>
            <w:r w:rsidR="008F6D3A">
              <w:rPr>
                <w:noProof/>
                <w:webHidden/>
              </w:rPr>
              <w:tab/>
            </w:r>
            <w:r w:rsidR="008F6D3A">
              <w:rPr>
                <w:noProof/>
                <w:webHidden/>
              </w:rPr>
              <w:fldChar w:fldCharType="begin"/>
            </w:r>
            <w:r w:rsidR="008F6D3A">
              <w:rPr>
                <w:noProof/>
                <w:webHidden/>
              </w:rPr>
              <w:instrText xml:space="preserve"> PAGEREF _Toc432175661 \h </w:instrText>
            </w:r>
            <w:r w:rsidR="008F6D3A">
              <w:rPr>
                <w:noProof/>
                <w:webHidden/>
              </w:rPr>
            </w:r>
            <w:r w:rsidR="008F6D3A">
              <w:rPr>
                <w:noProof/>
                <w:webHidden/>
              </w:rPr>
              <w:fldChar w:fldCharType="separate"/>
            </w:r>
            <w:r w:rsidR="00C4252E">
              <w:rPr>
                <w:noProof/>
                <w:webHidden/>
              </w:rPr>
              <w:t>143</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662" w:history="1">
            <w:r w:rsidR="008F6D3A" w:rsidRPr="007F0955">
              <w:rPr>
                <w:rStyle w:val="Hyperlink"/>
                <w:noProof/>
              </w:rPr>
              <w:t>IV. Fahrniseigentum (Art. 713 – 729 ZGB)</w:t>
            </w:r>
            <w:r w:rsidR="008F6D3A">
              <w:rPr>
                <w:noProof/>
                <w:webHidden/>
              </w:rPr>
              <w:tab/>
            </w:r>
            <w:r w:rsidR="008F6D3A">
              <w:rPr>
                <w:noProof/>
                <w:webHidden/>
              </w:rPr>
              <w:fldChar w:fldCharType="begin"/>
            </w:r>
            <w:r w:rsidR="008F6D3A">
              <w:rPr>
                <w:noProof/>
                <w:webHidden/>
              </w:rPr>
              <w:instrText xml:space="preserve"> PAGEREF _Toc432175662 \h </w:instrText>
            </w:r>
            <w:r w:rsidR="008F6D3A">
              <w:rPr>
                <w:noProof/>
                <w:webHidden/>
              </w:rPr>
            </w:r>
            <w:r w:rsidR="008F6D3A">
              <w:rPr>
                <w:noProof/>
                <w:webHidden/>
              </w:rPr>
              <w:fldChar w:fldCharType="separate"/>
            </w:r>
            <w:r w:rsidR="00C4252E">
              <w:rPr>
                <w:noProof/>
                <w:webHidden/>
              </w:rPr>
              <w:t>147</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63" w:history="1">
            <w:r w:rsidR="008F6D3A" w:rsidRPr="007F0955">
              <w:rPr>
                <w:rStyle w:val="Hyperlink"/>
                <w:noProof/>
              </w:rPr>
              <w:t>A.</w:t>
            </w:r>
            <w:r w:rsidR="008F6D3A">
              <w:rPr>
                <w:rFonts w:asciiTheme="minorHAnsi" w:eastAsiaTheme="minorEastAsia" w:hAnsiTheme="minorHAnsi"/>
                <w:noProof/>
                <w:szCs w:val="22"/>
                <w:lang w:eastAsia="de-CH"/>
              </w:rPr>
              <w:tab/>
            </w:r>
            <w:r w:rsidR="008F6D3A" w:rsidRPr="007F0955">
              <w:rPr>
                <w:rStyle w:val="Hyperlink"/>
                <w:noProof/>
              </w:rPr>
              <w:t>Gegenstand (Art. 713 ZGB)</w:t>
            </w:r>
            <w:r w:rsidR="008F6D3A">
              <w:rPr>
                <w:noProof/>
                <w:webHidden/>
              </w:rPr>
              <w:tab/>
            </w:r>
            <w:r w:rsidR="008F6D3A">
              <w:rPr>
                <w:noProof/>
                <w:webHidden/>
              </w:rPr>
              <w:fldChar w:fldCharType="begin"/>
            </w:r>
            <w:r w:rsidR="008F6D3A">
              <w:rPr>
                <w:noProof/>
                <w:webHidden/>
              </w:rPr>
              <w:instrText xml:space="preserve"> PAGEREF _Toc432175663 \h </w:instrText>
            </w:r>
            <w:r w:rsidR="008F6D3A">
              <w:rPr>
                <w:noProof/>
                <w:webHidden/>
              </w:rPr>
            </w:r>
            <w:r w:rsidR="008F6D3A">
              <w:rPr>
                <w:noProof/>
                <w:webHidden/>
              </w:rPr>
              <w:fldChar w:fldCharType="separate"/>
            </w:r>
            <w:r w:rsidR="00C4252E">
              <w:rPr>
                <w:noProof/>
                <w:webHidden/>
              </w:rPr>
              <w:t>147</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64" w:history="1">
            <w:r w:rsidR="008F6D3A" w:rsidRPr="007F0955">
              <w:rPr>
                <w:rStyle w:val="Hyperlink"/>
                <w:noProof/>
              </w:rPr>
              <w:t>B.</w:t>
            </w:r>
            <w:r w:rsidR="008F6D3A">
              <w:rPr>
                <w:rFonts w:asciiTheme="minorHAnsi" w:eastAsiaTheme="minorEastAsia" w:hAnsiTheme="minorHAnsi"/>
                <w:noProof/>
                <w:szCs w:val="22"/>
                <w:lang w:eastAsia="de-CH"/>
              </w:rPr>
              <w:tab/>
            </w:r>
            <w:r w:rsidR="008F6D3A" w:rsidRPr="007F0955">
              <w:rPr>
                <w:rStyle w:val="Hyperlink"/>
                <w:noProof/>
              </w:rPr>
              <w:t>Erwerbsarten (Art. 714 – 728 ZGB)</w:t>
            </w:r>
            <w:r w:rsidR="008F6D3A">
              <w:rPr>
                <w:noProof/>
                <w:webHidden/>
              </w:rPr>
              <w:tab/>
            </w:r>
            <w:r w:rsidR="008F6D3A">
              <w:rPr>
                <w:noProof/>
                <w:webHidden/>
              </w:rPr>
              <w:fldChar w:fldCharType="begin"/>
            </w:r>
            <w:r w:rsidR="008F6D3A">
              <w:rPr>
                <w:noProof/>
                <w:webHidden/>
              </w:rPr>
              <w:instrText xml:space="preserve"> PAGEREF _Toc432175664 \h </w:instrText>
            </w:r>
            <w:r w:rsidR="008F6D3A">
              <w:rPr>
                <w:noProof/>
                <w:webHidden/>
              </w:rPr>
            </w:r>
            <w:r w:rsidR="008F6D3A">
              <w:rPr>
                <w:noProof/>
                <w:webHidden/>
              </w:rPr>
              <w:fldChar w:fldCharType="separate"/>
            </w:r>
            <w:r w:rsidR="00C4252E">
              <w:rPr>
                <w:noProof/>
                <w:webHidden/>
              </w:rPr>
              <w:t>147</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65" w:history="1">
            <w:r w:rsidR="008F6D3A" w:rsidRPr="007F0955">
              <w:rPr>
                <w:rStyle w:val="Hyperlink"/>
                <w:noProof/>
              </w:rPr>
              <w:t>C.</w:t>
            </w:r>
            <w:r w:rsidR="008F6D3A">
              <w:rPr>
                <w:rFonts w:asciiTheme="minorHAnsi" w:eastAsiaTheme="minorEastAsia" w:hAnsiTheme="minorHAnsi"/>
                <w:noProof/>
                <w:szCs w:val="22"/>
                <w:lang w:eastAsia="de-CH"/>
              </w:rPr>
              <w:tab/>
            </w:r>
            <w:r w:rsidR="008F6D3A" w:rsidRPr="007F0955">
              <w:rPr>
                <w:rStyle w:val="Hyperlink"/>
                <w:noProof/>
              </w:rPr>
              <w:t>Verlust (Art. 729 ZGB)</w:t>
            </w:r>
            <w:r w:rsidR="008F6D3A">
              <w:rPr>
                <w:noProof/>
                <w:webHidden/>
              </w:rPr>
              <w:tab/>
            </w:r>
            <w:r w:rsidR="008F6D3A">
              <w:rPr>
                <w:noProof/>
                <w:webHidden/>
              </w:rPr>
              <w:fldChar w:fldCharType="begin"/>
            </w:r>
            <w:r w:rsidR="008F6D3A">
              <w:rPr>
                <w:noProof/>
                <w:webHidden/>
              </w:rPr>
              <w:instrText xml:space="preserve"> PAGEREF _Toc432175665 \h </w:instrText>
            </w:r>
            <w:r w:rsidR="008F6D3A">
              <w:rPr>
                <w:noProof/>
                <w:webHidden/>
              </w:rPr>
            </w:r>
            <w:r w:rsidR="008F6D3A">
              <w:rPr>
                <w:noProof/>
                <w:webHidden/>
              </w:rPr>
              <w:fldChar w:fldCharType="separate"/>
            </w:r>
            <w:r w:rsidR="00C4252E">
              <w:rPr>
                <w:noProof/>
                <w:webHidden/>
              </w:rPr>
              <w:t>149</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666" w:history="1">
            <w:r w:rsidR="008F6D3A" w:rsidRPr="007F0955">
              <w:rPr>
                <w:rStyle w:val="Hyperlink"/>
                <w:noProof/>
              </w:rPr>
              <w:t>V. Die Dienstbarkeiten und Grundlasten (Art. 730 ff. ZGB)</w:t>
            </w:r>
            <w:r w:rsidR="008F6D3A">
              <w:rPr>
                <w:noProof/>
                <w:webHidden/>
              </w:rPr>
              <w:tab/>
            </w:r>
            <w:r w:rsidR="008F6D3A">
              <w:rPr>
                <w:noProof/>
                <w:webHidden/>
              </w:rPr>
              <w:fldChar w:fldCharType="begin"/>
            </w:r>
            <w:r w:rsidR="008F6D3A">
              <w:rPr>
                <w:noProof/>
                <w:webHidden/>
              </w:rPr>
              <w:instrText xml:space="preserve"> PAGEREF _Toc432175666 \h </w:instrText>
            </w:r>
            <w:r w:rsidR="008F6D3A">
              <w:rPr>
                <w:noProof/>
                <w:webHidden/>
              </w:rPr>
            </w:r>
            <w:r w:rsidR="008F6D3A">
              <w:rPr>
                <w:noProof/>
                <w:webHidden/>
              </w:rPr>
              <w:fldChar w:fldCharType="separate"/>
            </w:r>
            <w:r w:rsidR="00C4252E">
              <w:rPr>
                <w:noProof/>
                <w:webHidden/>
              </w:rPr>
              <w:t>149</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67" w:history="1">
            <w:r w:rsidR="008F6D3A" w:rsidRPr="007F0955">
              <w:rPr>
                <w:rStyle w:val="Hyperlink"/>
                <w:noProof/>
              </w:rPr>
              <w:t>A.</w:t>
            </w:r>
            <w:r w:rsidR="008F6D3A">
              <w:rPr>
                <w:rFonts w:asciiTheme="minorHAnsi" w:eastAsiaTheme="minorEastAsia" w:hAnsiTheme="minorHAnsi"/>
                <w:noProof/>
                <w:szCs w:val="22"/>
                <w:lang w:eastAsia="de-CH"/>
              </w:rPr>
              <w:tab/>
            </w:r>
            <w:r w:rsidR="008F6D3A" w:rsidRPr="007F0955">
              <w:rPr>
                <w:rStyle w:val="Hyperlink"/>
                <w:noProof/>
              </w:rPr>
              <w:t>Grunddienstbarkeiten (Art. 730 – 744 ZGB)</w:t>
            </w:r>
            <w:r w:rsidR="008F6D3A">
              <w:rPr>
                <w:noProof/>
                <w:webHidden/>
              </w:rPr>
              <w:tab/>
            </w:r>
            <w:r w:rsidR="008F6D3A">
              <w:rPr>
                <w:noProof/>
                <w:webHidden/>
              </w:rPr>
              <w:fldChar w:fldCharType="begin"/>
            </w:r>
            <w:r w:rsidR="008F6D3A">
              <w:rPr>
                <w:noProof/>
                <w:webHidden/>
              </w:rPr>
              <w:instrText xml:space="preserve"> PAGEREF _Toc432175667 \h </w:instrText>
            </w:r>
            <w:r w:rsidR="008F6D3A">
              <w:rPr>
                <w:noProof/>
                <w:webHidden/>
              </w:rPr>
            </w:r>
            <w:r w:rsidR="008F6D3A">
              <w:rPr>
                <w:noProof/>
                <w:webHidden/>
              </w:rPr>
              <w:fldChar w:fldCharType="separate"/>
            </w:r>
            <w:r w:rsidR="00C4252E">
              <w:rPr>
                <w:noProof/>
                <w:webHidden/>
              </w:rPr>
              <w:t>150</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68" w:history="1">
            <w:r w:rsidR="008F6D3A" w:rsidRPr="007F0955">
              <w:rPr>
                <w:rStyle w:val="Hyperlink"/>
                <w:noProof/>
              </w:rPr>
              <w:t>B.</w:t>
            </w:r>
            <w:r w:rsidR="008F6D3A">
              <w:rPr>
                <w:rFonts w:asciiTheme="minorHAnsi" w:eastAsiaTheme="minorEastAsia" w:hAnsiTheme="minorHAnsi"/>
                <w:noProof/>
                <w:szCs w:val="22"/>
                <w:lang w:eastAsia="de-CH"/>
              </w:rPr>
              <w:tab/>
            </w:r>
            <w:r w:rsidR="008F6D3A" w:rsidRPr="007F0955">
              <w:rPr>
                <w:rStyle w:val="Hyperlink"/>
                <w:noProof/>
              </w:rPr>
              <w:t>Nutzniessung (Art. 745 – 775 ZGB)</w:t>
            </w:r>
            <w:r w:rsidR="008F6D3A">
              <w:rPr>
                <w:noProof/>
                <w:webHidden/>
              </w:rPr>
              <w:tab/>
            </w:r>
            <w:r w:rsidR="008F6D3A">
              <w:rPr>
                <w:noProof/>
                <w:webHidden/>
              </w:rPr>
              <w:fldChar w:fldCharType="begin"/>
            </w:r>
            <w:r w:rsidR="008F6D3A">
              <w:rPr>
                <w:noProof/>
                <w:webHidden/>
              </w:rPr>
              <w:instrText xml:space="preserve"> PAGEREF _Toc432175668 \h </w:instrText>
            </w:r>
            <w:r w:rsidR="008F6D3A">
              <w:rPr>
                <w:noProof/>
                <w:webHidden/>
              </w:rPr>
            </w:r>
            <w:r w:rsidR="008F6D3A">
              <w:rPr>
                <w:noProof/>
                <w:webHidden/>
              </w:rPr>
              <w:fldChar w:fldCharType="separate"/>
            </w:r>
            <w:r w:rsidR="00C4252E">
              <w:rPr>
                <w:noProof/>
                <w:webHidden/>
              </w:rPr>
              <w:t>151</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69" w:history="1">
            <w:r w:rsidR="008F6D3A" w:rsidRPr="007F0955">
              <w:rPr>
                <w:rStyle w:val="Hyperlink"/>
                <w:noProof/>
              </w:rPr>
              <w:t>C.</w:t>
            </w:r>
            <w:r w:rsidR="008F6D3A">
              <w:rPr>
                <w:rFonts w:asciiTheme="minorHAnsi" w:eastAsiaTheme="minorEastAsia" w:hAnsiTheme="minorHAnsi"/>
                <w:noProof/>
                <w:szCs w:val="22"/>
                <w:lang w:eastAsia="de-CH"/>
              </w:rPr>
              <w:tab/>
            </w:r>
            <w:r w:rsidR="008F6D3A" w:rsidRPr="007F0955">
              <w:rPr>
                <w:rStyle w:val="Hyperlink"/>
                <w:noProof/>
              </w:rPr>
              <w:t>Wohnrecht (Art. 776 – 778 ZGB)</w:t>
            </w:r>
            <w:r w:rsidR="008F6D3A">
              <w:rPr>
                <w:noProof/>
                <w:webHidden/>
              </w:rPr>
              <w:tab/>
            </w:r>
            <w:r w:rsidR="008F6D3A">
              <w:rPr>
                <w:noProof/>
                <w:webHidden/>
              </w:rPr>
              <w:fldChar w:fldCharType="begin"/>
            </w:r>
            <w:r w:rsidR="008F6D3A">
              <w:rPr>
                <w:noProof/>
                <w:webHidden/>
              </w:rPr>
              <w:instrText xml:space="preserve"> PAGEREF _Toc432175669 \h </w:instrText>
            </w:r>
            <w:r w:rsidR="008F6D3A">
              <w:rPr>
                <w:noProof/>
                <w:webHidden/>
              </w:rPr>
            </w:r>
            <w:r w:rsidR="008F6D3A">
              <w:rPr>
                <w:noProof/>
                <w:webHidden/>
              </w:rPr>
              <w:fldChar w:fldCharType="separate"/>
            </w:r>
            <w:r w:rsidR="00C4252E">
              <w:rPr>
                <w:noProof/>
                <w:webHidden/>
              </w:rPr>
              <w:t>153</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70" w:history="1">
            <w:r w:rsidR="008F6D3A" w:rsidRPr="007F0955">
              <w:rPr>
                <w:rStyle w:val="Hyperlink"/>
                <w:noProof/>
              </w:rPr>
              <w:t>D.</w:t>
            </w:r>
            <w:r w:rsidR="008F6D3A">
              <w:rPr>
                <w:rFonts w:asciiTheme="minorHAnsi" w:eastAsiaTheme="minorEastAsia" w:hAnsiTheme="minorHAnsi"/>
                <w:noProof/>
                <w:szCs w:val="22"/>
                <w:lang w:eastAsia="de-CH"/>
              </w:rPr>
              <w:tab/>
            </w:r>
            <w:r w:rsidR="008F6D3A" w:rsidRPr="007F0955">
              <w:rPr>
                <w:rStyle w:val="Hyperlink"/>
                <w:noProof/>
              </w:rPr>
              <w:t>Baurecht (Art. 779 – 779l ZGB)</w:t>
            </w:r>
            <w:r w:rsidR="008F6D3A">
              <w:rPr>
                <w:noProof/>
                <w:webHidden/>
              </w:rPr>
              <w:tab/>
            </w:r>
            <w:r w:rsidR="008F6D3A">
              <w:rPr>
                <w:noProof/>
                <w:webHidden/>
              </w:rPr>
              <w:fldChar w:fldCharType="begin"/>
            </w:r>
            <w:r w:rsidR="008F6D3A">
              <w:rPr>
                <w:noProof/>
                <w:webHidden/>
              </w:rPr>
              <w:instrText xml:space="preserve"> PAGEREF _Toc432175670 \h </w:instrText>
            </w:r>
            <w:r w:rsidR="008F6D3A">
              <w:rPr>
                <w:noProof/>
                <w:webHidden/>
              </w:rPr>
            </w:r>
            <w:r w:rsidR="008F6D3A">
              <w:rPr>
                <w:noProof/>
                <w:webHidden/>
              </w:rPr>
              <w:fldChar w:fldCharType="separate"/>
            </w:r>
            <w:r w:rsidR="00C4252E">
              <w:rPr>
                <w:noProof/>
                <w:webHidden/>
              </w:rPr>
              <w:t>154</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71" w:history="1">
            <w:r w:rsidR="008F6D3A" w:rsidRPr="007F0955">
              <w:rPr>
                <w:rStyle w:val="Hyperlink"/>
                <w:noProof/>
              </w:rPr>
              <w:t>E.</w:t>
            </w:r>
            <w:r w:rsidR="008F6D3A">
              <w:rPr>
                <w:rFonts w:asciiTheme="minorHAnsi" w:eastAsiaTheme="minorEastAsia" w:hAnsiTheme="minorHAnsi"/>
                <w:noProof/>
                <w:szCs w:val="22"/>
                <w:lang w:eastAsia="de-CH"/>
              </w:rPr>
              <w:tab/>
            </w:r>
            <w:r w:rsidR="008F6D3A" w:rsidRPr="007F0955">
              <w:rPr>
                <w:rStyle w:val="Hyperlink"/>
                <w:noProof/>
              </w:rPr>
              <w:t>Quellenrecht (Art. 780 ZGB)</w:t>
            </w:r>
            <w:r w:rsidR="008F6D3A">
              <w:rPr>
                <w:noProof/>
                <w:webHidden/>
              </w:rPr>
              <w:tab/>
            </w:r>
            <w:r w:rsidR="008F6D3A">
              <w:rPr>
                <w:noProof/>
                <w:webHidden/>
              </w:rPr>
              <w:fldChar w:fldCharType="begin"/>
            </w:r>
            <w:r w:rsidR="008F6D3A">
              <w:rPr>
                <w:noProof/>
                <w:webHidden/>
              </w:rPr>
              <w:instrText xml:space="preserve"> PAGEREF _Toc432175671 \h </w:instrText>
            </w:r>
            <w:r w:rsidR="008F6D3A">
              <w:rPr>
                <w:noProof/>
                <w:webHidden/>
              </w:rPr>
            </w:r>
            <w:r w:rsidR="008F6D3A">
              <w:rPr>
                <w:noProof/>
                <w:webHidden/>
              </w:rPr>
              <w:fldChar w:fldCharType="separate"/>
            </w:r>
            <w:r w:rsidR="00C4252E">
              <w:rPr>
                <w:noProof/>
                <w:webHidden/>
              </w:rPr>
              <w:t>155</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72" w:history="1">
            <w:r w:rsidR="008F6D3A" w:rsidRPr="007F0955">
              <w:rPr>
                <w:rStyle w:val="Hyperlink"/>
                <w:noProof/>
              </w:rPr>
              <w:t>F.</w:t>
            </w:r>
            <w:r w:rsidR="008F6D3A">
              <w:rPr>
                <w:rFonts w:asciiTheme="minorHAnsi" w:eastAsiaTheme="minorEastAsia" w:hAnsiTheme="minorHAnsi"/>
                <w:noProof/>
                <w:szCs w:val="22"/>
                <w:lang w:eastAsia="de-CH"/>
              </w:rPr>
              <w:tab/>
            </w:r>
            <w:r w:rsidR="008F6D3A" w:rsidRPr="007F0955">
              <w:rPr>
                <w:rStyle w:val="Hyperlink"/>
                <w:noProof/>
              </w:rPr>
              <w:t>Andere Dienstbarkeiten (Art. 781 ZGB)</w:t>
            </w:r>
            <w:r w:rsidR="008F6D3A">
              <w:rPr>
                <w:noProof/>
                <w:webHidden/>
              </w:rPr>
              <w:tab/>
            </w:r>
            <w:r w:rsidR="008F6D3A">
              <w:rPr>
                <w:noProof/>
                <w:webHidden/>
              </w:rPr>
              <w:fldChar w:fldCharType="begin"/>
            </w:r>
            <w:r w:rsidR="008F6D3A">
              <w:rPr>
                <w:noProof/>
                <w:webHidden/>
              </w:rPr>
              <w:instrText xml:space="preserve"> PAGEREF _Toc432175672 \h </w:instrText>
            </w:r>
            <w:r w:rsidR="008F6D3A">
              <w:rPr>
                <w:noProof/>
                <w:webHidden/>
              </w:rPr>
            </w:r>
            <w:r w:rsidR="008F6D3A">
              <w:rPr>
                <w:noProof/>
                <w:webHidden/>
              </w:rPr>
              <w:fldChar w:fldCharType="separate"/>
            </w:r>
            <w:r w:rsidR="00C4252E">
              <w:rPr>
                <w:noProof/>
                <w:webHidden/>
              </w:rPr>
              <w:t>155</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73" w:history="1">
            <w:r w:rsidR="008F6D3A" w:rsidRPr="007F0955">
              <w:rPr>
                <w:rStyle w:val="Hyperlink"/>
                <w:noProof/>
              </w:rPr>
              <w:t>G.</w:t>
            </w:r>
            <w:r w:rsidR="008F6D3A">
              <w:rPr>
                <w:rFonts w:asciiTheme="minorHAnsi" w:eastAsiaTheme="minorEastAsia" w:hAnsiTheme="minorHAnsi"/>
                <w:noProof/>
                <w:szCs w:val="22"/>
                <w:lang w:eastAsia="de-CH"/>
              </w:rPr>
              <w:tab/>
            </w:r>
            <w:r w:rsidR="008F6D3A" w:rsidRPr="007F0955">
              <w:rPr>
                <w:rStyle w:val="Hyperlink"/>
                <w:noProof/>
              </w:rPr>
              <w:t>Richterliche Massnahmen (Art. 781a ZGB)</w:t>
            </w:r>
            <w:r w:rsidR="008F6D3A">
              <w:rPr>
                <w:noProof/>
                <w:webHidden/>
              </w:rPr>
              <w:tab/>
            </w:r>
            <w:r w:rsidR="008F6D3A">
              <w:rPr>
                <w:noProof/>
                <w:webHidden/>
              </w:rPr>
              <w:fldChar w:fldCharType="begin"/>
            </w:r>
            <w:r w:rsidR="008F6D3A">
              <w:rPr>
                <w:noProof/>
                <w:webHidden/>
              </w:rPr>
              <w:instrText xml:space="preserve"> PAGEREF _Toc432175673 \h </w:instrText>
            </w:r>
            <w:r w:rsidR="008F6D3A">
              <w:rPr>
                <w:noProof/>
                <w:webHidden/>
              </w:rPr>
            </w:r>
            <w:r w:rsidR="008F6D3A">
              <w:rPr>
                <w:noProof/>
                <w:webHidden/>
              </w:rPr>
              <w:fldChar w:fldCharType="separate"/>
            </w:r>
            <w:r w:rsidR="00C4252E">
              <w:rPr>
                <w:noProof/>
                <w:webHidden/>
              </w:rPr>
              <w:t>155</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74" w:history="1">
            <w:r w:rsidR="008F6D3A" w:rsidRPr="007F0955">
              <w:rPr>
                <w:rStyle w:val="Hyperlink"/>
                <w:noProof/>
              </w:rPr>
              <w:t>H.</w:t>
            </w:r>
            <w:r w:rsidR="008F6D3A">
              <w:rPr>
                <w:rFonts w:asciiTheme="minorHAnsi" w:eastAsiaTheme="minorEastAsia" w:hAnsiTheme="minorHAnsi"/>
                <w:noProof/>
                <w:szCs w:val="22"/>
                <w:lang w:eastAsia="de-CH"/>
              </w:rPr>
              <w:tab/>
            </w:r>
            <w:r w:rsidR="008F6D3A" w:rsidRPr="007F0955">
              <w:rPr>
                <w:rStyle w:val="Hyperlink"/>
                <w:noProof/>
              </w:rPr>
              <w:t>Grundlasten (Art. 782 – 792 ZGB)</w:t>
            </w:r>
            <w:r w:rsidR="008F6D3A">
              <w:rPr>
                <w:noProof/>
                <w:webHidden/>
              </w:rPr>
              <w:tab/>
            </w:r>
            <w:r w:rsidR="008F6D3A">
              <w:rPr>
                <w:noProof/>
                <w:webHidden/>
              </w:rPr>
              <w:fldChar w:fldCharType="begin"/>
            </w:r>
            <w:r w:rsidR="008F6D3A">
              <w:rPr>
                <w:noProof/>
                <w:webHidden/>
              </w:rPr>
              <w:instrText xml:space="preserve"> PAGEREF _Toc432175674 \h </w:instrText>
            </w:r>
            <w:r w:rsidR="008F6D3A">
              <w:rPr>
                <w:noProof/>
                <w:webHidden/>
              </w:rPr>
            </w:r>
            <w:r w:rsidR="008F6D3A">
              <w:rPr>
                <w:noProof/>
                <w:webHidden/>
              </w:rPr>
              <w:fldChar w:fldCharType="separate"/>
            </w:r>
            <w:r w:rsidR="00C4252E">
              <w:rPr>
                <w:noProof/>
                <w:webHidden/>
              </w:rPr>
              <w:t>155</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675" w:history="1">
            <w:r w:rsidR="008F6D3A" w:rsidRPr="007F0955">
              <w:rPr>
                <w:rStyle w:val="Hyperlink"/>
                <w:noProof/>
              </w:rPr>
              <w:t>VI. Das Grundpfand (Art. 793 ff. ZGB)</w:t>
            </w:r>
            <w:r w:rsidR="008F6D3A">
              <w:rPr>
                <w:noProof/>
                <w:webHidden/>
              </w:rPr>
              <w:tab/>
            </w:r>
            <w:r w:rsidR="008F6D3A">
              <w:rPr>
                <w:noProof/>
                <w:webHidden/>
              </w:rPr>
              <w:fldChar w:fldCharType="begin"/>
            </w:r>
            <w:r w:rsidR="008F6D3A">
              <w:rPr>
                <w:noProof/>
                <w:webHidden/>
              </w:rPr>
              <w:instrText xml:space="preserve"> PAGEREF _Toc432175675 \h </w:instrText>
            </w:r>
            <w:r w:rsidR="008F6D3A">
              <w:rPr>
                <w:noProof/>
                <w:webHidden/>
              </w:rPr>
            </w:r>
            <w:r w:rsidR="008F6D3A">
              <w:rPr>
                <w:noProof/>
                <w:webHidden/>
              </w:rPr>
              <w:fldChar w:fldCharType="separate"/>
            </w:r>
            <w:r w:rsidR="00C4252E">
              <w:rPr>
                <w:noProof/>
                <w:webHidden/>
              </w:rPr>
              <w:t>157</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76" w:history="1">
            <w:r w:rsidR="008F6D3A" w:rsidRPr="007F0955">
              <w:rPr>
                <w:rStyle w:val="Hyperlink"/>
                <w:noProof/>
              </w:rPr>
              <w:t>A.</w:t>
            </w:r>
            <w:r w:rsidR="008F6D3A">
              <w:rPr>
                <w:rFonts w:asciiTheme="minorHAnsi" w:eastAsiaTheme="minorEastAsia" w:hAnsiTheme="minorHAnsi"/>
                <w:noProof/>
                <w:szCs w:val="22"/>
                <w:lang w:eastAsia="de-CH"/>
              </w:rPr>
              <w:tab/>
            </w:r>
            <w:r w:rsidR="008F6D3A" w:rsidRPr="007F0955">
              <w:rPr>
                <w:rStyle w:val="Hyperlink"/>
                <w:noProof/>
              </w:rPr>
              <w:t>Allgemeine Bestimmungen (Art. 793 -823 ZGB)</w:t>
            </w:r>
            <w:r w:rsidR="008F6D3A">
              <w:rPr>
                <w:noProof/>
                <w:webHidden/>
              </w:rPr>
              <w:tab/>
            </w:r>
            <w:r w:rsidR="008F6D3A">
              <w:rPr>
                <w:noProof/>
                <w:webHidden/>
              </w:rPr>
              <w:fldChar w:fldCharType="begin"/>
            </w:r>
            <w:r w:rsidR="008F6D3A">
              <w:rPr>
                <w:noProof/>
                <w:webHidden/>
              </w:rPr>
              <w:instrText xml:space="preserve"> PAGEREF _Toc432175676 \h </w:instrText>
            </w:r>
            <w:r w:rsidR="008F6D3A">
              <w:rPr>
                <w:noProof/>
                <w:webHidden/>
              </w:rPr>
            </w:r>
            <w:r w:rsidR="008F6D3A">
              <w:rPr>
                <w:noProof/>
                <w:webHidden/>
              </w:rPr>
              <w:fldChar w:fldCharType="separate"/>
            </w:r>
            <w:r w:rsidR="00C4252E">
              <w:rPr>
                <w:noProof/>
                <w:webHidden/>
              </w:rPr>
              <w:t>157</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77" w:history="1">
            <w:r w:rsidR="008F6D3A" w:rsidRPr="007F0955">
              <w:rPr>
                <w:rStyle w:val="Hyperlink"/>
                <w:noProof/>
              </w:rPr>
              <w:t>B.</w:t>
            </w:r>
            <w:r w:rsidR="008F6D3A">
              <w:rPr>
                <w:rFonts w:asciiTheme="minorHAnsi" w:eastAsiaTheme="minorEastAsia" w:hAnsiTheme="minorHAnsi"/>
                <w:noProof/>
                <w:szCs w:val="22"/>
                <w:lang w:eastAsia="de-CH"/>
              </w:rPr>
              <w:tab/>
            </w:r>
            <w:r w:rsidR="008F6D3A" w:rsidRPr="007F0955">
              <w:rPr>
                <w:rStyle w:val="Hyperlink"/>
                <w:noProof/>
              </w:rPr>
              <w:t>Die Grundpfandverschreibung (Art. 824 – 841 ZGB)</w:t>
            </w:r>
            <w:r w:rsidR="008F6D3A">
              <w:rPr>
                <w:noProof/>
                <w:webHidden/>
              </w:rPr>
              <w:tab/>
            </w:r>
            <w:r w:rsidR="008F6D3A">
              <w:rPr>
                <w:noProof/>
                <w:webHidden/>
              </w:rPr>
              <w:fldChar w:fldCharType="begin"/>
            </w:r>
            <w:r w:rsidR="008F6D3A">
              <w:rPr>
                <w:noProof/>
                <w:webHidden/>
              </w:rPr>
              <w:instrText xml:space="preserve"> PAGEREF _Toc432175677 \h </w:instrText>
            </w:r>
            <w:r w:rsidR="008F6D3A">
              <w:rPr>
                <w:noProof/>
                <w:webHidden/>
              </w:rPr>
            </w:r>
            <w:r w:rsidR="008F6D3A">
              <w:rPr>
                <w:noProof/>
                <w:webHidden/>
              </w:rPr>
              <w:fldChar w:fldCharType="separate"/>
            </w:r>
            <w:r w:rsidR="00C4252E">
              <w:rPr>
                <w:noProof/>
                <w:webHidden/>
              </w:rPr>
              <w:t>161</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78" w:history="1">
            <w:r w:rsidR="008F6D3A" w:rsidRPr="007F0955">
              <w:rPr>
                <w:rStyle w:val="Hyperlink"/>
                <w:noProof/>
              </w:rPr>
              <w:t>C.</w:t>
            </w:r>
            <w:r w:rsidR="008F6D3A">
              <w:rPr>
                <w:rFonts w:asciiTheme="minorHAnsi" w:eastAsiaTheme="minorEastAsia" w:hAnsiTheme="minorHAnsi"/>
                <w:noProof/>
                <w:szCs w:val="22"/>
                <w:lang w:eastAsia="de-CH"/>
              </w:rPr>
              <w:tab/>
            </w:r>
            <w:r w:rsidR="008F6D3A" w:rsidRPr="007F0955">
              <w:rPr>
                <w:rStyle w:val="Hyperlink"/>
                <w:noProof/>
              </w:rPr>
              <w:t>Der Schuldbrief (Art. 842 – 865 ZGB)</w:t>
            </w:r>
            <w:r w:rsidR="008F6D3A">
              <w:rPr>
                <w:noProof/>
                <w:webHidden/>
              </w:rPr>
              <w:tab/>
            </w:r>
            <w:r w:rsidR="008F6D3A">
              <w:rPr>
                <w:noProof/>
                <w:webHidden/>
              </w:rPr>
              <w:fldChar w:fldCharType="begin"/>
            </w:r>
            <w:r w:rsidR="008F6D3A">
              <w:rPr>
                <w:noProof/>
                <w:webHidden/>
              </w:rPr>
              <w:instrText xml:space="preserve"> PAGEREF _Toc432175678 \h </w:instrText>
            </w:r>
            <w:r w:rsidR="008F6D3A">
              <w:rPr>
                <w:noProof/>
                <w:webHidden/>
              </w:rPr>
            </w:r>
            <w:r w:rsidR="008F6D3A">
              <w:rPr>
                <w:noProof/>
                <w:webHidden/>
              </w:rPr>
              <w:fldChar w:fldCharType="separate"/>
            </w:r>
            <w:r w:rsidR="00C4252E">
              <w:rPr>
                <w:noProof/>
                <w:webHidden/>
              </w:rPr>
              <w:t>162</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679" w:history="1">
            <w:r w:rsidR="008F6D3A" w:rsidRPr="007F0955">
              <w:rPr>
                <w:rStyle w:val="Hyperlink"/>
                <w:noProof/>
              </w:rPr>
              <w:t>VII. Das Fahrnispfand (Art. 884 ff. ZGB)</w:t>
            </w:r>
            <w:r w:rsidR="008F6D3A">
              <w:rPr>
                <w:noProof/>
                <w:webHidden/>
              </w:rPr>
              <w:tab/>
            </w:r>
            <w:r w:rsidR="008F6D3A">
              <w:rPr>
                <w:noProof/>
                <w:webHidden/>
              </w:rPr>
              <w:fldChar w:fldCharType="begin"/>
            </w:r>
            <w:r w:rsidR="008F6D3A">
              <w:rPr>
                <w:noProof/>
                <w:webHidden/>
              </w:rPr>
              <w:instrText xml:space="preserve"> PAGEREF _Toc432175679 \h </w:instrText>
            </w:r>
            <w:r w:rsidR="008F6D3A">
              <w:rPr>
                <w:noProof/>
                <w:webHidden/>
              </w:rPr>
            </w:r>
            <w:r w:rsidR="008F6D3A">
              <w:rPr>
                <w:noProof/>
                <w:webHidden/>
              </w:rPr>
              <w:fldChar w:fldCharType="separate"/>
            </w:r>
            <w:r w:rsidR="00C4252E">
              <w:rPr>
                <w:noProof/>
                <w:webHidden/>
              </w:rPr>
              <w:t>164</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80" w:history="1">
            <w:r w:rsidR="008F6D3A" w:rsidRPr="007F0955">
              <w:rPr>
                <w:rStyle w:val="Hyperlink"/>
                <w:noProof/>
              </w:rPr>
              <w:t>A.</w:t>
            </w:r>
            <w:r w:rsidR="008F6D3A">
              <w:rPr>
                <w:rFonts w:asciiTheme="minorHAnsi" w:eastAsiaTheme="minorEastAsia" w:hAnsiTheme="minorHAnsi"/>
                <w:noProof/>
                <w:szCs w:val="22"/>
                <w:lang w:eastAsia="de-CH"/>
              </w:rPr>
              <w:tab/>
            </w:r>
            <w:r w:rsidR="008F6D3A" w:rsidRPr="007F0955">
              <w:rPr>
                <w:rStyle w:val="Hyperlink"/>
                <w:noProof/>
              </w:rPr>
              <w:t>Faustpfand und Retentionsrecht</w:t>
            </w:r>
            <w:r w:rsidR="008F6D3A">
              <w:rPr>
                <w:noProof/>
                <w:webHidden/>
              </w:rPr>
              <w:tab/>
            </w:r>
            <w:r w:rsidR="008F6D3A">
              <w:rPr>
                <w:noProof/>
                <w:webHidden/>
              </w:rPr>
              <w:fldChar w:fldCharType="begin"/>
            </w:r>
            <w:r w:rsidR="008F6D3A">
              <w:rPr>
                <w:noProof/>
                <w:webHidden/>
              </w:rPr>
              <w:instrText xml:space="preserve"> PAGEREF _Toc432175680 \h </w:instrText>
            </w:r>
            <w:r w:rsidR="008F6D3A">
              <w:rPr>
                <w:noProof/>
                <w:webHidden/>
              </w:rPr>
            </w:r>
            <w:r w:rsidR="008F6D3A">
              <w:rPr>
                <w:noProof/>
                <w:webHidden/>
              </w:rPr>
              <w:fldChar w:fldCharType="separate"/>
            </w:r>
            <w:r w:rsidR="00C4252E">
              <w:rPr>
                <w:noProof/>
                <w:webHidden/>
              </w:rPr>
              <w:t>164</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81" w:history="1">
            <w:r w:rsidR="008F6D3A" w:rsidRPr="007F0955">
              <w:rPr>
                <w:rStyle w:val="Hyperlink"/>
                <w:noProof/>
              </w:rPr>
              <w:t>B.</w:t>
            </w:r>
            <w:r w:rsidR="008F6D3A">
              <w:rPr>
                <w:rFonts w:asciiTheme="minorHAnsi" w:eastAsiaTheme="minorEastAsia" w:hAnsiTheme="minorHAnsi"/>
                <w:noProof/>
                <w:szCs w:val="22"/>
                <w:lang w:eastAsia="de-CH"/>
              </w:rPr>
              <w:tab/>
            </w:r>
            <w:r w:rsidR="008F6D3A" w:rsidRPr="007F0955">
              <w:rPr>
                <w:rStyle w:val="Hyperlink"/>
                <w:noProof/>
              </w:rPr>
              <w:t>Pfandrecht an Forderungen und anderen Rechten</w:t>
            </w:r>
            <w:r w:rsidR="008F6D3A">
              <w:rPr>
                <w:noProof/>
                <w:webHidden/>
              </w:rPr>
              <w:tab/>
            </w:r>
            <w:r w:rsidR="008F6D3A">
              <w:rPr>
                <w:noProof/>
                <w:webHidden/>
              </w:rPr>
              <w:fldChar w:fldCharType="begin"/>
            </w:r>
            <w:r w:rsidR="008F6D3A">
              <w:rPr>
                <w:noProof/>
                <w:webHidden/>
              </w:rPr>
              <w:instrText xml:space="preserve"> PAGEREF _Toc432175681 \h </w:instrText>
            </w:r>
            <w:r w:rsidR="008F6D3A">
              <w:rPr>
                <w:noProof/>
                <w:webHidden/>
              </w:rPr>
            </w:r>
            <w:r w:rsidR="008F6D3A">
              <w:rPr>
                <w:noProof/>
                <w:webHidden/>
              </w:rPr>
              <w:fldChar w:fldCharType="separate"/>
            </w:r>
            <w:r w:rsidR="00C4252E">
              <w:rPr>
                <w:noProof/>
                <w:webHidden/>
              </w:rPr>
              <w:t>164</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82" w:history="1">
            <w:r w:rsidR="008F6D3A" w:rsidRPr="007F0955">
              <w:rPr>
                <w:rStyle w:val="Hyperlink"/>
                <w:noProof/>
              </w:rPr>
              <w:t>C.</w:t>
            </w:r>
            <w:r w:rsidR="008F6D3A">
              <w:rPr>
                <w:rFonts w:asciiTheme="minorHAnsi" w:eastAsiaTheme="minorEastAsia" w:hAnsiTheme="minorHAnsi"/>
                <w:noProof/>
                <w:szCs w:val="22"/>
                <w:lang w:eastAsia="de-CH"/>
              </w:rPr>
              <w:tab/>
            </w:r>
            <w:r w:rsidR="008F6D3A" w:rsidRPr="007F0955">
              <w:rPr>
                <w:rStyle w:val="Hyperlink"/>
                <w:noProof/>
              </w:rPr>
              <w:t>Versatzpfand</w:t>
            </w:r>
            <w:r w:rsidR="008F6D3A">
              <w:rPr>
                <w:noProof/>
                <w:webHidden/>
              </w:rPr>
              <w:tab/>
            </w:r>
            <w:r w:rsidR="008F6D3A">
              <w:rPr>
                <w:noProof/>
                <w:webHidden/>
              </w:rPr>
              <w:fldChar w:fldCharType="begin"/>
            </w:r>
            <w:r w:rsidR="008F6D3A">
              <w:rPr>
                <w:noProof/>
                <w:webHidden/>
              </w:rPr>
              <w:instrText xml:space="preserve"> PAGEREF _Toc432175682 \h </w:instrText>
            </w:r>
            <w:r w:rsidR="008F6D3A">
              <w:rPr>
                <w:noProof/>
                <w:webHidden/>
              </w:rPr>
            </w:r>
            <w:r w:rsidR="008F6D3A">
              <w:rPr>
                <w:noProof/>
                <w:webHidden/>
              </w:rPr>
              <w:fldChar w:fldCharType="separate"/>
            </w:r>
            <w:r w:rsidR="00C4252E">
              <w:rPr>
                <w:noProof/>
                <w:webHidden/>
              </w:rPr>
              <w:t>164</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683" w:history="1">
            <w:r w:rsidR="008F6D3A" w:rsidRPr="007F0955">
              <w:rPr>
                <w:rStyle w:val="Hyperlink"/>
                <w:noProof/>
              </w:rPr>
              <w:t>VIII. Besitz und Grundbuch (Art. 919 - 977 ZGB)</w:t>
            </w:r>
            <w:r w:rsidR="008F6D3A">
              <w:rPr>
                <w:noProof/>
                <w:webHidden/>
              </w:rPr>
              <w:tab/>
            </w:r>
            <w:r w:rsidR="008F6D3A">
              <w:rPr>
                <w:noProof/>
                <w:webHidden/>
              </w:rPr>
              <w:fldChar w:fldCharType="begin"/>
            </w:r>
            <w:r w:rsidR="008F6D3A">
              <w:rPr>
                <w:noProof/>
                <w:webHidden/>
              </w:rPr>
              <w:instrText xml:space="preserve"> PAGEREF _Toc432175683 \h </w:instrText>
            </w:r>
            <w:r w:rsidR="008F6D3A">
              <w:rPr>
                <w:noProof/>
                <w:webHidden/>
              </w:rPr>
            </w:r>
            <w:r w:rsidR="008F6D3A">
              <w:rPr>
                <w:noProof/>
                <w:webHidden/>
              </w:rPr>
              <w:fldChar w:fldCharType="separate"/>
            </w:r>
            <w:r w:rsidR="00C4252E">
              <w:rPr>
                <w:noProof/>
                <w:webHidden/>
              </w:rPr>
              <w:t>165</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84" w:history="1">
            <w:r w:rsidR="008F6D3A" w:rsidRPr="007F0955">
              <w:rPr>
                <w:rStyle w:val="Hyperlink"/>
                <w:noProof/>
              </w:rPr>
              <w:t>A.</w:t>
            </w:r>
            <w:r w:rsidR="008F6D3A">
              <w:rPr>
                <w:rFonts w:asciiTheme="minorHAnsi" w:eastAsiaTheme="minorEastAsia" w:hAnsiTheme="minorHAnsi"/>
                <w:noProof/>
                <w:szCs w:val="22"/>
                <w:lang w:eastAsia="de-CH"/>
              </w:rPr>
              <w:tab/>
            </w:r>
            <w:r w:rsidR="008F6D3A" w:rsidRPr="007F0955">
              <w:rPr>
                <w:rStyle w:val="Hyperlink"/>
                <w:noProof/>
              </w:rPr>
              <w:t>Der Besitz (Art. 919 ff. ZGB)</w:t>
            </w:r>
            <w:r w:rsidR="008F6D3A">
              <w:rPr>
                <w:noProof/>
                <w:webHidden/>
              </w:rPr>
              <w:tab/>
            </w:r>
            <w:r w:rsidR="008F6D3A">
              <w:rPr>
                <w:noProof/>
                <w:webHidden/>
              </w:rPr>
              <w:fldChar w:fldCharType="begin"/>
            </w:r>
            <w:r w:rsidR="008F6D3A">
              <w:rPr>
                <w:noProof/>
                <w:webHidden/>
              </w:rPr>
              <w:instrText xml:space="preserve"> PAGEREF _Toc432175684 \h </w:instrText>
            </w:r>
            <w:r w:rsidR="008F6D3A">
              <w:rPr>
                <w:noProof/>
                <w:webHidden/>
              </w:rPr>
            </w:r>
            <w:r w:rsidR="008F6D3A">
              <w:rPr>
                <w:noProof/>
                <w:webHidden/>
              </w:rPr>
              <w:fldChar w:fldCharType="separate"/>
            </w:r>
            <w:r w:rsidR="00C4252E">
              <w:rPr>
                <w:noProof/>
                <w:webHidden/>
              </w:rPr>
              <w:t>165</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85" w:history="1">
            <w:r w:rsidR="008F6D3A" w:rsidRPr="007F0955">
              <w:rPr>
                <w:rStyle w:val="Hyperlink"/>
                <w:noProof/>
              </w:rPr>
              <w:t>B.</w:t>
            </w:r>
            <w:r w:rsidR="008F6D3A">
              <w:rPr>
                <w:rFonts w:asciiTheme="minorHAnsi" w:eastAsiaTheme="minorEastAsia" w:hAnsiTheme="minorHAnsi"/>
                <w:noProof/>
                <w:szCs w:val="22"/>
                <w:lang w:eastAsia="de-CH"/>
              </w:rPr>
              <w:tab/>
            </w:r>
            <w:r w:rsidR="008F6D3A" w:rsidRPr="007F0955">
              <w:rPr>
                <w:rStyle w:val="Hyperlink"/>
                <w:noProof/>
              </w:rPr>
              <w:t>Das Grundbuch (Art. 942 ff. ZGB und GBV)</w:t>
            </w:r>
            <w:r w:rsidR="008F6D3A">
              <w:rPr>
                <w:noProof/>
                <w:webHidden/>
              </w:rPr>
              <w:tab/>
            </w:r>
            <w:r w:rsidR="008F6D3A">
              <w:rPr>
                <w:noProof/>
                <w:webHidden/>
              </w:rPr>
              <w:fldChar w:fldCharType="begin"/>
            </w:r>
            <w:r w:rsidR="008F6D3A">
              <w:rPr>
                <w:noProof/>
                <w:webHidden/>
              </w:rPr>
              <w:instrText xml:space="preserve"> PAGEREF _Toc432175685 \h </w:instrText>
            </w:r>
            <w:r w:rsidR="008F6D3A">
              <w:rPr>
                <w:noProof/>
                <w:webHidden/>
              </w:rPr>
            </w:r>
            <w:r w:rsidR="008F6D3A">
              <w:rPr>
                <w:noProof/>
                <w:webHidden/>
              </w:rPr>
              <w:fldChar w:fldCharType="separate"/>
            </w:r>
            <w:r w:rsidR="00C4252E">
              <w:rPr>
                <w:noProof/>
                <w:webHidden/>
              </w:rPr>
              <w:t>165</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686" w:history="1">
            <w:r w:rsidR="008F6D3A" w:rsidRPr="007F0955">
              <w:rPr>
                <w:rStyle w:val="Hyperlink"/>
                <w:noProof/>
              </w:rPr>
              <w:t>IX. Übergangsbestimmungen</w:t>
            </w:r>
            <w:r w:rsidR="008F6D3A">
              <w:rPr>
                <w:noProof/>
                <w:webHidden/>
              </w:rPr>
              <w:tab/>
            </w:r>
            <w:r w:rsidR="008F6D3A">
              <w:rPr>
                <w:noProof/>
                <w:webHidden/>
              </w:rPr>
              <w:fldChar w:fldCharType="begin"/>
            </w:r>
            <w:r w:rsidR="008F6D3A">
              <w:rPr>
                <w:noProof/>
                <w:webHidden/>
              </w:rPr>
              <w:instrText xml:space="preserve"> PAGEREF _Toc432175686 \h </w:instrText>
            </w:r>
            <w:r w:rsidR="008F6D3A">
              <w:rPr>
                <w:noProof/>
                <w:webHidden/>
              </w:rPr>
            </w:r>
            <w:r w:rsidR="008F6D3A">
              <w:rPr>
                <w:noProof/>
                <w:webHidden/>
              </w:rPr>
              <w:fldChar w:fldCharType="separate"/>
            </w:r>
            <w:r w:rsidR="00C4252E">
              <w:rPr>
                <w:noProof/>
                <w:webHidden/>
              </w:rPr>
              <w:t>171</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687" w:history="1">
            <w:r w:rsidR="008F6D3A" w:rsidRPr="007F0955">
              <w:rPr>
                <w:rStyle w:val="Hyperlink"/>
                <w:noProof/>
              </w:rPr>
              <w:t>X. Grundbuchverordnung</w:t>
            </w:r>
            <w:r w:rsidR="008F6D3A">
              <w:rPr>
                <w:noProof/>
                <w:webHidden/>
              </w:rPr>
              <w:tab/>
            </w:r>
            <w:r w:rsidR="008F6D3A">
              <w:rPr>
                <w:noProof/>
                <w:webHidden/>
              </w:rPr>
              <w:fldChar w:fldCharType="begin"/>
            </w:r>
            <w:r w:rsidR="008F6D3A">
              <w:rPr>
                <w:noProof/>
                <w:webHidden/>
              </w:rPr>
              <w:instrText xml:space="preserve"> PAGEREF _Toc432175687 \h </w:instrText>
            </w:r>
            <w:r w:rsidR="008F6D3A">
              <w:rPr>
                <w:noProof/>
                <w:webHidden/>
              </w:rPr>
            </w:r>
            <w:r w:rsidR="008F6D3A">
              <w:rPr>
                <w:noProof/>
                <w:webHidden/>
              </w:rPr>
              <w:fldChar w:fldCharType="separate"/>
            </w:r>
            <w:r w:rsidR="00C4252E">
              <w:rPr>
                <w:noProof/>
                <w:webHidden/>
              </w:rPr>
              <w:t>171</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88" w:history="1">
            <w:r w:rsidR="008F6D3A" w:rsidRPr="007F0955">
              <w:rPr>
                <w:rStyle w:val="Hyperlink"/>
                <w:noProof/>
              </w:rPr>
              <w:t>1.</w:t>
            </w:r>
            <w:r w:rsidR="008F6D3A">
              <w:rPr>
                <w:rFonts w:asciiTheme="minorHAnsi" w:eastAsiaTheme="minorEastAsia" w:hAnsiTheme="minorHAnsi"/>
                <w:noProof/>
                <w:szCs w:val="22"/>
                <w:lang w:eastAsia="de-CH"/>
              </w:rPr>
              <w:tab/>
            </w:r>
            <w:r w:rsidR="008F6D3A" w:rsidRPr="007F0955">
              <w:rPr>
                <w:rStyle w:val="Hyperlink"/>
                <w:noProof/>
              </w:rPr>
              <w:t>Allgemeine Bestimmungen</w:t>
            </w:r>
            <w:r w:rsidR="008F6D3A">
              <w:rPr>
                <w:noProof/>
                <w:webHidden/>
              </w:rPr>
              <w:tab/>
            </w:r>
            <w:r w:rsidR="008F6D3A">
              <w:rPr>
                <w:noProof/>
                <w:webHidden/>
              </w:rPr>
              <w:fldChar w:fldCharType="begin"/>
            </w:r>
            <w:r w:rsidR="008F6D3A">
              <w:rPr>
                <w:noProof/>
                <w:webHidden/>
              </w:rPr>
              <w:instrText xml:space="preserve"> PAGEREF _Toc432175688 \h </w:instrText>
            </w:r>
            <w:r w:rsidR="008F6D3A">
              <w:rPr>
                <w:noProof/>
                <w:webHidden/>
              </w:rPr>
            </w:r>
            <w:r w:rsidR="008F6D3A">
              <w:rPr>
                <w:noProof/>
                <w:webHidden/>
              </w:rPr>
              <w:fldChar w:fldCharType="separate"/>
            </w:r>
            <w:r w:rsidR="00C4252E">
              <w:rPr>
                <w:noProof/>
                <w:webHidden/>
              </w:rPr>
              <w:t>171</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89" w:history="1">
            <w:r w:rsidR="008F6D3A" w:rsidRPr="007F0955">
              <w:rPr>
                <w:rStyle w:val="Hyperlink"/>
                <w:noProof/>
              </w:rPr>
              <w:t>2.</w:t>
            </w:r>
            <w:r w:rsidR="008F6D3A">
              <w:rPr>
                <w:rFonts w:asciiTheme="minorHAnsi" w:eastAsiaTheme="minorEastAsia" w:hAnsiTheme="minorHAnsi"/>
                <w:noProof/>
                <w:szCs w:val="22"/>
                <w:lang w:eastAsia="de-CH"/>
              </w:rPr>
              <w:tab/>
            </w:r>
            <w:r w:rsidR="008F6D3A" w:rsidRPr="007F0955">
              <w:rPr>
                <w:rStyle w:val="Hyperlink"/>
                <w:noProof/>
              </w:rPr>
              <w:t>Geschäftsverkehr mit dem Grundbuchamt</w:t>
            </w:r>
            <w:r w:rsidR="008F6D3A">
              <w:rPr>
                <w:noProof/>
                <w:webHidden/>
              </w:rPr>
              <w:tab/>
            </w:r>
            <w:r w:rsidR="008F6D3A">
              <w:rPr>
                <w:noProof/>
                <w:webHidden/>
              </w:rPr>
              <w:fldChar w:fldCharType="begin"/>
            </w:r>
            <w:r w:rsidR="008F6D3A">
              <w:rPr>
                <w:noProof/>
                <w:webHidden/>
              </w:rPr>
              <w:instrText xml:space="preserve"> PAGEREF _Toc432175689 \h </w:instrText>
            </w:r>
            <w:r w:rsidR="008F6D3A">
              <w:rPr>
                <w:noProof/>
                <w:webHidden/>
              </w:rPr>
            </w:r>
            <w:r w:rsidR="008F6D3A">
              <w:rPr>
                <w:noProof/>
                <w:webHidden/>
              </w:rPr>
              <w:fldChar w:fldCharType="separate"/>
            </w:r>
            <w:r w:rsidR="00C4252E">
              <w:rPr>
                <w:noProof/>
                <w:webHidden/>
              </w:rPr>
              <w:t>174</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90" w:history="1">
            <w:r w:rsidR="008F6D3A" w:rsidRPr="007F0955">
              <w:rPr>
                <w:rStyle w:val="Hyperlink"/>
                <w:noProof/>
              </w:rPr>
              <w:t>3.</w:t>
            </w:r>
            <w:r w:rsidR="008F6D3A">
              <w:rPr>
                <w:rFonts w:asciiTheme="minorHAnsi" w:eastAsiaTheme="minorEastAsia" w:hAnsiTheme="minorHAnsi"/>
                <w:noProof/>
                <w:szCs w:val="22"/>
                <w:lang w:eastAsia="de-CH"/>
              </w:rPr>
              <w:tab/>
            </w:r>
            <w:r w:rsidR="008F6D3A" w:rsidRPr="007F0955">
              <w:rPr>
                <w:rStyle w:val="Hyperlink"/>
                <w:noProof/>
              </w:rPr>
              <w:t>Eintragung, Änderung und Löschung</w:t>
            </w:r>
            <w:r w:rsidR="008F6D3A">
              <w:rPr>
                <w:noProof/>
                <w:webHidden/>
              </w:rPr>
              <w:tab/>
            </w:r>
            <w:r w:rsidR="008F6D3A">
              <w:rPr>
                <w:noProof/>
                <w:webHidden/>
              </w:rPr>
              <w:fldChar w:fldCharType="begin"/>
            </w:r>
            <w:r w:rsidR="008F6D3A">
              <w:rPr>
                <w:noProof/>
                <w:webHidden/>
              </w:rPr>
              <w:instrText xml:space="preserve"> PAGEREF _Toc432175690 \h </w:instrText>
            </w:r>
            <w:r w:rsidR="008F6D3A">
              <w:rPr>
                <w:noProof/>
                <w:webHidden/>
              </w:rPr>
            </w:r>
            <w:r w:rsidR="008F6D3A">
              <w:rPr>
                <w:noProof/>
                <w:webHidden/>
              </w:rPr>
              <w:fldChar w:fldCharType="separate"/>
            </w:r>
            <w:r w:rsidR="00C4252E">
              <w:rPr>
                <w:noProof/>
                <w:webHidden/>
              </w:rPr>
              <w:t>174</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91" w:history="1">
            <w:r w:rsidR="008F6D3A" w:rsidRPr="007F0955">
              <w:rPr>
                <w:rStyle w:val="Hyperlink"/>
                <w:noProof/>
              </w:rPr>
              <w:t>4.</w:t>
            </w:r>
            <w:r w:rsidR="008F6D3A">
              <w:rPr>
                <w:rFonts w:asciiTheme="minorHAnsi" w:eastAsiaTheme="minorEastAsia" w:hAnsiTheme="minorHAnsi"/>
                <w:noProof/>
                <w:szCs w:val="22"/>
                <w:lang w:eastAsia="de-CH"/>
              </w:rPr>
              <w:tab/>
            </w:r>
            <w:r w:rsidR="008F6D3A" w:rsidRPr="007F0955">
              <w:rPr>
                <w:rStyle w:val="Hyperlink"/>
                <w:noProof/>
              </w:rPr>
              <w:t>Ausstellung, Änderung und Entkräftung von Pfandtiteln</w:t>
            </w:r>
            <w:r w:rsidR="008F6D3A">
              <w:rPr>
                <w:noProof/>
                <w:webHidden/>
              </w:rPr>
              <w:tab/>
            </w:r>
            <w:r w:rsidR="008F6D3A">
              <w:rPr>
                <w:noProof/>
                <w:webHidden/>
              </w:rPr>
              <w:fldChar w:fldCharType="begin"/>
            </w:r>
            <w:r w:rsidR="008F6D3A">
              <w:rPr>
                <w:noProof/>
                <w:webHidden/>
              </w:rPr>
              <w:instrText xml:space="preserve"> PAGEREF _Toc432175691 \h </w:instrText>
            </w:r>
            <w:r w:rsidR="008F6D3A">
              <w:rPr>
                <w:noProof/>
                <w:webHidden/>
              </w:rPr>
            </w:r>
            <w:r w:rsidR="008F6D3A">
              <w:rPr>
                <w:noProof/>
                <w:webHidden/>
              </w:rPr>
              <w:fldChar w:fldCharType="separate"/>
            </w:r>
            <w:r w:rsidR="00C4252E">
              <w:rPr>
                <w:noProof/>
                <w:webHidden/>
              </w:rPr>
              <w:t>178</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92" w:history="1">
            <w:r w:rsidR="008F6D3A" w:rsidRPr="007F0955">
              <w:rPr>
                <w:rStyle w:val="Hyperlink"/>
                <w:noProof/>
              </w:rPr>
              <w:t>5.</w:t>
            </w:r>
            <w:r w:rsidR="008F6D3A">
              <w:rPr>
                <w:rFonts w:asciiTheme="minorHAnsi" w:eastAsiaTheme="minorEastAsia" w:hAnsiTheme="minorHAnsi"/>
                <w:noProof/>
                <w:szCs w:val="22"/>
                <w:lang w:eastAsia="de-CH"/>
              </w:rPr>
              <w:tab/>
            </w:r>
            <w:r w:rsidR="008F6D3A" w:rsidRPr="007F0955">
              <w:rPr>
                <w:rStyle w:val="Hyperlink"/>
                <w:noProof/>
              </w:rPr>
              <w:t>Teilung und Vereinigung von Grundstücken</w:t>
            </w:r>
            <w:r w:rsidR="008F6D3A">
              <w:rPr>
                <w:noProof/>
                <w:webHidden/>
              </w:rPr>
              <w:tab/>
            </w:r>
            <w:r w:rsidR="008F6D3A">
              <w:rPr>
                <w:noProof/>
                <w:webHidden/>
              </w:rPr>
              <w:fldChar w:fldCharType="begin"/>
            </w:r>
            <w:r w:rsidR="008F6D3A">
              <w:rPr>
                <w:noProof/>
                <w:webHidden/>
              </w:rPr>
              <w:instrText xml:space="preserve"> PAGEREF _Toc432175692 \h </w:instrText>
            </w:r>
            <w:r w:rsidR="008F6D3A">
              <w:rPr>
                <w:noProof/>
                <w:webHidden/>
              </w:rPr>
            </w:r>
            <w:r w:rsidR="008F6D3A">
              <w:rPr>
                <w:noProof/>
                <w:webHidden/>
              </w:rPr>
              <w:fldChar w:fldCharType="separate"/>
            </w:r>
            <w:r w:rsidR="00C4252E">
              <w:rPr>
                <w:noProof/>
                <w:webHidden/>
              </w:rPr>
              <w:t>179</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93" w:history="1">
            <w:r w:rsidR="008F6D3A" w:rsidRPr="007F0955">
              <w:rPr>
                <w:rStyle w:val="Hyperlink"/>
                <w:noProof/>
              </w:rPr>
              <w:t>6.</w:t>
            </w:r>
            <w:r w:rsidR="008F6D3A">
              <w:rPr>
                <w:rFonts w:asciiTheme="minorHAnsi" w:eastAsiaTheme="minorEastAsia" w:hAnsiTheme="minorHAnsi"/>
                <w:noProof/>
                <w:szCs w:val="22"/>
                <w:lang w:eastAsia="de-CH"/>
              </w:rPr>
              <w:tab/>
            </w:r>
            <w:r w:rsidR="008F6D3A" w:rsidRPr="007F0955">
              <w:rPr>
                <w:rStyle w:val="Hyperlink"/>
                <w:noProof/>
              </w:rPr>
              <w:t>Schlussbestimmungen</w:t>
            </w:r>
            <w:r w:rsidR="008F6D3A">
              <w:rPr>
                <w:noProof/>
                <w:webHidden/>
              </w:rPr>
              <w:tab/>
            </w:r>
            <w:r w:rsidR="008F6D3A">
              <w:rPr>
                <w:noProof/>
                <w:webHidden/>
              </w:rPr>
              <w:fldChar w:fldCharType="begin"/>
            </w:r>
            <w:r w:rsidR="008F6D3A">
              <w:rPr>
                <w:noProof/>
                <w:webHidden/>
              </w:rPr>
              <w:instrText xml:space="preserve"> PAGEREF _Toc432175693 \h </w:instrText>
            </w:r>
            <w:r w:rsidR="008F6D3A">
              <w:rPr>
                <w:noProof/>
                <w:webHidden/>
              </w:rPr>
            </w:r>
            <w:r w:rsidR="008F6D3A">
              <w:rPr>
                <w:noProof/>
                <w:webHidden/>
              </w:rPr>
              <w:fldChar w:fldCharType="separate"/>
            </w:r>
            <w:r w:rsidR="00C4252E">
              <w:rPr>
                <w:noProof/>
                <w:webHidden/>
              </w:rPr>
              <w:t>179</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694" w:history="1">
            <w:r w:rsidR="008F6D3A" w:rsidRPr="007F0955">
              <w:rPr>
                <w:rStyle w:val="Hyperlink"/>
                <w:noProof/>
              </w:rPr>
              <w:t>XI. Der Grundstückkaufvertrag (Art. 216 ff. OR)</w:t>
            </w:r>
            <w:r w:rsidR="008F6D3A">
              <w:rPr>
                <w:noProof/>
                <w:webHidden/>
              </w:rPr>
              <w:tab/>
            </w:r>
            <w:r w:rsidR="008F6D3A">
              <w:rPr>
                <w:noProof/>
                <w:webHidden/>
              </w:rPr>
              <w:fldChar w:fldCharType="begin"/>
            </w:r>
            <w:r w:rsidR="008F6D3A">
              <w:rPr>
                <w:noProof/>
                <w:webHidden/>
              </w:rPr>
              <w:instrText xml:space="preserve"> PAGEREF _Toc432175694 \h </w:instrText>
            </w:r>
            <w:r w:rsidR="008F6D3A">
              <w:rPr>
                <w:noProof/>
                <w:webHidden/>
              </w:rPr>
            </w:r>
            <w:r w:rsidR="008F6D3A">
              <w:rPr>
                <w:noProof/>
                <w:webHidden/>
              </w:rPr>
              <w:fldChar w:fldCharType="separate"/>
            </w:r>
            <w:r w:rsidR="00C4252E">
              <w:rPr>
                <w:noProof/>
                <w:webHidden/>
              </w:rPr>
              <w:t>179</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695" w:history="1">
            <w:r w:rsidR="008F6D3A" w:rsidRPr="007F0955">
              <w:rPr>
                <w:rStyle w:val="Hyperlink"/>
                <w:noProof/>
              </w:rPr>
              <w:t>XII. Der Kaufsrechtsvertrag (Art. 216 ff. OR)</w:t>
            </w:r>
            <w:r w:rsidR="008F6D3A">
              <w:rPr>
                <w:noProof/>
                <w:webHidden/>
              </w:rPr>
              <w:tab/>
            </w:r>
            <w:r w:rsidR="008F6D3A">
              <w:rPr>
                <w:noProof/>
                <w:webHidden/>
              </w:rPr>
              <w:fldChar w:fldCharType="begin"/>
            </w:r>
            <w:r w:rsidR="008F6D3A">
              <w:rPr>
                <w:noProof/>
                <w:webHidden/>
              </w:rPr>
              <w:instrText xml:space="preserve"> PAGEREF _Toc432175695 \h </w:instrText>
            </w:r>
            <w:r w:rsidR="008F6D3A">
              <w:rPr>
                <w:noProof/>
                <w:webHidden/>
              </w:rPr>
            </w:r>
            <w:r w:rsidR="008F6D3A">
              <w:rPr>
                <w:noProof/>
                <w:webHidden/>
              </w:rPr>
              <w:fldChar w:fldCharType="separate"/>
            </w:r>
            <w:r w:rsidR="00C4252E">
              <w:rPr>
                <w:noProof/>
                <w:webHidden/>
              </w:rPr>
              <w:t>180</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696" w:history="1">
            <w:r w:rsidR="008F6D3A" w:rsidRPr="007F0955">
              <w:rPr>
                <w:rStyle w:val="Hyperlink"/>
                <w:noProof/>
              </w:rPr>
              <w:t>XIII. Der Vorkaufsrechtsvertrag (Art. 216 ff. OR)</w:t>
            </w:r>
            <w:r w:rsidR="008F6D3A">
              <w:rPr>
                <w:noProof/>
                <w:webHidden/>
              </w:rPr>
              <w:tab/>
            </w:r>
            <w:r w:rsidR="008F6D3A">
              <w:rPr>
                <w:noProof/>
                <w:webHidden/>
              </w:rPr>
              <w:fldChar w:fldCharType="begin"/>
            </w:r>
            <w:r w:rsidR="008F6D3A">
              <w:rPr>
                <w:noProof/>
                <w:webHidden/>
              </w:rPr>
              <w:instrText xml:space="preserve"> PAGEREF _Toc432175696 \h </w:instrText>
            </w:r>
            <w:r w:rsidR="008F6D3A">
              <w:rPr>
                <w:noProof/>
                <w:webHidden/>
              </w:rPr>
            </w:r>
            <w:r w:rsidR="008F6D3A">
              <w:rPr>
                <w:noProof/>
                <w:webHidden/>
              </w:rPr>
              <w:fldChar w:fldCharType="separate"/>
            </w:r>
            <w:r w:rsidR="00C4252E">
              <w:rPr>
                <w:noProof/>
                <w:webHidden/>
              </w:rPr>
              <w:t>181</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697" w:history="1">
            <w:r w:rsidR="008F6D3A" w:rsidRPr="007F0955">
              <w:rPr>
                <w:rStyle w:val="Hyperlink"/>
                <w:noProof/>
              </w:rPr>
              <w:t>XIV. Parzellierung von Grundstücken</w:t>
            </w:r>
            <w:r w:rsidR="008F6D3A">
              <w:rPr>
                <w:noProof/>
                <w:webHidden/>
              </w:rPr>
              <w:tab/>
            </w:r>
            <w:r w:rsidR="008F6D3A">
              <w:rPr>
                <w:noProof/>
                <w:webHidden/>
              </w:rPr>
              <w:fldChar w:fldCharType="begin"/>
            </w:r>
            <w:r w:rsidR="008F6D3A">
              <w:rPr>
                <w:noProof/>
                <w:webHidden/>
              </w:rPr>
              <w:instrText xml:space="preserve"> PAGEREF _Toc432175697 \h </w:instrText>
            </w:r>
            <w:r w:rsidR="008F6D3A">
              <w:rPr>
                <w:noProof/>
                <w:webHidden/>
              </w:rPr>
            </w:r>
            <w:r w:rsidR="008F6D3A">
              <w:rPr>
                <w:noProof/>
                <w:webHidden/>
              </w:rPr>
              <w:fldChar w:fldCharType="separate"/>
            </w:r>
            <w:r w:rsidR="00C4252E">
              <w:rPr>
                <w:noProof/>
                <w:webHidden/>
              </w:rPr>
              <w:t>182</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698" w:history="1">
            <w:r w:rsidR="008F6D3A" w:rsidRPr="007F0955">
              <w:rPr>
                <w:rStyle w:val="Hyperlink"/>
                <w:noProof/>
              </w:rPr>
              <w:t>XV. BGBB (Bundesgesetz über das bäuerliche Bodenrecht)</w:t>
            </w:r>
            <w:r w:rsidR="008F6D3A">
              <w:rPr>
                <w:noProof/>
                <w:webHidden/>
              </w:rPr>
              <w:tab/>
            </w:r>
            <w:r w:rsidR="008F6D3A">
              <w:rPr>
                <w:noProof/>
                <w:webHidden/>
              </w:rPr>
              <w:fldChar w:fldCharType="begin"/>
            </w:r>
            <w:r w:rsidR="008F6D3A">
              <w:rPr>
                <w:noProof/>
                <w:webHidden/>
              </w:rPr>
              <w:instrText xml:space="preserve"> PAGEREF _Toc432175698 \h </w:instrText>
            </w:r>
            <w:r w:rsidR="008F6D3A">
              <w:rPr>
                <w:noProof/>
                <w:webHidden/>
              </w:rPr>
            </w:r>
            <w:r w:rsidR="008F6D3A">
              <w:rPr>
                <w:noProof/>
                <w:webHidden/>
              </w:rPr>
              <w:fldChar w:fldCharType="separate"/>
            </w:r>
            <w:r w:rsidR="00C4252E">
              <w:rPr>
                <w:noProof/>
                <w:webHidden/>
              </w:rPr>
              <w:t>183</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699" w:history="1">
            <w:r w:rsidR="008F6D3A" w:rsidRPr="007F0955">
              <w:rPr>
                <w:rStyle w:val="Hyperlink"/>
                <w:noProof/>
              </w:rPr>
              <w:t>1.</w:t>
            </w:r>
            <w:r w:rsidR="008F6D3A">
              <w:rPr>
                <w:rFonts w:asciiTheme="minorHAnsi" w:eastAsiaTheme="minorEastAsia" w:hAnsiTheme="minorHAnsi"/>
                <w:noProof/>
                <w:szCs w:val="22"/>
                <w:lang w:eastAsia="de-CH"/>
              </w:rPr>
              <w:tab/>
            </w:r>
            <w:r w:rsidR="008F6D3A" w:rsidRPr="007F0955">
              <w:rPr>
                <w:rStyle w:val="Hyperlink"/>
                <w:noProof/>
              </w:rPr>
              <w:t>Allgemeines</w:t>
            </w:r>
            <w:r w:rsidR="008F6D3A">
              <w:rPr>
                <w:noProof/>
                <w:webHidden/>
              </w:rPr>
              <w:tab/>
            </w:r>
            <w:r w:rsidR="008F6D3A">
              <w:rPr>
                <w:noProof/>
                <w:webHidden/>
              </w:rPr>
              <w:fldChar w:fldCharType="begin"/>
            </w:r>
            <w:r w:rsidR="008F6D3A">
              <w:rPr>
                <w:noProof/>
                <w:webHidden/>
              </w:rPr>
              <w:instrText xml:space="preserve"> PAGEREF _Toc432175699 \h </w:instrText>
            </w:r>
            <w:r w:rsidR="008F6D3A">
              <w:rPr>
                <w:noProof/>
                <w:webHidden/>
              </w:rPr>
            </w:r>
            <w:r w:rsidR="008F6D3A">
              <w:rPr>
                <w:noProof/>
                <w:webHidden/>
              </w:rPr>
              <w:fldChar w:fldCharType="separate"/>
            </w:r>
            <w:r w:rsidR="00C4252E">
              <w:rPr>
                <w:noProof/>
                <w:webHidden/>
              </w:rPr>
              <w:t>183</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700" w:history="1">
            <w:r w:rsidR="008F6D3A" w:rsidRPr="007F0955">
              <w:rPr>
                <w:rStyle w:val="Hyperlink"/>
                <w:noProof/>
              </w:rPr>
              <w:t>2.</w:t>
            </w:r>
            <w:r w:rsidR="008F6D3A">
              <w:rPr>
                <w:rFonts w:asciiTheme="minorHAnsi" w:eastAsiaTheme="minorEastAsia" w:hAnsiTheme="minorHAnsi"/>
                <w:noProof/>
                <w:szCs w:val="22"/>
                <w:lang w:eastAsia="de-CH"/>
              </w:rPr>
              <w:tab/>
            </w:r>
            <w:r w:rsidR="008F6D3A" w:rsidRPr="007F0955">
              <w:rPr>
                <w:rStyle w:val="Hyperlink"/>
                <w:noProof/>
              </w:rPr>
              <w:t>Veräusserungsverbot</w:t>
            </w:r>
            <w:r w:rsidR="008F6D3A">
              <w:rPr>
                <w:noProof/>
                <w:webHidden/>
              </w:rPr>
              <w:tab/>
            </w:r>
            <w:r w:rsidR="008F6D3A">
              <w:rPr>
                <w:noProof/>
                <w:webHidden/>
              </w:rPr>
              <w:fldChar w:fldCharType="begin"/>
            </w:r>
            <w:r w:rsidR="008F6D3A">
              <w:rPr>
                <w:noProof/>
                <w:webHidden/>
              </w:rPr>
              <w:instrText xml:space="preserve"> PAGEREF _Toc432175700 \h </w:instrText>
            </w:r>
            <w:r w:rsidR="008F6D3A">
              <w:rPr>
                <w:noProof/>
                <w:webHidden/>
              </w:rPr>
            </w:r>
            <w:r w:rsidR="008F6D3A">
              <w:rPr>
                <w:noProof/>
                <w:webHidden/>
              </w:rPr>
              <w:fldChar w:fldCharType="separate"/>
            </w:r>
            <w:r w:rsidR="00C4252E">
              <w:rPr>
                <w:noProof/>
                <w:webHidden/>
              </w:rPr>
              <w:t>184</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701" w:history="1">
            <w:r w:rsidR="008F6D3A" w:rsidRPr="007F0955">
              <w:rPr>
                <w:rStyle w:val="Hyperlink"/>
                <w:noProof/>
              </w:rPr>
              <w:t>3.</w:t>
            </w:r>
            <w:r w:rsidR="008F6D3A">
              <w:rPr>
                <w:rFonts w:asciiTheme="minorHAnsi" w:eastAsiaTheme="minorEastAsia" w:hAnsiTheme="minorHAnsi"/>
                <w:noProof/>
                <w:szCs w:val="22"/>
                <w:lang w:eastAsia="de-CH"/>
              </w:rPr>
              <w:tab/>
            </w:r>
            <w:r w:rsidR="008F6D3A" w:rsidRPr="007F0955">
              <w:rPr>
                <w:rStyle w:val="Hyperlink"/>
                <w:noProof/>
              </w:rPr>
              <w:t>Verfügungsbeschränkung zugunsten des Ehegatten</w:t>
            </w:r>
            <w:r w:rsidR="008F6D3A">
              <w:rPr>
                <w:noProof/>
                <w:webHidden/>
              </w:rPr>
              <w:tab/>
            </w:r>
            <w:r w:rsidR="008F6D3A">
              <w:rPr>
                <w:noProof/>
                <w:webHidden/>
              </w:rPr>
              <w:fldChar w:fldCharType="begin"/>
            </w:r>
            <w:r w:rsidR="008F6D3A">
              <w:rPr>
                <w:noProof/>
                <w:webHidden/>
              </w:rPr>
              <w:instrText xml:space="preserve"> PAGEREF _Toc432175701 \h </w:instrText>
            </w:r>
            <w:r w:rsidR="008F6D3A">
              <w:rPr>
                <w:noProof/>
                <w:webHidden/>
              </w:rPr>
            </w:r>
            <w:r w:rsidR="008F6D3A">
              <w:rPr>
                <w:noProof/>
                <w:webHidden/>
              </w:rPr>
              <w:fldChar w:fldCharType="separate"/>
            </w:r>
            <w:r w:rsidR="00C4252E">
              <w:rPr>
                <w:noProof/>
                <w:webHidden/>
              </w:rPr>
              <w:t>184</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702" w:history="1">
            <w:r w:rsidR="008F6D3A" w:rsidRPr="007F0955">
              <w:rPr>
                <w:rStyle w:val="Hyperlink"/>
                <w:noProof/>
              </w:rPr>
              <w:t>4.</w:t>
            </w:r>
            <w:r w:rsidR="008F6D3A">
              <w:rPr>
                <w:rFonts w:asciiTheme="minorHAnsi" w:eastAsiaTheme="minorEastAsia" w:hAnsiTheme="minorHAnsi"/>
                <w:noProof/>
                <w:szCs w:val="22"/>
                <w:lang w:eastAsia="de-CH"/>
              </w:rPr>
              <w:tab/>
            </w:r>
            <w:r w:rsidR="008F6D3A" w:rsidRPr="007F0955">
              <w:rPr>
                <w:rStyle w:val="Hyperlink"/>
                <w:noProof/>
              </w:rPr>
              <w:t>Bewilligungsverfahren für den Erwerb</w:t>
            </w:r>
            <w:r w:rsidR="008F6D3A">
              <w:rPr>
                <w:noProof/>
                <w:webHidden/>
              </w:rPr>
              <w:tab/>
            </w:r>
            <w:r w:rsidR="008F6D3A">
              <w:rPr>
                <w:noProof/>
                <w:webHidden/>
              </w:rPr>
              <w:fldChar w:fldCharType="begin"/>
            </w:r>
            <w:r w:rsidR="008F6D3A">
              <w:rPr>
                <w:noProof/>
                <w:webHidden/>
              </w:rPr>
              <w:instrText xml:space="preserve"> PAGEREF _Toc432175702 \h </w:instrText>
            </w:r>
            <w:r w:rsidR="008F6D3A">
              <w:rPr>
                <w:noProof/>
                <w:webHidden/>
              </w:rPr>
            </w:r>
            <w:r w:rsidR="008F6D3A">
              <w:rPr>
                <w:noProof/>
                <w:webHidden/>
              </w:rPr>
              <w:fldChar w:fldCharType="separate"/>
            </w:r>
            <w:r w:rsidR="00C4252E">
              <w:rPr>
                <w:noProof/>
                <w:webHidden/>
              </w:rPr>
              <w:t>184</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703" w:history="1">
            <w:r w:rsidR="008F6D3A" w:rsidRPr="007F0955">
              <w:rPr>
                <w:rStyle w:val="Hyperlink"/>
                <w:noProof/>
              </w:rPr>
              <w:t>5.</w:t>
            </w:r>
            <w:r w:rsidR="008F6D3A">
              <w:rPr>
                <w:rFonts w:asciiTheme="minorHAnsi" w:eastAsiaTheme="minorEastAsia" w:hAnsiTheme="minorHAnsi"/>
                <w:noProof/>
                <w:szCs w:val="22"/>
                <w:lang w:eastAsia="de-CH"/>
              </w:rPr>
              <w:tab/>
            </w:r>
            <w:r w:rsidR="008F6D3A" w:rsidRPr="007F0955">
              <w:rPr>
                <w:rStyle w:val="Hyperlink"/>
                <w:noProof/>
              </w:rPr>
              <w:t>Realteilungs- und Zerstückelungsverbot</w:t>
            </w:r>
            <w:r w:rsidR="008F6D3A">
              <w:rPr>
                <w:noProof/>
                <w:webHidden/>
              </w:rPr>
              <w:tab/>
            </w:r>
            <w:r w:rsidR="008F6D3A">
              <w:rPr>
                <w:noProof/>
                <w:webHidden/>
              </w:rPr>
              <w:fldChar w:fldCharType="begin"/>
            </w:r>
            <w:r w:rsidR="008F6D3A">
              <w:rPr>
                <w:noProof/>
                <w:webHidden/>
              </w:rPr>
              <w:instrText xml:space="preserve"> PAGEREF _Toc432175703 \h </w:instrText>
            </w:r>
            <w:r w:rsidR="008F6D3A">
              <w:rPr>
                <w:noProof/>
                <w:webHidden/>
              </w:rPr>
            </w:r>
            <w:r w:rsidR="008F6D3A">
              <w:rPr>
                <w:noProof/>
                <w:webHidden/>
              </w:rPr>
              <w:fldChar w:fldCharType="separate"/>
            </w:r>
            <w:r w:rsidR="00C4252E">
              <w:rPr>
                <w:noProof/>
                <w:webHidden/>
              </w:rPr>
              <w:t>185</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704" w:history="1">
            <w:r w:rsidR="008F6D3A" w:rsidRPr="007F0955">
              <w:rPr>
                <w:rStyle w:val="Hyperlink"/>
                <w:noProof/>
              </w:rPr>
              <w:t>6.</w:t>
            </w:r>
            <w:r w:rsidR="008F6D3A">
              <w:rPr>
                <w:rFonts w:asciiTheme="minorHAnsi" w:eastAsiaTheme="minorEastAsia" w:hAnsiTheme="minorHAnsi"/>
                <w:noProof/>
                <w:szCs w:val="22"/>
                <w:lang w:eastAsia="de-CH"/>
              </w:rPr>
              <w:tab/>
            </w:r>
            <w:r w:rsidR="008F6D3A" w:rsidRPr="007F0955">
              <w:rPr>
                <w:rStyle w:val="Hyperlink"/>
                <w:noProof/>
              </w:rPr>
              <w:t>Vorkaufsrechte</w:t>
            </w:r>
            <w:r w:rsidR="008F6D3A">
              <w:rPr>
                <w:noProof/>
                <w:webHidden/>
              </w:rPr>
              <w:tab/>
            </w:r>
            <w:r w:rsidR="008F6D3A">
              <w:rPr>
                <w:noProof/>
                <w:webHidden/>
              </w:rPr>
              <w:fldChar w:fldCharType="begin"/>
            </w:r>
            <w:r w:rsidR="008F6D3A">
              <w:rPr>
                <w:noProof/>
                <w:webHidden/>
              </w:rPr>
              <w:instrText xml:space="preserve"> PAGEREF _Toc432175704 \h </w:instrText>
            </w:r>
            <w:r w:rsidR="008F6D3A">
              <w:rPr>
                <w:noProof/>
                <w:webHidden/>
              </w:rPr>
            </w:r>
            <w:r w:rsidR="008F6D3A">
              <w:rPr>
                <w:noProof/>
                <w:webHidden/>
              </w:rPr>
              <w:fldChar w:fldCharType="separate"/>
            </w:r>
            <w:r w:rsidR="00C4252E">
              <w:rPr>
                <w:noProof/>
                <w:webHidden/>
              </w:rPr>
              <w:t>185</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705" w:history="1">
            <w:r w:rsidR="008F6D3A" w:rsidRPr="007F0955">
              <w:rPr>
                <w:rStyle w:val="Hyperlink"/>
                <w:noProof/>
              </w:rPr>
              <w:t>7.</w:t>
            </w:r>
            <w:r w:rsidR="008F6D3A">
              <w:rPr>
                <w:rFonts w:asciiTheme="minorHAnsi" w:eastAsiaTheme="minorEastAsia" w:hAnsiTheme="minorHAnsi"/>
                <w:noProof/>
                <w:szCs w:val="22"/>
                <w:lang w:eastAsia="de-CH"/>
              </w:rPr>
              <w:tab/>
            </w:r>
            <w:r w:rsidR="008F6D3A" w:rsidRPr="007F0955">
              <w:rPr>
                <w:rStyle w:val="Hyperlink"/>
                <w:noProof/>
              </w:rPr>
              <w:t>Rückkaufsrechte</w:t>
            </w:r>
            <w:r w:rsidR="008F6D3A">
              <w:rPr>
                <w:noProof/>
                <w:webHidden/>
              </w:rPr>
              <w:tab/>
            </w:r>
            <w:r w:rsidR="008F6D3A">
              <w:rPr>
                <w:noProof/>
                <w:webHidden/>
              </w:rPr>
              <w:fldChar w:fldCharType="begin"/>
            </w:r>
            <w:r w:rsidR="008F6D3A">
              <w:rPr>
                <w:noProof/>
                <w:webHidden/>
              </w:rPr>
              <w:instrText xml:space="preserve"> PAGEREF _Toc432175705 \h </w:instrText>
            </w:r>
            <w:r w:rsidR="008F6D3A">
              <w:rPr>
                <w:noProof/>
                <w:webHidden/>
              </w:rPr>
            </w:r>
            <w:r w:rsidR="008F6D3A">
              <w:rPr>
                <w:noProof/>
                <w:webHidden/>
              </w:rPr>
              <w:fldChar w:fldCharType="separate"/>
            </w:r>
            <w:r w:rsidR="00C4252E">
              <w:rPr>
                <w:noProof/>
                <w:webHidden/>
              </w:rPr>
              <w:t>185</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706" w:history="1">
            <w:r w:rsidR="008F6D3A" w:rsidRPr="007F0955">
              <w:rPr>
                <w:rStyle w:val="Hyperlink"/>
                <w:noProof/>
              </w:rPr>
              <w:t>8.</w:t>
            </w:r>
            <w:r w:rsidR="008F6D3A">
              <w:rPr>
                <w:rFonts w:asciiTheme="minorHAnsi" w:eastAsiaTheme="minorEastAsia" w:hAnsiTheme="minorHAnsi"/>
                <w:noProof/>
                <w:szCs w:val="22"/>
                <w:lang w:eastAsia="de-CH"/>
              </w:rPr>
              <w:tab/>
            </w:r>
            <w:r w:rsidR="008F6D3A" w:rsidRPr="007F0955">
              <w:rPr>
                <w:rStyle w:val="Hyperlink"/>
                <w:noProof/>
              </w:rPr>
              <w:t>Kaufsrechte</w:t>
            </w:r>
            <w:r w:rsidR="008F6D3A">
              <w:rPr>
                <w:noProof/>
                <w:webHidden/>
              </w:rPr>
              <w:tab/>
            </w:r>
            <w:r w:rsidR="008F6D3A">
              <w:rPr>
                <w:noProof/>
                <w:webHidden/>
              </w:rPr>
              <w:fldChar w:fldCharType="begin"/>
            </w:r>
            <w:r w:rsidR="008F6D3A">
              <w:rPr>
                <w:noProof/>
                <w:webHidden/>
              </w:rPr>
              <w:instrText xml:space="preserve"> PAGEREF _Toc432175706 \h </w:instrText>
            </w:r>
            <w:r w:rsidR="008F6D3A">
              <w:rPr>
                <w:noProof/>
                <w:webHidden/>
              </w:rPr>
            </w:r>
            <w:r w:rsidR="008F6D3A">
              <w:rPr>
                <w:noProof/>
                <w:webHidden/>
              </w:rPr>
              <w:fldChar w:fldCharType="separate"/>
            </w:r>
            <w:r w:rsidR="00C4252E">
              <w:rPr>
                <w:noProof/>
                <w:webHidden/>
              </w:rPr>
              <w:t>186</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707" w:history="1">
            <w:r w:rsidR="008F6D3A" w:rsidRPr="007F0955">
              <w:rPr>
                <w:rStyle w:val="Hyperlink"/>
                <w:noProof/>
              </w:rPr>
              <w:t>9.</w:t>
            </w:r>
            <w:r w:rsidR="008F6D3A">
              <w:rPr>
                <w:rFonts w:asciiTheme="minorHAnsi" w:eastAsiaTheme="minorEastAsia" w:hAnsiTheme="minorHAnsi"/>
                <w:noProof/>
                <w:szCs w:val="22"/>
                <w:lang w:eastAsia="de-CH"/>
              </w:rPr>
              <w:tab/>
            </w:r>
            <w:r w:rsidR="008F6D3A" w:rsidRPr="007F0955">
              <w:rPr>
                <w:rStyle w:val="Hyperlink"/>
                <w:noProof/>
              </w:rPr>
              <w:t>Erbteilung</w:t>
            </w:r>
            <w:r w:rsidR="008F6D3A">
              <w:rPr>
                <w:noProof/>
                <w:webHidden/>
              </w:rPr>
              <w:tab/>
            </w:r>
            <w:r w:rsidR="008F6D3A">
              <w:rPr>
                <w:noProof/>
                <w:webHidden/>
              </w:rPr>
              <w:fldChar w:fldCharType="begin"/>
            </w:r>
            <w:r w:rsidR="008F6D3A">
              <w:rPr>
                <w:noProof/>
                <w:webHidden/>
              </w:rPr>
              <w:instrText xml:space="preserve"> PAGEREF _Toc432175707 \h </w:instrText>
            </w:r>
            <w:r w:rsidR="008F6D3A">
              <w:rPr>
                <w:noProof/>
                <w:webHidden/>
              </w:rPr>
            </w:r>
            <w:r w:rsidR="008F6D3A">
              <w:rPr>
                <w:noProof/>
                <w:webHidden/>
              </w:rPr>
              <w:fldChar w:fldCharType="separate"/>
            </w:r>
            <w:r w:rsidR="00C4252E">
              <w:rPr>
                <w:noProof/>
                <w:webHidden/>
              </w:rPr>
              <w:t>186</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708" w:history="1">
            <w:r w:rsidR="008F6D3A" w:rsidRPr="007F0955">
              <w:rPr>
                <w:rStyle w:val="Hyperlink"/>
                <w:noProof/>
              </w:rPr>
              <w:t>10.</w:t>
            </w:r>
            <w:r w:rsidR="008F6D3A">
              <w:rPr>
                <w:rFonts w:asciiTheme="minorHAnsi" w:eastAsiaTheme="minorEastAsia" w:hAnsiTheme="minorHAnsi"/>
                <w:noProof/>
                <w:szCs w:val="22"/>
                <w:lang w:eastAsia="de-CH"/>
              </w:rPr>
              <w:tab/>
            </w:r>
            <w:r w:rsidR="008F6D3A" w:rsidRPr="007F0955">
              <w:rPr>
                <w:rStyle w:val="Hyperlink"/>
                <w:noProof/>
              </w:rPr>
              <w:t>Belastungsgrenze</w:t>
            </w:r>
            <w:r w:rsidR="008F6D3A">
              <w:rPr>
                <w:noProof/>
                <w:webHidden/>
              </w:rPr>
              <w:tab/>
            </w:r>
            <w:r w:rsidR="008F6D3A">
              <w:rPr>
                <w:noProof/>
                <w:webHidden/>
              </w:rPr>
              <w:fldChar w:fldCharType="begin"/>
            </w:r>
            <w:r w:rsidR="008F6D3A">
              <w:rPr>
                <w:noProof/>
                <w:webHidden/>
              </w:rPr>
              <w:instrText xml:space="preserve"> PAGEREF _Toc432175708 \h </w:instrText>
            </w:r>
            <w:r w:rsidR="008F6D3A">
              <w:rPr>
                <w:noProof/>
                <w:webHidden/>
              </w:rPr>
            </w:r>
            <w:r w:rsidR="008F6D3A">
              <w:rPr>
                <w:noProof/>
                <w:webHidden/>
              </w:rPr>
              <w:fldChar w:fldCharType="separate"/>
            </w:r>
            <w:r w:rsidR="00C4252E">
              <w:rPr>
                <w:noProof/>
                <w:webHidden/>
              </w:rPr>
              <w:t>186</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709" w:history="1">
            <w:r w:rsidR="008F6D3A" w:rsidRPr="007F0955">
              <w:rPr>
                <w:rStyle w:val="Hyperlink"/>
                <w:noProof/>
              </w:rPr>
              <w:t>XVI. Enteignung</w:t>
            </w:r>
            <w:r w:rsidR="008F6D3A">
              <w:rPr>
                <w:noProof/>
                <w:webHidden/>
              </w:rPr>
              <w:tab/>
            </w:r>
            <w:r w:rsidR="008F6D3A">
              <w:rPr>
                <w:noProof/>
                <w:webHidden/>
              </w:rPr>
              <w:fldChar w:fldCharType="begin"/>
            </w:r>
            <w:r w:rsidR="008F6D3A">
              <w:rPr>
                <w:noProof/>
                <w:webHidden/>
              </w:rPr>
              <w:instrText xml:space="preserve"> PAGEREF _Toc432175709 \h </w:instrText>
            </w:r>
            <w:r w:rsidR="008F6D3A">
              <w:rPr>
                <w:noProof/>
                <w:webHidden/>
              </w:rPr>
            </w:r>
            <w:r w:rsidR="008F6D3A">
              <w:rPr>
                <w:noProof/>
                <w:webHidden/>
              </w:rPr>
              <w:fldChar w:fldCharType="separate"/>
            </w:r>
            <w:r w:rsidR="00C4252E">
              <w:rPr>
                <w:noProof/>
                <w:webHidden/>
              </w:rPr>
              <w:t>187</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710" w:history="1">
            <w:r w:rsidR="008F6D3A" w:rsidRPr="007F0955">
              <w:rPr>
                <w:rStyle w:val="Hyperlink"/>
                <w:noProof/>
              </w:rPr>
              <w:t>1.</w:t>
            </w:r>
            <w:r w:rsidR="008F6D3A">
              <w:rPr>
                <w:rFonts w:asciiTheme="minorHAnsi" w:eastAsiaTheme="minorEastAsia" w:hAnsiTheme="minorHAnsi"/>
                <w:noProof/>
                <w:szCs w:val="22"/>
                <w:lang w:eastAsia="de-CH"/>
              </w:rPr>
              <w:tab/>
            </w:r>
            <w:r w:rsidR="008F6D3A" w:rsidRPr="007F0955">
              <w:rPr>
                <w:rStyle w:val="Hyperlink"/>
                <w:noProof/>
              </w:rPr>
              <w:t>Formelle Enteignung</w:t>
            </w:r>
            <w:r w:rsidR="008F6D3A">
              <w:rPr>
                <w:noProof/>
                <w:webHidden/>
              </w:rPr>
              <w:tab/>
            </w:r>
            <w:r w:rsidR="008F6D3A">
              <w:rPr>
                <w:noProof/>
                <w:webHidden/>
              </w:rPr>
              <w:fldChar w:fldCharType="begin"/>
            </w:r>
            <w:r w:rsidR="008F6D3A">
              <w:rPr>
                <w:noProof/>
                <w:webHidden/>
              </w:rPr>
              <w:instrText xml:space="preserve"> PAGEREF _Toc432175710 \h </w:instrText>
            </w:r>
            <w:r w:rsidR="008F6D3A">
              <w:rPr>
                <w:noProof/>
                <w:webHidden/>
              </w:rPr>
            </w:r>
            <w:r w:rsidR="008F6D3A">
              <w:rPr>
                <w:noProof/>
                <w:webHidden/>
              </w:rPr>
              <w:fldChar w:fldCharType="separate"/>
            </w:r>
            <w:r w:rsidR="00C4252E">
              <w:rPr>
                <w:noProof/>
                <w:webHidden/>
              </w:rPr>
              <w:t>187</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711" w:history="1">
            <w:r w:rsidR="008F6D3A" w:rsidRPr="007F0955">
              <w:rPr>
                <w:rStyle w:val="Hyperlink"/>
                <w:noProof/>
              </w:rPr>
              <w:t>2.</w:t>
            </w:r>
            <w:r w:rsidR="008F6D3A">
              <w:rPr>
                <w:rFonts w:asciiTheme="minorHAnsi" w:eastAsiaTheme="minorEastAsia" w:hAnsiTheme="minorHAnsi"/>
                <w:noProof/>
                <w:szCs w:val="22"/>
                <w:lang w:eastAsia="de-CH"/>
              </w:rPr>
              <w:tab/>
            </w:r>
            <w:r w:rsidR="008F6D3A" w:rsidRPr="007F0955">
              <w:rPr>
                <w:rStyle w:val="Hyperlink"/>
                <w:noProof/>
              </w:rPr>
              <w:t>Materielle Enteignung</w:t>
            </w:r>
            <w:r w:rsidR="008F6D3A">
              <w:rPr>
                <w:noProof/>
                <w:webHidden/>
              </w:rPr>
              <w:tab/>
            </w:r>
            <w:r w:rsidR="008F6D3A">
              <w:rPr>
                <w:noProof/>
                <w:webHidden/>
              </w:rPr>
              <w:fldChar w:fldCharType="begin"/>
            </w:r>
            <w:r w:rsidR="008F6D3A">
              <w:rPr>
                <w:noProof/>
                <w:webHidden/>
              </w:rPr>
              <w:instrText xml:space="preserve"> PAGEREF _Toc432175711 \h </w:instrText>
            </w:r>
            <w:r w:rsidR="008F6D3A">
              <w:rPr>
                <w:noProof/>
                <w:webHidden/>
              </w:rPr>
            </w:r>
            <w:r w:rsidR="008F6D3A">
              <w:rPr>
                <w:noProof/>
                <w:webHidden/>
              </w:rPr>
              <w:fldChar w:fldCharType="separate"/>
            </w:r>
            <w:r w:rsidR="00C4252E">
              <w:rPr>
                <w:noProof/>
                <w:webHidden/>
              </w:rPr>
              <w:t>187</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712" w:history="1">
            <w:r w:rsidR="008F6D3A" w:rsidRPr="007F0955">
              <w:rPr>
                <w:rStyle w:val="Hyperlink"/>
                <w:noProof/>
              </w:rPr>
              <w:t>XVII. BG über den Erwerb von Grundstücken durch Personen im Ausland</w:t>
            </w:r>
            <w:r w:rsidR="008F6D3A">
              <w:rPr>
                <w:noProof/>
                <w:webHidden/>
              </w:rPr>
              <w:tab/>
            </w:r>
            <w:r w:rsidR="008F6D3A">
              <w:rPr>
                <w:noProof/>
                <w:webHidden/>
              </w:rPr>
              <w:fldChar w:fldCharType="begin"/>
            </w:r>
            <w:r w:rsidR="008F6D3A">
              <w:rPr>
                <w:noProof/>
                <w:webHidden/>
              </w:rPr>
              <w:instrText xml:space="preserve"> PAGEREF _Toc432175712 \h </w:instrText>
            </w:r>
            <w:r w:rsidR="008F6D3A">
              <w:rPr>
                <w:noProof/>
                <w:webHidden/>
              </w:rPr>
            </w:r>
            <w:r w:rsidR="008F6D3A">
              <w:rPr>
                <w:noProof/>
                <w:webHidden/>
              </w:rPr>
              <w:fldChar w:fldCharType="separate"/>
            </w:r>
            <w:r w:rsidR="00C4252E">
              <w:rPr>
                <w:noProof/>
                <w:webHidden/>
              </w:rPr>
              <w:t>187</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713" w:history="1">
            <w:r w:rsidR="008F6D3A" w:rsidRPr="007F0955">
              <w:rPr>
                <w:rStyle w:val="Hyperlink"/>
                <w:noProof/>
              </w:rPr>
              <w:t>1.</w:t>
            </w:r>
            <w:r w:rsidR="008F6D3A">
              <w:rPr>
                <w:rFonts w:asciiTheme="minorHAnsi" w:eastAsiaTheme="minorEastAsia" w:hAnsiTheme="minorHAnsi"/>
                <w:noProof/>
                <w:szCs w:val="22"/>
                <w:lang w:eastAsia="de-CH"/>
              </w:rPr>
              <w:tab/>
            </w:r>
            <w:r w:rsidR="008F6D3A" w:rsidRPr="007F0955">
              <w:rPr>
                <w:rStyle w:val="Hyperlink"/>
                <w:noProof/>
              </w:rPr>
              <w:t>Erwerb durch natürliche Personen</w:t>
            </w:r>
            <w:r w:rsidR="008F6D3A">
              <w:rPr>
                <w:noProof/>
                <w:webHidden/>
              </w:rPr>
              <w:tab/>
            </w:r>
            <w:r w:rsidR="008F6D3A">
              <w:rPr>
                <w:noProof/>
                <w:webHidden/>
              </w:rPr>
              <w:fldChar w:fldCharType="begin"/>
            </w:r>
            <w:r w:rsidR="008F6D3A">
              <w:rPr>
                <w:noProof/>
                <w:webHidden/>
              </w:rPr>
              <w:instrText xml:space="preserve"> PAGEREF _Toc432175713 \h </w:instrText>
            </w:r>
            <w:r w:rsidR="008F6D3A">
              <w:rPr>
                <w:noProof/>
                <w:webHidden/>
              </w:rPr>
            </w:r>
            <w:r w:rsidR="008F6D3A">
              <w:rPr>
                <w:noProof/>
                <w:webHidden/>
              </w:rPr>
              <w:fldChar w:fldCharType="separate"/>
            </w:r>
            <w:r w:rsidR="00C4252E">
              <w:rPr>
                <w:noProof/>
                <w:webHidden/>
              </w:rPr>
              <w:t>187</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714" w:history="1">
            <w:r w:rsidR="008F6D3A" w:rsidRPr="007F0955">
              <w:rPr>
                <w:rStyle w:val="Hyperlink"/>
                <w:noProof/>
              </w:rPr>
              <w:t>2.</w:t>
            </w:r>
            <w:r w:rsidR="008F6D3A">
              <w:rPr>
                <w:rFonts w:asciiTheme="minorHAnsi" w:eastAsiaTheme="minorEastAsia" w:hAnsiTheme="minorHAnsi"/>
                <w:noProof/>
                <w:szCs w:val="22"/>
                <w:lang w:eastAsia="de-CH"/>
              </w:rPr>
              <w:tab/>
            </w:r>
            <w:r w:rsidR="008F6D3A" w:rsidRPr="007F0955">
              <w:rPr>
                <w:rStyle w:val="Hyperlink"/>
                <w:noProof/>
              </w:rPr>
              <w:t>Erwerb durch juristische Personen</w:t>
            </w:r>
            <w:r w:rsidR="008F6D3A">
              <w:rPr>
                <w:noProof/>
                <w:webHidden/>
              </w:rPr>
              <w:tab/>
            </w:r>
            <w:r w:rsidR="008F6D3A">
              <w:rPr>
                <w:noProof/>
                <w:webHidden/>
              </w:rPr>
              <w:fldChar w:fldCharType="begin"/>
            </w:r>
            <w:r w:rsidR="008F6D3A">
              <w:rPr>
                <w:noProof/>
                <w:webHidden/>
              </w:rPr>
              <w:instrText xml:space="preserve"> PAGEREF _Toc432175714 \h </w:instrText>
            </w:r>
            <w:r w:rsidR="008F6D3A">
              <w:rPr>
                <w:noProof/>
                <w:webHidden/>
              </w:rPr>
            </w:r>
            <w:r w:rsidR="008F6D3A">
              <w:rPr>
                <w:noProof/>
                <w:webHidden/>
              </w:rPr>
              <w:fldChar w:fldCharType="separate"/>
            </w:r>
            <w:r w:rsidR="00C4252E">
              <w:rPr>
                <w:noProof/>
                <w:webHidden/>
              </w:rPr>
              <w:t>188</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715" w:history="1">
            <w:r w:rsidR="008F6D3A" w:rsidRPr="007F0955">
              <w:rPr>
                <w:rStyle w:val="Hyperlink"/>
                <w:noProof/>
              </w:rPr>
              <w:t>3.</w:t>
            </w:r>
            <w:r w:rsidR="008F6D3A">
              <w:rPr>
                <w:rFonts w:asciiTheme="minorHAnsi" w:eastAsiaTheme="minorEastAsia" w:hAnsiTheme="minorHAnsi"/>
                <w:noProof/>
                <w:szCs w:val="22"/>
                <w:lang w:eastAsia="de-CH"/>
              </w:rPr>
              <w:tab/>
            </w:r>
            <w:r w:rsidR="008F6D3A" w:rsidRPr="007F0955">
              <w:rPr>
                <w:rStyle w:val="Hyperlink"/>
                <w:noProof/>
              </w:rPr>
              <w:t>Zum „Grundstückerwerb“</w:t>
            </w:r>
            <w:r w:rsidR="008F6D3A">
              <w:rPr>
                <w:noProof/>
                <w:webHidden/>
              </w:rPr>
              <w:tab/>
            </w:r>
            <w:r w:rsidR="008F6D3A">
              <w:rPr>
                <w:noProof/>
                <w:webHidden/>
              </w:rPr>
              <w:fldChar w:fldCharType="begin"/>
            </w:r>
            <w:r w:rsidR="008F6D3A">
              <w:rPr>
                <w:noProof/>
                <w:webHidden/>
              </w:rPr>
              <w:instrText xml:space="preserve"> PAGEREF _Toc432175715 \h </w:instrText>
            </w:r>
            <w:r w:rsidR="008F6D3A">
              <w:rPr>
                <w:noProof/>
                <w:webHidden/>
              </w:rPr>
            </w:r>
            <w:r w:rsidR="008F6D3A">
              <w:rPr>
                <w:noProof/>
                <w:webHidden/>
              </w:rPr>
              <w:fldChar w:fldCharType="separate"/>
            </w:r>
            <w:r w:rsidR="00C4252E">
              <w:rPr>
                <w:noProof/>
                <w:webHidden/>
              </w:rPr>
              <w:t>188</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716" w:history="1">
            <w:r w:rsidR="008F6D3A" w:rsidRPr="007F0955">
              <w:rPr>
                <w:rStyle w:val="Hyperlink"/>
                <w:noProof/>
              </w:rPr>
              <w:t>4.</w:t>
            </w:r>
            <w:r w:rsidR="008F6D3A">
              <w:rPr>
                <w:rFonts w:asciiTheme="minorHAnsi" w:eastAsiaTheme="minorEastAsia" w:hAnsiTheme="minorHAnsi"/>
                <w:noProof/>
                <w:szCs w:val="22"/>
                <w:lang w:eastAsia="de-CH"/>
              </w:rPr>
              <w:tab/>
            </w:r>
            <w:r w:rsidR="008F6D3A" w:rsidRPr="007F0955">
              <w:rPr>
                <w:rStyle w:val="Hyperlink"/>
                <w:noProof/>
              </w:rPr>
              <w:t>Ferienwohnungen als Zweitwohnungen</w:t>
            </w:r>
            <w:r w:rsidR="008F6D3A">
              <w:rPr>
                <w:noProof/>
                <w:webHidden/>
              </w:rPr>
              <w:tab/>
            </w:r>
            <w:r w:rsidR="008F6D3A">
              <w:rPr>
                <w:noProof/>
                <w:webHidden/>
              </w:rPr>
              <w:fldChar w:fldCharType="begin"/>
            </w:r>
            <w:r w:rsidR="008F6D3A">
              <w:rPr>
                <w:noProof/>
                <w:webHidden/>
              </w:rPr>
              <w:instrText xml:space="preserve"> PAGEREF _Toc432175716 \h </w:instrText>
            </w:r>
            <w:r w:rsidR="008F6D3A">
              <w:rPr>
                <w:noProof/>
                <w:webHidden/>
              </w:rPr>
            </w:r>
            <w:r w:rsidR="008F6D3A">
              <w:rPr>
                <w:noProof/>
                <w:webHidden/>
              </w:rPr>
              <w:fldChar w:fldCharType="separate"/>
            </w:r>
            <w:r w:rsidR="00C4252E">
              <w:rPr>
                <w:noProof/>
                <w:webHidden/>
              </w:rPr>
              <w:t>188</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717" w:history="1">
            <w:r w:rsidR="008F6D3A" w:rsidRPr="007F0955">
              <w:rPr>
                <w:rStyle w:val="Hyperlink"/>
                <w:noProof/>
              </w:rPr>
              <w:t>XVIII. Eingetragene Partnerschaften</w:t>
            </w:r>
            <w:r w:rsidR="008F6D3A">
              <w:rPr>
                <w:noProof/>
                <w:webHidden/>
              </w:rPr>
              <w:tab/>
            </w:r>
            <w:r w:rsidR="008F6D3A">
              <w:rPr>
                <w:noProof/>
                <w:webHidden/>
              </w:rPr>
              <w:fldChar w:fldCharType="begin"/>
            </w:r>
            <w:r w:rsidR="008F6D3A">
              <w:rPr>
                <w:noProof/>
                <w:webHidden/>
              </w:rPr>
              <w:instrText xml:space="preserve"> PAGEREF _Toc432175717 \h </w:instrText>
            </w:r>
            <w:r w:rsidR="008F6D3A">
              <w:rPr>
                <w:noProof/>
                <w:webHidden/>
              </w:rPr>
            </w:r>
            <w:r w:rsidR="008F6D3A">
              <w:rPr>
                <w:noProof/>
                <w:webHidden/>
              </w:rPr>
              <w:fldChar w:fldCharType="separate"/>
            </w:r>
            <w:r w:rsidR="00C4252E">
              <w:rPr>
                <w:noProof/>
                <w:webHidden/>
              </w:rPr>
              <w:t>188</w:t>
            </w:r>
            <w:r w:rsidR="008F6D3A">
              <w:rPr>
                <w:noProof/>
                <w:webHidden/>
              </w:rPr>
              <w:fldChar w:fldCharType="end"/>
            </w:r>
          </w:hyperlink>
        </w:p>
        <w:p w:rsidR="008F6D3A" w:rsidRDefault="00C64023">
          <w:pPr>
            <w:pStyle w:val="Verzeichnis1"/>
            <w:tabs>
              <w:tab w:val="right" w:leader="dot" w:pos="9152"/>
            </w:tabs>
            <w:rPr>
              <w:rFonts w:asciiTheme="minorHAnsi" w:eastAsiaTheme="minorEastAsia" w:hAnsiTheme="minorHAnsi"/>
              <w:noProof/>
              <w:szCs w:val="22"/>
              <w:lang w:eastAsia="de-CH"/>
            </w:rPr>
          </w:pPr>
          <w:hyperlink w:anchor="_Toc432175718" w:history="1">
            <w:r w:rsidR="008F6D3A" w:rsidRPr="007F0955">
              <w:rPr>
                <w:rStyle w:val="Hyperlink"/>
                <w:noProof/>
              </w:rPr>
              <w:t>Anhang</w:t>
            </w:r>
            <w:r w:rsidR="008F6D3A">
              <w:rPr>
                <w:noProof/>
                <w:webHidden/>
              </w:rPr>
              <w:tab/>
            </w:r>
            <w:r w:rsidR="008F6D3A">
              <w:rPr>
                <w:noProof/>
                <w:webHidden/>
              </w:rPr>
              <w:fldChar w:fldCharType="begin"/>
            </w:r>
            <w:r w:rsidR="008F6D3A">
              <w:rPr>
                <w:noProof/>
                <w:webHidden/>
              </w:rPr>
              <w:instrText xml:space="preserve"> PAGEREF _Toc432175718 \h </w:instrText>
            </w:r>
            <w:r w:rsidR="008F6D3A">
              <w:rPr>
                <w:noProof/>
                <w:webHidden/>
              </w:rPr>
            </w:r>
            <w:r w:rsidR="008F6D3A">
              <w:rPr>
                <w:noProof/>
                <w:webHidden/>
              </w:rPr>
              <w:fldChar w:fldCharType="separate"/>
            </w:r>
            <w:r w:rsidR="00C4252E">
              <w:rPr>
                <w:noProof/>
                <w:webHidden/>
              </w:rPr>
              <w:t>189</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719" w:history="1">
            <w:r w:rsidR="008F6D3A" w:rsidRPr="007F0955">
              <w:rPr>
                <w:rStyle w:val="Hyperlink"/>
                <w:noProof/>
              </w:rPr>
              <w:t>I. Beglaubigung einer Firmaunterschrift</w:t>
            </w:r>
            <w:r w:rsidR="008F6D3A">
              <w:rPr>
                <w:noProof/>
                <w:webHidden/>
              </w:rPr>
              <w:tab/>
            </w:r>
            <w:r w:rsidR="008F6D3A">
              <w:rPr>
                <w:noProof/>
                <w:webHidden/>
              </w:rPr>
              <w:fldChar w:fldCharType="begin"/>
            </w:r>
            <w:r w:rsidR="008F6D3A">
              <w:rPr>
                <w:noProof/>
                <w:webHidden/>
              </w:rPr>
              <w:instrText xml:space="preserve"> PAGEREF _Toc432175719 \h </w:instrText>
            </w:r>
            <w:r w:rsidR="008F6D3A">
              <w:rPr>
                <w:noProof/>
                <w:webHidden/>
              </w:rPr>
            </w:r>
            <w:r w:rsidR="008F6D3A">
              <w:rPr>
                <w:noProof/>
                <w:webHidden/>
              </w:rPr>
              <w:fldChar w:fldCharType="separate"/>
            </w:r>
            <w:r w:rsidR="00C4252E">
              <w:rPr>
                <w:noProof/>
                <w:webHidden/>
              </w:rPr>
              <w:t>190</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720" w:history="1">
            <w:r w:rsidR="008F6D3A" w:rsidRPr="007F0955">
              <w:rPr>
                <w:rStyle w:val="Hyperlink"/>
                <w:noProof/>
              </w:rPr>
              <w:t>II. Ehe- und Erbvertrag</w:t>
            </w:r>
            <w:r w:rsidR="008F6D3A">
              <w:rPr>
                <w:noProof/>
                <w:webHidden/>
              </w:rPr>
              <w:tab/>
            </w:r>
            <w:r w:rsidR="008F6D3A">
              <w:rPr>
                <w:noProof/>
                <w:webHidden/>
              </w:rPr>
              <w:fldChar w:fldCharType="begin"/>
            </w:r>
            <w:r w:rsidR="008F6D3A">
              <w:rPr>
                <w:noProof/>
                <w:webHidden/>
              </w:rPr>
              <w:instrText xml:space="preserve"> PAGEREF _Toc432175720 \h </w:instrText>
            </w:r>
            <w:r w:rsidR="008F6D3A">
              <w:rPr>
                <w:noProof/>
                <w:webHidden/>
              </w:rPr>
            </w:r>
            <w:r w:rsidR="008F6D3A">
              <w:rPr>
                <w:noProof/>
                <w:webHidden/>
              </w:rPr>
              <w:fldChar w:fldCharType="separate"/>
            </w:r>
            <w:r w:rsidR="00C4252E">
              <w:rPr>
                <w:noProof/>
                <w:webHidden/>
              </w:rPr>
              <w:t>191</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721" w:history="1">
            <w:r w:rsidR="008F6D3A" w:rsidRPr="007F0955">
              <w:rPr>
                <w:rStyle w:val="Hyperlink"/>
                <w:noProof/>
              </w:rPr>
              <w:t>III. Letztwillige Verfügung</w:t>
            </w:r>
            <w:r w:rsidR="008F6D3A">
              <w:rPr>
                <w:noProof/>
                <w:webHidden/>
              </w:rPr>
              <w:tab/>
            </w:r>
            <w:r w:rsidR="008F6D3A">
              <w:rPr>
                <w:noProof/>
                <w:webHidden/>
              </w:rPr>
              <w:fldChar w:fldCharType="begin"/>
            </w:r>
            <w:r w:rsidR="008F6D3A">
              <w:rPr>
                <w:noProof/>
                <w:webHidden/>
              </w:rPr>
              <w:instrText xml:space="preserve"> PAGEREF _Toc432175721 \h </w:instrText>
            </w:r>
            <w:r w:rsidR="008F6D3A">
              <w:rPr>
                <w:noProof/>
                <w:webHidden/>
              </w:rPr>
            </w:r>
            <w:r w:rsidR="008F6D3A">
              <w:rPr>
                <w:noProof/>
                <w:webHidden/>
              </w:rPr>
              <w:fldChar w:fldCharType="separate"/>
            </w:r>
            <w:r w:rsidR="00C4252E">
              <w:rPr>
                <w:noProof/>
                <w:webHidden/>
              </w:rPr>
              <w:t>195</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722" w:history="1">
            <w:r w:rsidR="008F6D3A" w:rsidRPr="007F0955">
              <w:rPr>
                <w:rStyle w:val="Hyperlink"/>
                <w:noProof/>
              </w:rPr>
              <w:t>IV. Kaufvertrag</w:t>
            </w:r>
            <w:r w:rsidR="008F6D3A">
              <w:rPr>
                <w:noProof/>
                <w:webHidden/>
              </w:rPr>
              <w:tab/>
            </w:r>
            <w:r w:rsidR="008F6D3A">
              <w:rPr>
                <w:noProof/>
                <w:webHidden/>
              </w:rPr>
              <w:fldChar w:fldCharType="begin"/>
            </w:r>
            <w:r w:rsidR="008F6D3A">
              <w:rPr>
                <w:noProof/>
                <w:webHidden/>
              </w:rPr>
              <w:instrText xml:space="preserve"> PAGEREF _Toc432175722 \h </w:instrText>
            </w:r>
            <w:r w:rsidR="008F6D3A">
              <w:rPr>
                <w:noProof/>
                <w:webHidden/>
              </w:rPr>
            </w:r>
            <w:r w:rsidR="008F6D3A">
              <w:rPr>
                <w:noProof/>
                <w:webHidden/>
              </w:rPr>
              <w:fldChar w:fldCharType="separate"/>
            </w:r>
            <w:r w:rsidR="00C4252E">
              <w:rPr>
                <w:noProof/>
                <w:webHidden/>
              </w:rPr>
              <w:t>196</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723" w:history="1">
            <w:r w:rsidR="008F6D3A" w:rsidRPr="007F0955">
              <w:rPr>
                <w:rStyle w:val="Hyperlink"/>
                <w:noProof/>
              </w:rPr>
              <w:t>V. Grundpfandvertrag zur Errichtung eines Namen-Papier-Schuldbriefs</w:t>
            </w:r>
            <w:r w:rsidR="008F6D3A">
              <w:rPr>
                <w:noProof/>
                <w:webHidden/>
              </w:rPr>
              <w:tab/>
            </w:r>
            <w:r w:rsidR="008F6D3A">
              <w:rPr>
                <w:noProof/>
                <w:webHidden/>
              </w:rPr>
              <w:fldChar w:fldCharType="begin"/>
            </w:r>
            <w:r w:rsidR="008F6D3A">
              <w:rPr>
                <w:noProof/>
                <w:webHidden/>
              </w:rPr>
              <w:instrText xml:space="preserve"> PAGEREF _Toc432175723 \h </w:instrText>
            </w:r>
            <w:r w:rsidR="008F6D3A">
              <w:rPr>
                <w:noProof/>
                <w:webHidden/>
              </w:rPr>
            </w:r>
            <w:r w:rsidR="008F6D3A">
              <w:rPr>
                <w:noProof/>
                <w:webHidden/>
              </w:rPr>
              <w:fldChar w:fldCharType="separate"/>
            </w:r>
            <w:r w:rsidR="00C4252E">
              <w:rPr>
                <w:noProof/>
                <w:webHidden/>
              </w:rPr>
              <w:t>204</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724" w:history="1">
            <w:r w:rsidR="008F6D3A" w:rsidRPr="007F0955">
              <w:rPr>
                <w:rStyle w:val="Hyperlink"/>
                <w:noProof/>
              </w:rPr>
              <w:t>VI. Vereinigung von Liegenschaften</w:t>
            </w:r>
            <w:r w:rsidR="008F6D3A">
              <w:rPr>
                <w:noProof/>
                <w:webHidden/>
              </w:rPr>
              <w:tab/>
            </w:r>
            <w:r w:rsidR="008F6D3A">
              <w:rPr>
                <w:noProof/>
                <w:webHidden/>
              </w:rPr>
              <w:fldChar w:fldCharType="begin"/>
            </w:r>
            <w:r w:rsidR="008F6D3A">
              <w:rPr>
                <w:noProof/>
                <w:webHidden/>
              </w:rPr>
              <w:instrText xml:space="preserve"> PAGEREF _Toc432175724 \h </w:instrText>
            </w:r>
            <w:r w:rsidR="008F6D3A">
              <w:rPr>
                <w:noProof/>
                <w:webHidden/>
              </w:rPr>
            </w:r>
            <w:r w:rsidR="008F6D3A">
              <w:rPr>
                <w:noProof/>
                <w:webHidden/>
              </w:rPr>
              <w:fldChar w:fldCharType="separate"/>
            </w:r>
            <w:r w:rsidR="00C4252E">
              <w:rPr>
                <w:noProof/>
                <w:webHidden/>
              </w:rPr>
              <w:t>205</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725" w:history="1">
            <w:r w:rsidR="008F6D3A" w:rsidRPr="007F0955">
              <w:rPr>
                <w:rStyle w:val="Hyperlink"/>
                <w:noProof/>
              </w:rPr>
              <w:t>VII. Dienstbarkeitsvertrag</w:t>
            </w:r>
            <w:r w:rsidR="008F6D3A">
              <w:rPr>
                <w:noProof/>
                <w:webHidden/>
              </w:rPr>
              <w:tab/>
            </w:r>
            <w:r w:rsidR="008F6D3A">
              <w:rPr>
                <w:noProof/>
                <w:webHidden/>
              </w:rPr>
              <w:fldChar w:fldCharType="begin"/>
            </w:r>
            <w:r w:rsidR="008F6D3A">
              <w:rPr>
                <w:noProof/>
                <w:webHidden/>
              </w:rPr>
              <w:instrText xml:space="preserve"> PAGEREF _Toc432175725 \h </w:instrText>
            </w:r>
            <w:r w:rsidR="008F6D3A">
              <w:rPr>
                <w:noProof/>
                <w:webHidden/>
              </w:rPr>
            </w:r>
            <w:r w:rsidR="008F6D3A">
              <w:rPr>
                <w:noProof/>
                <w:webHidden/>
              </w:rPr>
              <w:fldChar w:fldCharType="separate"/>
            </w:r>
            <w:r w:rsidR="00C4252E">
              <w:rPr>
                <w:noProof/>
                <w:webHidden/>
              </w:rPr>
              <w:t>210</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726" w:history="1">
            <w:r w:rsidR="008F6D3A" w:rsidRPr="007F0955">
              <w:rPr>
                <w:rStyle w:val="Hyperlink"/>
                <w:noProof/>
              </w:rPr>
              <w:t>VIII. Gründung GmbH</w:t>
            </w:r>
            <w:r w:rsidR="008F6D3A">
              <w:rPr>
                <w:noProof/>
                <w:webHidden/>
              </w:rPr>
              <w:tab/>
            </w:r>
            <w:r w:rsidR="008F6D3A">
              <w:rPr>
                <w:noProof/>
                <w:webHidden/>
              </w:rPr>
              <w:fldChar w:fldCharType="begin"/>
            </w:r>
            <w:r w:rsidR="008F6D3A">
              <w:rPr>
                <w:noProof/>
                <w:webHidden/>
              </w:rPr>
              <w:instrText xml:space="preserve"> PAGEREF _Toc432175726 \h </w:instrText>
            </w:r>
            <w:r w:rsidR="008F6D3A">
              <w:rPr>
                <w:noProof/>
                <w:webHidden/>
              </w:rPr>
            </w:r>
            <w:r w:rsidR="008F6D3A">
              <w:rPr>
                <w:noProof/>
                <w:webHidden/>
              </w:rPr>
              <w:fldChar w:fldCharType="separate"/>
            </w:r>
            <w:r w:rsidR="00C4252E">
              <w:rPr>
                <w:noProof/>
                <w:webHidden/>
              </w:rPr>
              <w:t>214</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727" w:history="1">
            <w:r w:rsidR="008F6D3A" w:rsidRPr="007F0955">
              <w:rPr>
                <w:rStyle w:val="Hyperlink"/>
                <w:noProof/>
              </w:rPr>
              <w:t>IX. Grundbuchauszug</w:t>
            </w:r>
            <w:r w:rsidR="008F6D3A">
              <w:rPr>
                <w:noProof/>
                <w:webHidden/>
              </w:rPr>
              <w:tab/>
            </w:r>
            <w:r w:rsidR="008F6D3A">
              <w:rPr>
                <w:noProof/>
                <w:webHidden/>
              </w:rPr>
              <w:fldChar w:fldCharType="begin"/>
            </w:r>
            <w:r w:rsidR="008F6D3A">
              <w:rPr>
                <w:noProof/>
                <w:webHidden/>
              </w:rPr>
              <w:instrText xml:space="preserve"> PAGEREF _Toc432175727 \h </w:instrText>
            </w:r>
            <w:r w:rsidR="008F6D3A">
              <w:rPr>
                <w:noProof/>
                <w:webHidden/>
              </w:rPr>
            </w:r>
            <w:r w:rsidR="008F6D3A">
              <w:rPr>
                <w:noProof/>
                <w:webHidden/>
              </w:rPr>
              <w:fldChar w:fldCharType="separate"/>
            </w:r>
            <w:r w:rsidR="00C4252E">
              <w:rPr>
                <w:noProof/>
                <w:webHidden/>
              </w:rPr>
              <w:t>217</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728" w:history="1">
            <w:r w:rsidR="008F6D3A" w:rsidRPr="007F0955">
              <w:rPr>
                <w:rStyle w:val="Hyperlink"/>
                <w:noProof/>
              </w:rPr>
              <w:t>X. Grundbuchformulare</w:t>
            </w:r>
            <w:r w:rsidR="008F6D3A">
              <w:rPr>
                <w:noProof/>
                <w:webHidden/>
              </w:rPr>
              <w:tab/>
            </w:r>
            <w:r w:rsidR="008F6D3A">
              <w:rPr>
                <w:noProof/>
                <w:webHidden/>
              </w:rPr>
              <w:fldChar w:fldCharType="begin"/>
            </w:r>
            <w:r w:rsidR="008F6D3A">
              <w:rPr>
                <w:noProof/>
                <w:webHidden/>
              </w:rPr>
              <w:instrText xml:space="preserve"> PAGEREF _Toc432175728 \h </w:instrText>
            </w:r>
            <w:r w:rsidR="008F6D3A">
              <w:rPr>
                <w:noProof/>
                <w:webHidden/>
              </w:rPr>
            </w:r>
            <w:r w:rsidR="008F6D3A">
              <w:rPr>
                <w:noProof/>
                <w:webHidden/>
              </w:rPr>
              <w:fldChar w:fldCharType="separate"/>
            </w:r>
            <w:r w:rsidR="00C4252E">
              <w:rPr>
                <w:noProof/>
                <w:webHidden/>
              </w:rPr>
              <w:t>219</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729" w:history="1">
            <w:r w:rsidR="008F6D3A" w:rsidRPr="007F0955">
              <w:rPr>
                <w:rStyle w:val="Hyperlink"/>
                <w:noProof/>
              </w:rPr>
              <w:t>XI. Tauschvertrag (Parzellierung &amp; Vereinigung, usw.)</w:t>
            </w:r>
            <w:r w:rsidR="008F6D3A">
              <w:rPr>
                <w:noProof/>
                <w:webHidden/>
              </w:rPr>
              <w:tab/>
            </w:r>
            <w:r w:rsidR="008F6D3A">
              <w:rPr>
                <w:noProof/>
                <w:webHidden/>
              </w:rPr>
              <w:fldChar w:fldCharType="begin"/>
            </w:r>
            <w:r w:rsidR="008F6D3A">
              <w:rPr>
                <w:noProof/>
                <w:webHidden/>
              </w:rPr>
              <w:instrText xml:space="preserve"> PAGEREF _Toc432175729 \h </w:instrText>
            </w:r>
            <w:r w:rsidR="008F6D3A">
              <w:rPr>
                <w:noProof/>
                <w:webHidden/>
              </w:rPr>
            </w:r>
            <w:r w:rsidR="008F6D3A">
              <w:rPr>
                <w:noProof/>
                <w:webHidden/>
              </w:rPr>
              <w:fldChar w:fldCharType="separate"/>
            </w:r>
            <w:r w:rsidR="00C4252E">
              <w:rPr>
                <w:noProof/>
                <w:webHidden/>
              </w:rPr>
              <w:t>236</w:t>
            </w:r>
            <w:r w:rsidR="008F6D3A">
              <w:rPr>
                <w:noProof/>
                <w:webHidden/>
              </w:rPr>
              <w:fldChar w:fldCharType="end"/>
            </w:r>
          </w:hyperlink>
        </w:p>
        <w:p w:rsidR="008F6D3A" w:rsidRDefault="00C64023">
          <w:pPr>
            <w:pStyle w:val="Verzeichnis2"/>
            <w:tabs>
              <w:tab w:val="right" w:leader="dot" w:pos="9152"/>
            </w:tabs>
            <w:rPr>
              <w:rFonts w:asciiTheme="minorHAnsi" w:eastAsiaTheme="minorEastAsia" w:hAnsiTheme="minorHAnsi"/>
              <w:noProof/>
              <w:szCs w:val="22"/>
              <w:lang w:eastAsia="de-CH"/>
            </w:rPr>
          </w:pPr>
          <w:hyperlink w:anchor="_Toc432175730" w:history="1">
            <w:r w:rsidR="008F6D3A" w:rsidRPr="007F0955">
              <w:rPr>
                <w:rStyle w:val="Hyperlink"/>
                <w:noProof/>
              </w:rPr>
              <w:t>XII. Ausfüllen Steuererklärungen bei Todesfall</w:t>
            </w:r>
            <w:r w:rsidR="008F6D3A">
              <w:rPr>
                <w:noProof/>
                <w:webHidden/>
              </w:rPr>
              <w:tab/>
            </w:r>
            <w:r w:rsidR="008F6D3A">
              <w:rPr>
                <w:noProof/>
                <w:webHidden/>
              </w:rPr>
              <w:fldChar w:fldCharType="begin"/>
            </w:r>
            <w:r w:rsidR="008F6D3A">
              <w:rPr>
                <w:noProof/>
                <w:webHidden/>
              </w:rPr>
              <w:instrText xml:space="preserve"> PAGEREF _Toc432175730 \h </w:instrText>
            </w:r>
            <w:r w:rsidR="008F6D3A">
              <w:rPr>
                <w:noProof/>
                <w:webHidden/>
              </w:rPr>
            </w:r>
            <w:r w:rsidR="008F6D3A">
              <w:rPr>
                <w:noProof/>
                <w:webHidden/>
              </w:rPr>
              <w:fldChar w:fldCharType="separate"/>
            </w:r>
            <w:r w:rsidR="00C4252E">
              <w:rPr>
                <w:noProof/>
                <w:webHidden/>
              </w:rPr>
              <w:t>267</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731" w:history="1">
            <w:r w:rsidR="008F6D3A" w:rsidRPr="007F0955">
              <w:rPr>
                <w:rStyle w:val="Hyperlink"/>
                <w:noProof/>
              </w:rPr>
              <w:t>A.</w:t>
            </w:r>
            <w:r w:rsidR="008F6D3A">
              <w:rPr>
                <w:rFonts w:asciiTheme="minorHAnsi" w:eastAsiaTheme="minorEastAsia" w:hAnsiTheme="minorHAnsi"/>
                <w:noProof/>
                <w:szCs w:val="22"/>
                <w:lang w:eastAsia="de-CH"/>
              </w:rPr>
              <w:tab/>
            </w:r>
            <w:r w:rsidR="008F6D3A" w:rsidRPr="007F0955">
              <w:rPr>
                <w:rStyle w:val="Hyperlink"/>
                <w:noProof/>
              </w:rPr>
              <w:t>Mit Liegenschaft des überlebenden Ehegatten</w:t>
            </w:r>
            <w:r w:rsidR="008F6D3A">
              <w:rPr>
                <w:noProof/>
                <w:webHidden/>
              </w:rPr>
              <w:tab/>
            </w:r>
            <w:r w:rsidR="008F6D3A">
              <w:rPr>
                <w:noProof/>
                <w:webHidden/>
              </w:rPr>
              <w:fldChar w:fldCharType="begin"/>
            </w:r>
            <w:r w:rsidR="008F6D3A">
              <w:rPr>
                <w:noProof/>
                <w:webHidden/>
              </w:rPr>
              <w:instrText xml:space="preserve"> PAGEREF _Toc432175731 \h </w:instrText>
            </w:r>
            <w:r w:rsidR="008F6D3A">
              <w:rPr>
                <w:noProof/>
                <w:webHidden/>
              </w:rPr>
            </w:r>
            <w:r w:rsidR="008F6D3A">
              <w:rPr>
                <w:noProof/>
                <w:webHidden/>
              </w:rPr>
              <w:fldChar w:fldCharType="separate"/>
            </w:r>
            <w:r w:rsidR="00C4252E">
              <w:rPr>
                <w:noProof/>
                <w:webHidden/>
              </w:rPr>
              <w:t>267</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732" w:history="1">
            <w:r w:rsidR="008F6D3A" w:rsidRPr="007F0955">
              <w:rPr>
                <w:rStyle w:val="Hyperlink"/>
                <w:noProof/>
              </w:rPr>
              <w:t>B.</w:t>
            </w:r>
            <w:r w:rsidR="008F6D3A">
              <w:rPr>
                <w:rFonts w:asciiTheme="minorHAnsi" w:eastAsiaTheme="minorEastAsia" w:hAnsiTheme="minorHAnsi"/>
                <w:noProof/>
                <w:szCs w:val="22"/>
                <w:lang w:eastAsia="de-CH"/>
              </w:rPr>
              <w:tab/>
            </w:r>
            <w:r w:rsidR="008F6D3A" w:rsidRPr="007F0955">
              <w:rPr>
                <w:rStyle w:val="Hyperlink"/>
                <w:noProof/>
              </w:rPr>
              <w:t>Ohne Liegenschaft des überlebenden Ehegatten</w:t>
            </w:r>
            <w:r w:rsidR="008F6D3A">
              <w:rPr>
                <w:noProof/>
                <w:webHidden/>
              </w:rPr>
              <w:tab/>
            </w:r>
            <w:r w:rsidR="008F6D3A">
              <w:rPr>
                <w:noProof/>
                <w:webHidden/>
              </w:rPr>
              <w:fldChar w:fldCharType="begin"/>
            </w:r>
            <w:r w:rsidR="008F6D3A">
              <w:rPr>
                <w:noProof/>
                <w:webHidden/>
              </w:rPr>
              <w:instrText xml:space="preserve"> PAGEREF _Toc432175732 \h </w:instrText>
            </w:r>
            <w:r w:rsidR="008F6D3A">
              <w:rPr>
                <w:noProof/>
                <w:webHidden/>
              </w:rPr>
            </w:r>
            <w:r w:rsidR="008F6D3A">
              <w:rPr>
                <w:noProof/>
                <w:webHidden/>
              </w:rPr>
              <w:fldChar w:fldCharType="separate"/>
            </w:r>
            <w:r w:rsidR="00C4252E">
              <w:rPr>
                <w:noProof/>
                <w:webHidden/>
              </w:rPr>
              <w:t>278</w:t>
            </w:r>
            <w:r w:rsidR="008F6D3A">
              <w:rPr>
                <w:noProof/>
                <w:webHidden/>
              </w:rPr>
              <w:fldChar w:fldCharType="end"/>
            </w:r>
          </w:hyperlink>
        </w:p>
        <w:p w:rsidR="008F6D3A" w:rsidRDefault="00C64023">
          <w:pPr>
            <w:pStyle w:val="Verzeichnis3"/>
            <w:rPr>
              <w:rFonts w:asciiTheme="minorHAnsi" w:eastAsiaTheme="minorEastAsia" w:hAnsiTheme="minorHAnsi"/>
              <w:noProof/>
              <w:szCs w:val="22"/>
              <w:lang w:eastAsia="de-CH"/>
            </w:rPr>
          </w:pPr>
          <w:hyperlink w:anchor="_Toc432175733" w:history="1">
            <w:r w:rsidR="008F6D3A" w:rsidRPr="007F0955">
              <w:rPr>
                <w:rStyle w:val="Hyperlink"/>
                <w:noProof/>
              </w:rPr>
              <w:t>C.</w:t>
            </w:r>
            <w:r w:rsidR="008F6D3A">
              <w:rPr>
                <w:rFonts w:asciiTheme="minorHAnsi" w:eastAsiaTheme="minorEastAsia" w:hAnsiTheme="minorHAnsi"/>
                <w:noProof/>
                <w:szCs w:val="22"/>
                <w:lang w:eastAsia="de-CH"/>
              </w:rPr>
              <w:tab/>
            </w:r>
            <w:r w:rsidR="008F6D3A" w:rsidRPr="007F0955">
              <w:rPr>
                <w:rStyle w:val="Hyperlink"/>
                <w:noProof/>
              </w:rPr>
              <w:t>Bemerkungen zum Ausfüllen der Steuererklärungen bei Todesfall</w:t>
            </w:r>
            <w:r w:rsidR="008F6D3A">
              <w:rPr>
                <w:noProof/>
                <w:webHidden/>
              </w:rPr>
              <w:tab/>
            </w:r>
            <w:r w:rsidR="008F6D3A">
              <w:rPr>
                <w:noProof/>
                <w:webHidden/>
              </w:rPr>
              <w:fldChar w:fldCharType="begin"/>
            </w:r>
            <w:r w:rsidR="008F6D3A">
              <w:rPr>
                <w:noProof/>
                <w:webHidden/>
              </w:rPr>
              <w:instrText xml:space="preserve"> PAGEREF _Toc432175733 \h </w:instrText>
            </w:r>
            <w:r w:rsidR="008F6D3A">
              <w:rPr>
                <w:noProof/>
                <w:webHidden/>
              </w:rPr>
            </w:r>
            <w:r w:rsidR="008F6D3A">
              <w:rPr>
                <w:noProof/>
                <w:webHidden/>
              </w:rPr>
              <w:fldChar w:fldCharType="separate"/>
            </w:r>
            <w:r w:rsidR="00C4252E">
              <w:rPr>
                <w:noProof/>
                <w:webHidden/>
              </w:rPr>
              <w:t>288</w:t>
            </w:r>
            <w:r w:rsidR="008F6D3A">
              <w:rPr>
                <w:noProof/>
                <w:webHidden/>
              </w:rPr>
              <w:fldChar w:fldCharType="end"/>
            </w:r>
          </w:hyperlink>
        </w:p>
        <w:p w:rsidR="003C3AC9" w:rsidRPr="00AE40BF" w:rsidRDefault="0064032B" w:rsidP="005D70F9">
          <w:r w:rsidRPr="005F15DA">
            <w:rPr>
              <w:b/>
              <w:bCs/>
            </w:rPr>
            <w:fldChar w:fldCharType="end"/>
          </w:r>
        </w:p>
      </w:sdtContent>
    </w:sdt>
    <w:p w:rsidR="00735CCF" w:rsidRPr="00735CCF" w:rsidRDefault="00735CCF" w:rsidP="00735CCF">
      <w:pPr>
        <w:rPr>
          <w:rFonts w:eastAsiaTheme="majorEastAsia" w:cstheme="majorBidi"/>
          <w:color w:val="000000" w:themeColor="text1"/>
          <w:szCs w:val="22"/>
        </w:rPr>
      </w:pPr>
      <w:r>
        <w:br w:type="page"/>
      </w:r>
    </w:p>
    <w:p w:rsidR="005D70F9" w:rsidRPr="005F15DA" w:rsidRDefault="005D70F9" w:rsidP="001F15CC">
      <w:pPr>
        <w:pStyle w:val="berschrift1"/>
        <w:spacing w:before="0"/>
        <w:rPr>
          <w:i/>
        </w:rPr>
      </w:pPr>
      <w:bookmarkStart w:id="2" w:name="_Toc432175530"/>
      <w:r w:rsidRPr="005F15DA">
        <w:lastRenderedPageBreak/>
        <w:t>Notariatsrecht</w:t>
      </w:r>
      <w:bookmarkEnd w:id="2"/>
    </w:p>
    <w:p w:rsidR="00DA6940" w:rsidRDefault="00AD2C6A" w:rsidP="00AD2C6A">
      <w:r>
        <w:t>__________________________________________________________________________</w:t>
      </w:r>
    </w:p>
    <w:p w:rsidR="00AD2C6A" w:rsidRPr="005F15DA" w:rsidRDefault="00AD2C6A" w:rsidP="00DA6940"/>
    <w:p w:rsidR="00DA6940" w:rsidRPr="005F15DA" w:rsidRDefault="00DA6940" w:rsidP="00DA6940"/>
    <w:p w:rsidR="00DA6940" w:rsidRPr="005F15DA" w:rsidRDefault="00DA6940" w:rsidP="00DA6940"/>
    <w:p w:rsidR="005D70F9" w:rsidRPr="005F15DA" w:rsidRDefault="005D70F9" w:rsidP="00E36E8F">
      <w:pPr>
        <w:pStyle w:val="berschrift2"/>
      </w:pPr>
      <w:bookmarkStart w:id="3" w:name="_Toc432175531"/>
      <w:r w:rsidRPr="005F15DA">
        <w:t>I. Aufgaben und Stellung des Notars</w:t>
      </w:r>
      <w:bookmarkEnd w:id="3"/>
    </w:p>
    <w:p w:rsidR="00DA6940" w:rsidRPr="005F15DA" w:rsidRDefault="00DA6940" w:rsidP="00AD2C6A">
      <w:r w:rsidRPr="005F15DA">
        <w:t>____________________________________</w:t>
      </w:r>
      <w:r w:rsidR="00AD2C6A">
        <w:t>_________</w:t>
      </w:r>
    </w:p>
    <w:p w:rsidR="00DA6940" w:rsidRPr="005F15DA" w:rsidRDefault="00DA6940" w:rsidP="00DA6940">
      <w:pPr>
        <w:tabs>
          <w:tab w:val="left" w:pos="426"/>
        </w:tabs>
        <w:rPr>
          <w:bCs/>
          <w:szCs w:val="22"/>
        </w:rPr>
      </w:pPr>
    </w:p>
    <w:p w:rsidR="005D70F9" w:rsidRPr="005F15DA" w:rsidRDefault="005D70F9" w:rsidP="00DA6940">
      <w:pPr>
        <w:tabs>
          <w:tab w:val="left" w:pos="426"/>
        </w:tabs>
      </w:pPr>
      <w:r w:rsidRPr="005F15DA">
        <w:rPr>
          <w:bCs/>
          <w:szCs w:val="22"/>
        </w:rPr>
        <w:t>-</w:t>
      </w:r>
      <w:r w:rsidRPr="005F15DA">
        <w:rPr>
          <w:bCs/>
          <w:szCs w:val="22"/>
        </w:rPr>
        <w:tab/>
      </w:r>
      <w:r w:rsidRPr="005F15DA">
        <w:rPr>
          <w:bCs/>
          <w:spacing w:val="-3"/>
          <w:szCs w:val="22"/>
        </w:rPr>
        <w:t>Wo ist geregelt:</w:t>
      </w:r>
    </w:p>
    <w:p w:rsidR="005D70F9" w:rsidRPr="005F15DA" w:rsidRDefault="005D70F9" w:rsidP="009D34F3">
      <w:pPr>
        <w:widowControl w:val="0"/>
        <w:numPr>
          <w:ilvl w:val="0"/>
          <w:numId w:val="35"/>
        </w:numPr>
        <w:tabs>
          <w:tab w:val="left" w:pos="426"/>
        </w:tabs>
        <w:autoSpaceDE w:val="0"/>
        <w:autoSpaceDN w:val="0"/>
        <w:adjustRightInd w:val="0"/>
        <w:ind w:left="426"/>
        <w:rPr>
          <w:szCs w:val="22"/>
        </w:rPr>
      </w:pPr>
      <w:r w:rsidRPr="005F15DA">
        <w:rPr>
          <w:spacing w:val="-2"/>
          <w:szCs w:val="22"/>
        </w:rPr>
        <w:t>was öffentlich zu beurkunden ist?</w:t>
      </w:r>
    </w:p>
    <w:p w:rsidR="005D70F9" w:rsidRPr="005F15DA" w:rsidRDefault="005D70F9" w:rsidP="009D34F3">
      <w:pPr>
        <w:widowControl w:val="0"/>
        <w:numPr>
          <w:ilvl w:val="0"/>
          <w:numId w:val="35"/>
        </w:numPr>
        <w:tabs>
          <w:tab w:val="left" w:pos="426"/>
        </w:tabs>
        <w:autoSpaceDE w:val="0"/>
        <w:autoSpaceDN w:val="0"/>
        <w:adjustRightInd w:val="0"/>
        <w:ind w:left="426"/>
        <w:rPr>
          <w:szCs w:val="22"/>
        </w:rPr>
      </w:pPr>
      <w:r w:rsidRPr="005F15DA">
        <w:rPr>
          <w:spacing w:val="-1"/>
          <w:szCs w:val="22"/>
        </w:rPr>
        <w:t>wie die öffentliche Beurkundung durchzuführen ist?</w:t>
      </w:r>
    </w:p>
    <w:p w:rsidR="005D70F9" w:rsidRPr="005F15DA" w:rsidRDefault="005D70F9" w:rsidP="00DA6940">
      <w:pPr>
        <w:tabs>
          <w:tab w:val="left" w:pos="426"/>
        </w:tabs>
      </w:pPr>
      <w:r w:rsidRPr="005F15DA">
        <w:rPr>
          <w:szCs w:val="22"/>
        </w:rPr>
        <w:t>-</w:t>
      </w:r>
      <w:r w:rsidRPr="005F15DA">
        <w:rPr>
          <w:szCs w:val="22"/>
        </w:rPr>
        <w:tab/>
      </w:r>
      <w:r w:rsidRPr="005F15DA">
        <w:rPr>
          <w:bCs/>
          <w:spacing w:val="-4"/>
          <w:szCs w:val="22"/>
        </w:rPr>
        <w:t>Welches sind die Unterschiede zwischen:</w:t>
      </w:r>
    </w:p>
    <w:p w:rsidR="005D70F9" w:rsidRPr="005F15DA" w:rsidRDefault="005D70F9" w:rsidP="009D34F3">
      <w:pPr>
        <w:widowControl w:val="0"/>
        <w:numPr>
          <w:ilvl w:val="0"/>
          <w:numId w:val="35"/>
        </w:numPr>
        <w:tabs>
          <w:tab w:val="left" w:pos="426"/>
        </w:tabs>
        <w:autoSpaceDE w:val="0"/>
        <w:autoSpaceDN w:val="0"/>
        <w:adjustRightInd w:val="0"/>
        <w:ind w:left="426"/>
        <w:rPr>
          <w:szCs w:val="22"/>
        </w:rPr>
      </w:pPr>
      <w:r w:rsidRPr="005F15DA">
        <w:rPr>
          <w:spacing w:val="-2"/>
          <w:szCs w:val="22"/>
        </w:rPr>
        <w:t>Beamtennotariat / freiberuflichem Notariat?</w:t>
      </w:r>
    </w:p>
    <w:p w:rsidR="005D70F9" w:rsidRPr="005F15DA" w:rsidRDefault="005D70F9" w:rsidP="009D34F3">
      <w:pPr>
        <w:widowControl w:val="0"/>
        <w:numPr>
          <w:ilvl w:val="0"/>
          <w:numId w:val="35"/>
        </w:numPr>
        <w:tabs>
          <w:tab w:val="left" w:pos="426"/>
        </w:tabs>
        <w:autoSpaceDE w:val="0"/>
        <w:autoSpaceDN w:val="0"/>
        <w:adjustRightInd w:val="0"/>
        <w:ind w:left="426"/>
        <w:rPr>
          <w:szCs w:val="22"/>
        </w:rPr>
      </w:pPr>
      <w:r w:rsidRPr="005F15DA">
        <w:rPr>
          <w:spacing w:val="-5"/>
          <w:szCs w:val="22"/>
        </w:rPr>
        <w:t>Anwalt / Notar?</w:t>
      </w:r>
    </w:p>
    <w:p w:rsidR="005D70F9" w:rsidRPr="005F15DA" w:rsidRDefault="005D70F9" w:rsidP="00DA6940">
      <w:pPr>
        <w:tabs>
          <w:tab w:val="left" w:pos="426"/>
        </w:tabs>
      </w:pPr>
      <w:r w:rsidRPr="005F15DA">
        <w:rPr>
          <w:szCs w:val="22"/>
        </w:rPr>
        <w:t>-</w:t>
      </w:r>
      <w:r w:rsidRPr="005F15DA">
        <w:rPr>
          <w:szCs w:val="22"/>
        </w:rPr>
        <w:tab/>
      </w:r>
      <w:r w:rsidRPr="005F15DA">
        <w:rPr>
          <w:bCs/>
          <w:spacing w:val="-4"/>
          <w:szCs w:val="22"/>
        </w:rPr>
        <w:t>Welches sind die Tätigkeiten des Notars:</w:t>
      </w:r>
    </w:p>
    <w:p w:rsidR="005D70F9" w:rsidRPr="005F15DA" w:rsidRDefault="005D70F9" w:rsidP="009D34F3">
      <w:pPr>
        <w:widowControl w:val="0"/>
        <w:numPr>
          <w:ilvl w:val="0"/>
          <w:numId w:val="35"/>
        </w:numPr>
        <w:tabs>
          <w:tab w:val="left" w:pos="426"/>
        </w:tabs>
        <w:autoSpaceDE w:val="0"/>
        <w:autoSpaceDN w:val="0"/>
        <w:adjustRightInd w:val="0"/>
        <w:ind w:left="426"/>
        <w:rPr>
          <w:szCs w:val="22"/>
        </w:rPr>
      </w:pPr>
      <w:r w:rsidRPr="005F15DA">
        <w:rPr>
          <w:spacing w:val="-5"/>
          <w:szCs w:val="22"/>
        </w:rPr>
        <w:t>hauptberuflich?</w:t>
      </w:r>
    </w:p>
    <w:p w:rsidR="005D70F9" w:rsidRPr="005F15DA" w:rsidRDefault="005D70F9" w:rsidP="009D34F3">
      <w:pPr>
        <w:widowControl w:val="0"/>
        <w:numPr>
          <w:ilvl w:val="0"/>
          <w:numId w:val="35"/>
        </w:numPr>
        <w:tabs>
          <w:tab w:val="left" w:pos="426"/>
        </w:tabs>
        <w:autoSpaceDE w:val="0"/>
        <w:autoSpaceDN w:val="0"/>
        <w:adjustRightInd w:val="0"/>
        <w:ind w:left="426"/>
        <w:rPr>
          <w:szCs w:val="22"/>
        </w:rPr>
      </w:pPr>
      <w:r w:rsidRPr="005F15DA">
        <w:rPr>
          <w:spacing w:val="-5"/>
          <w:szCs w:val="22"/>
        </w:rPr>
        <w:t>nebenberuflich?</w:t>
      </w:r>
    </w:p>
    <w:p w:rsidR="005D70F9" w:rsidRPr="005F15DA" w:rsidRDefault="005D70F9" w:rsidP="00DA6940">
      <w:pPr>
        <w:tabs>
          <w:tab w:val="left" w:pos="426"/>
        </w:tabs>
        <w:rPr>
          <w:rFonts w:cs="Times New Roman"/>
          <w:sz w:val="2"/>
          <w:szCs w:val="2"/>
        </w:rPr>
      </w:pPr>
    </w:p>
    <w:p w:rsidR="005D70F9" w:rsidRPr="005F15DA" w:rsidRDefault="005D70F9" w:rsidP="009D34F3">
      <w:pPr>
        <w:widowControl w:val="0"/>
        <w:numPr>
          <w:ilvl w:val="0"/>
          <w:numId w:val="36"/>
        </w:numPr>
        <w:tabs>
          <w:tab w:val="left" w:pos="426"/>
        </w:tabs>
        <w:autoSpaceDE w:val="0"/>
        <w:autoSpaceDN w:val="0"/>
        <w:adjustRightInd w:val="0"/>
        <w:rPr>
          <w:szCs w:val="22"/>
        </w:rPr>
      </w:pPr>
      <w:r w:rsidRPr="005F15DA">
        <w:rPr>
          <w:bCs/>
          <w:spacing w:val="-3"/>
          <w:szCs w:val="22"/>
        </w:rPr>
        <w:t>Weshalb werden öffentliche Beurkundungen verlangt (Sinn und Zweck)?</w:t>
      </w:r>
    </w:p>
    <w:p w:rsidR="005D70F9" w:rsidRPr="005F15DA" w:rsidRDefault="005D70F9" w:rsidP="009D34F3">
      <w:pPr>
        <w:widowControl w:val="0"/>
        <w:numPr>
          <w:ilvl w:val="0"/>
          <w:numId w:val="36"/>
        </w:numPr>
        <w:tabs>
          <w:tab w:val="left" w:pos="426"/>
        </w:tabs>
        <w:autoSpaceDE w:val="0"/>
        <w:autoSpaceDN w:val="0"/>
        <w:adjustRightInd w:val="0"/>
        <w:rPr>
          <w:bCs/>
          <w:szCs w:val="22"/>
        </w:rPr>
      </w:pPr>
      <w:r w:rsidRPr="005F15DA">
        <w:rPr>
          <w:bCs/>
          <w:spacing w:val="-4"/>
          <w:szCs w:val="22"/>
        </w:rPr>
        <w:t>Welches sind die Berufspflichten des Notars?</w:t>
      </w:r>
    </w:p>
    <w:p w:rsidR="005D70F9" w:rsidRPr="005F15DA" w:rsidRDefault="005D70F9" w:rsidP="009D34F3">
      <w:pPr>
        <w:widowControl w:val="0"/>
        <w:numPr>
          <w:ilvl w:val="0"/>
          <w:numId w:val="36"/>
        </w:numPr>
        <w:tabs>
          <w:tab w:val="left" w:pos="426"/>
        </w:tabs>
        <w:autoSpaceDE w:val="0"/>
        <w:autoSpaceDN w:val="0"/>
        <w:adjustRightInd w:val="0"/>
        <w:rPr>
          <w:bCs/>
          <w:szCs w:val="22"/>
        </w:rPr>
      </w:pPr>
      <w:r w:rsidRPr="005F15DA">
        <w:rPr>
          <w:bCs/>
          <w:spacing w:val="-2"/>
          <w:szCs w:val="22"/>
        </w:rPr>
        <w:t>Wo darf der Notar beurkunden und für welche Rechtsgeschäfte ist er zuständig?</w:t>
      </w:r>
    </w:p>
    <w:p w:rsidR="00F52B0B" w:rsidRDefault="00F52B0B" w:rsidP="00F52B0B">
      <w:pPr>
        <w:widowControl w:val="0"/>
        <w:tabs>
          <w:tab w:val="left" w:pos="426"/>
        </w:tabs>
        <w:autoSpaceDE w:val="0"/>
        <w:autoSpaceDN w:val="0"/>
        <w:adjustRightInd w:val="0"/>
        <w:rPr>
          <w:bCs/>
          <w:spacing w:val="-2"/>
          <w:szCs w:val="22"/>
        </w:rPr>
      </w:pPr>
    </w:p>
    <w:p w:rsidR="005F7786" w:rsidRPr="005F15DA" w:rsidRDefault="005F7786" w:rsidP="00F52B0B">
      <w:pPr>
        <w:widowControl w:val="0"/>
        <w:tabs>
          <w:tab w:val="left" w:pos="426"/>
        </w:tabs>
        <w:autoSpaceDE w:val="0"/>
        <w:autoSpaceDN w:val="0"/>
        <w:adjustRightInd w:val="0"/>
        <w:rPr>
          <w:bCs/>
          <w:spacing w:val="-2"/>
          <w:szCs w:val="22"/>
        </w:rPr>
      </w:pPr>
    </w:p>
    <w:p w:rsidR="00F52B0B" w:rsidRPr="005F15DA" w:rsidRDefault="00F52B0B" w:rsidP="00F52B0B">
      <w:pPr>
        <w:widowControl w:val="0"/>
        <w:tabs>
          <w:tab w:val="left" w:pos="426"/>
        </w:tabs>
        <w:autoSpaceDE w:val="0"/>
        <w:autoSpaceDN w:val="0"/>
        <w:adjustRightInd w:val="0"/>
        <w:rPr>
          <w:bCs/>
          <w:szCs w:val="22"/>
        </w:rPr>
      </w:pPr>
    </w:p>
    <w:p w:rsidR="005D70F9" w:rsidRPr="005F15DA" w:rsidRDefault="005D70F9" w:rsidP="005759BE">
      <w:pPr>
        <w:pStyle w:val="berschrift3"/>
        <w:rPr>
          <w:lang w:val="de-CH"/>
        </w:rPr>
      </w:pPr>
      <w:bookmarkStart w:id="4" w:name="_Toc432175532"/>
      <w:r w:rsidRPr="005F15DA">
        <w:rPr>
          <w:lang w:val="de-CH"/>
        </w:rPr>
        <w:t>A.</w:t>
      </w:r>
      <w:r w:rsidRPr="005F15DA">
        <w:rPr>
          <w:lang w:val="de-CH"/>
        </w:rPr>
        <w:tab/>
        <w:t>Gesetzliche Grundlagen für das bernische Notariat</w:t>
      </w:r>
      <w:bookmarkEnd w:id="4"/>
    </w:p>
    <w:p w:rsidR="00F52B0B" w:rsidRPr="005F15DA" w:rsidRDefault="00F52B0B" w:rsidP="00F52B0B">
      <w:pPr>
        <w:rPr>
          <w:spacing w:val="-22"/>
        </w:rPr>
      </w:pPr>
    </w:p>
    <w:p w:rsidR="005D70F9" w:rsidRPr="005F15DA" w:rsidRDefault="005D70F9" w:rsidP="00F52B0B">
      <w:pPr>
        <w:pStyle w:val="berschrift4"/>
      </w:pPr>
      <w:r w:rsidRPr="005F15DA">
        <w:rPr>
          <w:spacing w:val="-22"/>
        </w:rPr>
        <w:t>1.</w:t>
      </w:r>
      <w:r w:rsidRPr="005F15DA">
        <w:tab/>
        <w:t>Zuständigkeit für öffentliche Beurkundung im Kanton Bern</w:t>
      </w:r>
    </w:p>
    <w:p w:rsidR="005D70F9" w:rsidRPr="005F15DA" w:rsidRDefault="005D70F9" w:rsidP="00F52B0B">
      <w:pPr>
        <w:ind w:left="426"/>
      </w:pPr>
      <w:r w:rsidRPr="005F15DA">
        <w:rPr>
          <w:spacing w:val="-1"/>
          <w:szCs w:val="22"/>
        </w:rPr>
        <w:t>ZGB Schlusstitel Art. 55: Die Kantone bestimmen, in welcher Weise auf ihrem Gebiet die öffentliche Beurkundung hergestellt wird</w:t>
      </w:r>
    </w:p>
    <w:p w:rsidR="005D70F9" w:rsidRPr="005F15DA" w:rsidRDefault="005D70F9" w:rsidP="00F52B0B">
      <w:pPr>
        <w:ind w:left="426"/>
      </w:pPr>
      <w:r w:rsidRPr="005F15DA">
        <w:rPr>
          <w:spacing w:val="-3"/>
          <w:szCs w:val="22"/>
        </w:rPr>
        <w:t>EGzZGB Art. 11: Zuständigkeit des Notars zur öffentlichen Beurkundung</w:t>
      </w:r>
    </w:p>
    <w:p w:rsidR="00F52B0B" w:rsidRPr="005F15DA" w:rsidRDefault="00F52B0B" w:rsidP="00F52B0B">
      <w:pPr>
        <w:rPr>
          <w:spacing w:val="-9"/>
          <w:szCs w:val="22"/>
        </w:rPr>
      </w:pPr>
    </w:p>
    <w:p w:rsidR="00F52B0B" w:rsidRPr="005F15DA" w:rsidRDefault="00F52B0B" w:rsidP="00F52B0B">
      <w:pPr>
        <w:rPr>
          <w:spacing w:val="-9"/>
          <w:szCs w:val="22"/>
        </w:rPr>
      </w:pPr>
    </w:p>
    <w:p w:rsidR="005D70F9" w:rsidRPr="005F15DA" w:rsidRDefault="005D70F9" w:rsidP="00F52B0B">
      <w:pPr>
        <w:pStyle w:val="berschrift4"/>
      </w:pPr>
      <w:r w:rsidRPr="005F15DA">
        <w:rPr>
          <w:spacing w:val="-9"/>
        </w:rPr>
        <w:t>2.</w:t>
      </w:r>
      <w:r w:rsidRPr="005F15DA">
        <w:tab/>
        <w:t>Gesetzliche Grundlagen für die Berufsausübung der be</w:t>
      </w:r>
      <w:r w:rsidR="00F52B0B" w:rsidRPr="005F15DA">
        <w:t>rn</w:t>
      </w:r>
      <w:r w:rsidRPr="005F15DA">
        <w:t>ischen Notare</w:t>
      </w:r>
    </w:p>
    <w:p w:rsidR="005D70F9" w:rsidRPr="005F15DA" w:rsidRDefault="005D70F9" w:rsidP="00F52B0B">
      <w:pPr>
        <w:ind w:left="426"/>
      </w:pPr>
      <w:r w:rsidRPr="005F15DA">
        <w:t>Gesetz betreffend die Einführung des Schweizerischen Zivilgesetzbuches vom 28.05.1911 (EGzZGB), BSG 211.1)</w:t>
      </w:r>
    </w:p>
    <w:p w:rsidR="005D70F9" w:rsidRPr="005F15DA" w:rsidRDefault="005D70F9" w:rsidP="00F52B0B">
      <w:pPr>
        <w:ind w:left="426"/>
      </w:pPr>
      <w:r w:rsidRPr="005F15DA">
        <w:rPr>
          <w:szCs w:val="22"/>
        </w:rPr>
        <w:t>Notariatsgesetz vom 22.11.2005 (NG, BSG 169.11)</w:t>
      </w:r>
    </w:p>
    <w:p w:rsidR="005D70F9" w:rsidRPr="005F15DA" w:rsidRDefault="005D70F9" w:rsidP="00F52B0B">
      <w:pPr>
        <w:ind w:left="426"/>
      </w:pPr>
      <w:r w:rsidRPr="005F15DA">
        <w:rPr>
          <w:spacing w:val="-9"/>
          <w:szCs w:val="22"/>
        </w:rPr>
        <w:t>Notariatsverordnung vom 26.04.2006 (NV, BSG 169.112)</w:t>
      </w:r>
    </w:p>
    <w:p w:rsidR="005D70F9" w:rsidRPr="005F15DA" w:rsidRDefault="005D70F9" w:rsidP="00F52B0B">
      <w:pPr>
        <w:ind w:left="426"/>
      </w:pPr>
      <w:r w:rsidRPr="005F15DA">
        <w:rPr>
          <w:szCs w:val="22"/>
        </w:rPr>
        <w:t>Verordnung über die Notariatsgebühren vom 26.04.2006 (GebVN, BSG 169.81)</w:t>
      </w:r>
    </w:p>
    <w:p w:rsidR="005D70F9" w:rsidRPr="005F15DA" w:rsidRDefault="005D70F9" w:rsidP="00F52B0B">
      <w:pPr>
        <w:ind w:left="426"/>
        <w:rPr>
          <w:szCs w:val="22"/>
        </w:rPr>
      </w:pPr>
      <w:r w:rsidRPr="005F15DA">
        <w:rPr>
          <w:szCs w:val="22"/>
        </w:rPr>
        <w:t>Verordnung über die Errichtung des Inventars vom 18.10.2000 (BSG 214.431.1)</w:t>
      </w:r>
    </w:p>
    <w:p w:rsidR="005D70F9" w:rsidRPr="005F15DA" w:rsidRDefault="005D70F9" w:rsidP="00F52B0B"/>
    <w:p w:rsidR="00F52B0B" w:rsidRPr="005F15DA" w:rsidRDefault="00F52B0B" w:rsidP="00F52B0B"/>
    <w:p w:rsidR="00F52B0B" w:rsidRPr="005F15DA" w:rsidRDefault="00F52B0B" w:rsidP="00F52B0B"/>
    <w:p w:rsidR="005F7786" w:rsidRDefault="005F7786">
      <w:pPr>
        <w:spacing w:after="200"/>
        <w:rPr>
          <w:rFonts w:eastAsia="Times New Roman" w:cs="Arial"/>
          <w:b/>
          <w:bCs/>
          <w:color w:val="000000" w:themeColor="text1"/>
          <w:spacing w:val="-26"/>
          <w:sz w:val="28"/>
          <w:szCs w:val="28"/>
          <w:lang w:eastAsia="de-DE"/>
        </w:rPr>
      </w:pPr>
      <w:r>
        <w:rPr>
          <w:spacing w:val="-26"/>
        </w:rPr>
        <w:br w:type="page"/>
      </w:r>
    </w:p>
    <w:p w:rsidR="005D70F9" w:rsidRPr="005F15DA" w:rsidRDefault="005D70F9" w:rsidP="005759BE">
      <w:pPr>
        <w:pStyle w:val="berschrift3"/>
        <w:rPr>
          <w:lang w:val="de-CH"/>
        </w:rPr>
      </w:pPr>
      <w:bookmarkStart w:id="5" w:name="_Toc432175533"/>
      <w:r w:rsidRPr="005F15DA">
        <w:rPr>
          <w:spacing w:val="-26"/>
          <w:lang w:val="de-CH"/>
        </w:rPr>
        <w:lastRenderedPageBreak/>
        <w:t>B.</w:t>
      </w:r>
      <w:r w:rsidRPr="005F15DA">
        <w:rPr>
          <w:lang w:val="de-CH"/>
        </w:rPr>
        <w:tab/>
        <w:t>Stellung des bernischen Notars</w:t>
      </w:r>
      <w:bookmarkEnd w:id="5"/>
    </w:p>
    <w:p w:rsidR="00F52B0B" w:rsidRPr="005F15DA" w:rsidRDefault="00F52B0B" w:rsidP="00F52B0B">
      <w:pPr>
        <w:rPr>
          <w:spacing w:val="-22"/>
          <w:szCs w:val="22"/>
        </w:rPr>
      </w:pPr>
    </w:p>
    <w:p w:rsidR="005D70F9" w:rsidRPr="005F15DA" w:rsidRDefault="005D70F9" w:rsidP="00F52B0B">
      <w:pPr>
        <w:pStyle w:val="berschrift4"/>
      </w:pPr>
      <w:r w:rsidRPr="005F15DA">
        <w:rPr>
          <w:spacing w:val="-22"/>
        </w:rPr>
        <w:t>1.</w:t>
      </w:r>
      <w:r w:rsidRPr="005F15DA">
        <w:tab/>
        <w:t>Freier Beruf</w:t>
      </w:r>
    </w:p>
    <w:p w:rsidR="005D70F9" w:rsidRPr="005F15DA" w:rsidRDefault="005D70F9" w:rsidP="00F52B0B">
      <w:pPr>
        <w:ind w:left="426"/>
        <w:rPr>
          <w:spacing w:val="-2"/>
        </w:rPr>
      </w:pPr>
      <w:r w:rsidRPr="005F15DA">
        <w:rPr>
          <w:spacing w:val="-2"/>
          <w:szCs w:val="22"/>
        </w:rPr>
        <w:t>Das Gesetz verlangt zur Gültigkeit etlicher Rechtsgeschäfte die öffentliche Beurkundung, so z.B. für den Kauf einer Liegenschaft (Art. 216 OR), den Abschluss eines Ehevertrages (Art. 184 ZGB), oder die Gründung einer Aktiengesellschaft (Art. 629 Abs. 1 OR). Die Au</w:t>
      </w:r>
      <w:r w:rsidRPr="005F15DA">
        <w:rPr>
          <w:spacing w:val="-2"/>
          <w:szCs w:val="22"/>
        </w:rPr>
        <w:t>s</w:t>
      </w:r>
      <w:r w:rsidRPr="005F15DA">
        <w:rPr>
          <w:spacing w:val="-2"/>
          <w:szCs w:val="22"/>
        </w:rPr>
        <w:t>gestaltung und die Durchführung der öffentlichen Beurkundung ist eine kantonale Angel</w:t>
      </w:r>
      <w:r w:rsidRPr="005F15DA">
        <w:rPr>
          <w:spacing w:val="-2"/>
          <w:szCs w:val="22"/>
        </w:rPr>
        <w:t>e</w:t>
      </w:r>
      <w:r w:rsidRPr="005F15DA">
        <w:rPr>
          <w:spacing w:val="-2"/>
          <w:szCs w:val="22"/>
        </w:rPr>
        <w:t>genheit. Die Kantone haben die öffentliche Beurkundung hauptsächlich einem Notar übe</w:t>
      </w:r>
      <w:r w:rsidRPr="005F15DA">
        <w:rPr>
          <w:spacing w:val="-2"/>
          <w:szCs w:val="22"/>
        </w:rPr>
        <w:t>r</w:t>
      </w:r>
      <w:r w:rsidRPr="005F15DA">
        <w:rPr>
          <w:spacing w:val="-2"/>
          <w:szCs w:val="22"/>
        </w:rPr>
        <w:t>tragen. Die Stellung des Notars ist von Kanton zu Kanton verschieden.</w:t>
      </w:r>
    </w:p>
    <w:p w:rsidR="005D70F9" w:rsidRPr="005F15DA" w:rsidRDefault="005D70F9" w:rsidP="00F52B0B">
      <w:pPr>
        <w:ind w:left="426"/>
        <w:rPr>
          <w:spacing w:val="-2"/>
        </w:rPr>
      </w:pPr>
      <w:r w:rsidRPr="005F15DA">
        <w:rPr>
          <w:spacing w:val="-2"/>
          <w:szCs w:val="22"/>
        </w:rPr>
        <w:t>Im Kanton Bern (sowie z.B. den Kantonen AG, VD, GE, VS, NE) ist das Notariat freiberu</w:t>
      </w:r>
      <w:r w:rsidRPr="005F15DA">
        <w:rPr>
          <w:spacing w:val="-2"/>
          <w:szCs w:val="22"/>
        </w:rPr>
        <w:t>f</w:t>
      </w:r>
      <w:r w:rsidRPr="005F15DA">
        <w:rPr>
          <w:spacing w:val="-2"/>
          <w:szCs w:val="22"/>
        </w:rPr>
        <w:t>lich organisiert, d.h. der Notar übt seine Tätigkeit auf eigene Rechnung und auf eigenes R</w:t>
      </w:r>
      <w:r w:rsidRPr="005F15DA">
        <w:rPr>
          <w:spacing w:val="-2"/>
          <w:szCs w:val="22"/>
        </w:rPr>
        <w:t>i</w:t>
      </w:r>
      <w:r w:rsidRPr="005F15DA">
        <w:rPr>
          <w:spacing w:val="-2"/>
          <w:szCs w:val="22"/>
        </w:rPr>
        <w:t>siko aus. Trotzdem nimmt der bernische Notar beim Beurkundungsverfahren eine staatl</w:t>
      </w:r>
      <w:r w:rsidRPr="005F15DA">
        <w:rPr>
          <w:spacing w:val="-2"/>
          <w:szCs w:val="22"/>
        </w:rPr>
        <w:t>i</w:t>
      </w:r>
      <w:r w:rsidRPr="005F15DA">
        <w:rPr>
          <w:spacing w:val="-2"/>
          <w:szCs w:val="22"/>
        </w:rPr>
        <w:t>che Funktion wahr.</w:t>
      </w:r>
    </w:p>
    <w:p w:rsidR="005D70F9" w:rsidRPr="005F15DA" w:rsidRDefault="005D70F9" w:rsidP="00F52B0B">
      <w:pPr>
        <w:ind w:left="426"/>
        <w:rPr>
          <w:spacing w:val="-2"/>
          <w:szCs w:val="22"/>
        </w:rPr>
      </w:pPr>
      <w:r w:rsidRPr="005F15DA">
        <w:rPr>
          <w:spacing w:val="-2"/>
          <w:szCs w:val="22"/>
        </w:rPr>
        <w:t>In verschiedenen Kantonen (z.B. ZH, OW, SH, AI, AR) wird hingegen die öffentliche Beu</w:t>
      </w:r>
      <w:r w:rsidRPr="005F15DA">
        <w:rPr>
          <w:spacing w:val="-2"/>
          <w:szCs w:val="22"/>
        </w:rPr>
        <w:t>r</w:t>
      </w:r>
      <w:r w:rsidRPr="005F15DA">
        <w:rPr>
          <w:spacing w:val="-2"/>
          <w:szCs w:val="22"/>
        </w:rPr>
        <w:t>kundung Beamten übertragen, welche in ihr Amt gewählt werden (= Beamtennotariat).</w:t>
      </w:r>
    </w:p>
    <w:p w:rsidR="005D70F9" w:rsidRPr="005F15DA" w:rsidRDefault="005D70F9" w:rsidP="00F52B0B">
      <w:pPr>
        <w:ind w:left="426"/>
        <w:rPr>
          <w:spacing w:val="-2"/>
        </w:rPr>
      </w:pPr>
      <w:r w:rsidRPr="005F15DA">
        <w:rPr>
          <w:spacing w:val="-2"/>
          <w:szCs w:val="22"/>
        </w:rPr>
        <w:t>Weiter gibt es auch Mischformen (SO, GR, ZG, SG, BL); in diesen Kantonen sind meist nur die Amtsnotariate für Grundbuchgeschäfte zuständig; im Kanton GR dürfen die Notare alle Beurkundungen durchführen, daneben gibt es aber zusätzlich Amtsnotare.</w:t>
      </w:r>
    </w:p>
    <w:p w:rsidR="00F52B0B" w:rsidRPr="005F15DA" w:rsidRDefault="00F52B0B" w:rsidP="00F52B0B">
      <w:pPr>
        <w:rPr>
          <w:spacing w:val="-11"/>
          <w:szCs w:val="22"/>
        </w:rPr>
      </w:pPr>
    </w:p>
    <w:p w:rsidR="00F52B0B" w:rsidRPr="005F15DA" w:rsidRDefault="00F52B0B" w:rsidP="00F52B0B">
      <w:pPr>
        <w:rPr>
          <w:spacing w:val="-11"/>
          <w:szCs w:val="22"/>
        </w:rPr>
      </w:pPr>
    </w:p>
    <w:p w:rsidR="005D70F9" w:rsidRPr="005F15DA" w:rsidRDefault="005D70F9" w:rsidP="00F52B0B">
      <w:pPr>
        <w:pStyle w:val="berschrift4"/>
      </w:pPr>
      <w:r w:rsidRPr="005F15DA">
        <w:rPr>
          <w:spacing w:val="-11"/>
        </w:rPr>
        <w:t>2.</w:t>
      </w:r>
      <w:r w:rsidRPr="005F15DA">
        <w:tab/>
        <w:t>Unterschied zwischen Notar und Anwalt</w:t>
      </w:r>
    </w:p>
    <w:p w:rsidR="005D70F9" w:rsidRPr="005F15DA" w:rsidRDefault="005D70F9" w:rsidP="00F52B0B">
      <w:pPr>
        <w:tabs>
          <w:tab w:val="left" w:pos="3261"/>
          <w:tab w:val="left" w:pos="6096"/>
        </w:tabs>
        <w:ind w:left="426"/>
        <w:rPr>
          <w:spacing w:val="-2"/>
          <w:szCs w:val="22"/>
        </w:rPr>
      </w:pPr>
      <w:r w:rsidRPr="005F15DA">
        <w:rPr>
          <w:spacing w:val="-2"/>
          <w:szCs w:val="22"/>
        </w:rPr>
        <w:t>Werden Handlungen vor dem Richter ausgetragen, spricht man von streitiger Gerichtsba</w:t>
      </w:r>
      <w:r w:rsidRPr="005F15DA">
        <w:rPr>
          <w:spacing w:val="-2"/>
          <w:szCs w:val="22"/>
        </w:rPr>
        <w:t>r</w:t>
      </w:r>
      <w:r w:rsidRPr="005F15DA">
        <w:rPr>
          <w:spacing w:val="-2"/>
          <w:szCs w:val="22"/>
        </w:rPr>
        <w:t>keit.</w:t>
      </w:r>
    </w:p>
    <w:p w:rsidR="005D70F9" w:rsidRPr="005F15DA" w:rsidRDefault="005D70F9" w:rsidP="00F52B0B">
      <w:pPr>
        <w:tabs>
          <w:tab w:val="left" w:pos="3261"/>
          <w:tab w:val="left" w:pos="6096"/>
        </w:tabs>
        <w:ind w:left="426"/>
        <w:rPr>
          <w:spacing w:val="-2"/>
          <w:szCs w:val="22"/>
        </w:rPr>
      </w:pPr>
      <w:r w:rsidRPr="005F15DA">
        <w:rPr>
          <w:spacing w:val="-2"/>
          <w:szCs w:val="22"/>
        </w:rPr>
        <w:t>Zahlreiche Rechtsgeschäfte erfolgen jedoch ohne Mitwirkung von Gerichten, d.h. freiwillig. Sofern bei solchen Rechtsgeschäften die öffentliche Beurkundung vorgeschrieben ist, spricht man von freiwilliger oder nichtstreitiger Gerichtsbarkeit.</w:t>
      </w:r>
    </w:p>
    <w:p w:rsidR="005D70F9" w:rsidRPr="005F15DA" w:rsidRDefault="005D70F9" w:rsidP="00F52B0B">
      <w:pPr>
        <w:tabs>
          <w:tab w:val="left" w:pos="3261"/>
          <w:tab w:val="left" w:pos="6096"/>
        </w:tabs>
        <w:ind w:left="426"/>
      </w:pPr>
      <w:r w:rsidRPr="005F15DA">
        <w:rPr>
          <w:spacing w:val="-8"/>
          <w:szCs w:val="22"/>
        </w:rPr>
        <w:t>Beispiele:</w:t>
      </w:r>
    </w:p>
    <w:p w:rsidR="005D70F9" w:rsidRPr="005F15DA" w:rsidRDefault="005D70F9" w:rsidP="00F52B0B">
      <w:pPr>
        <w:tabs>
          <w:tab w:val="left" w:pos="3261"/>
          <w:tab w:val="left" w:pos="6096"/>
        </w:tabs>
        <w:ind w:left="426"/>
        <w:rPr>
          <w:spacing w:val="-2"/>
        </w:rPr>
      </w:pPr>
      <w:r w:rsidRPr="005F15DA">
        <w:rPr>
          <w:spacing w:val="-2"/>
          <w:szCs w:val="22"/>
        </w:rPr>
        <w:tab/>
        <w:t>Notar:</w:t>
      </w:r>
      <w:r w:rsidRPr="005F15DA">
        <w:rPr>
          <w:spacing w:val="-2"/>
          <w:szCs w:val="22"/>
        </w:rPr>
        <w:tab/>
        <w:t>Anwalt:</w:t>
      </w:r>
    </w:p>
    <w:p w:rsidR="005D70F9" w:rsidRPr="005F15DA" w:rsidRDefault="005D70F9" w:rsidP="00F52B0B">
      <w:pPr>
        <w:tabs>
          <w:tab w:val="left" w:pos="3261"/>
          <w:tab w:val="left" w:pos="6096"/>
        </w:tabs>
        <w:ind w:left="426"/>
        <w:rPr>
          <w:spacing w:val="-2"/>
        </w:rPr>
      </w:pPr>
      <w:r w:rsidRPr="005F15DA">
        <w:rPr>
          <w:spacing w:val="-2"/>
          <w:szCs w:val="22"/>
        </w:rPr>
        <w:t>hauptberufliche Tätigkeit:</w:t>
      </w:r>
      <w:r w:rsidRPr="005F15DA">
        <w:rPr>
          <w:spacing w:val="-2"/>
          <w:szCs w:val="22"/>
        </w:rPr>
        <w:tab/>
        <w:t>nichtstreitige</w:t>
      </w:r>
      <w:r w:rsidRPr="005F15DA">
        <w:rPr>
          <w:spacing w:val="-2"/>
          <w:szCs w:val="22"/>
        </w:rPr>
        <w:tab/>
        <w:t>streitige</w:t>
      </w:r>
    </w:p>
    <w:p w:rsidR="005D70F9" w:rsidRPr="005F15DA" w:rsidRDefault="005D70F9" w:rsidP="00F52B0B">
      <w:pPr>
        <w:tabs>
          <w:tab w:val="left" w:pos="3261"/>
          <w:tab w:val="left" w:pos="6096"/>
        </w:tabs>
        <w:ind w:left="426"/>
        <w:rPr>
          <w:spacing w:val="-2"/>
        </w:rPr>
      </w:pPr>
      <w:r w:rsidRPr="005F15DA">
        <w:rPr>
          <w:spacing w:val="-2"/>
          <w:szCs w:val="22"/>
        </w:rPr>
        <w:tab/>
        <w:t>Gerichtsbarkeit</w:t>
      </w:r>
      <w:r w:rsidRPr="005F15DA">
        <w:rPr>
          <w:spacing w:val="-2"/>
          <w:szCs w:val="22"/>
        </w:rPr>
        <w:tab/>
      </w:r>
      <w:proofErr w:type="spellStart"/>
      <w:r w:rsidRPr="005F15DA">
        <w:rPr>
          <w:spacing w:val="-2"/>
          <w:szCs w:val="22"/>
        </w:rPr>
        <w:t>Gerichtsbarkeit</w:t>
      </w:r>
      <w:proofErr w:type="spellEnd"/>
    </w:p>
    <w:p w:rsidR="005D70F9" w:rsidRPr="005F15DA" w:rsidRDefault="005D70F9" w:rsidP="00F52B0B">
      <w:pPr>
        <w:tabs>
          <w:tab w:val="left" w:pos="3261"/>
          <w:tab w:val="left" w:pos="6096"/>
        </w:tabs>
        <w:ind w:left="426"/>
        <w:rPr>
          <w:spacing w:val="-2"/>
        </w:rPr>
      </w:pPr>
      <w:r w:rsidRPr="005F15DA">
        <w:rPr>
          <w:spacing w:val="-2"/>
          <w:szCs w:val="22"/>
        </w:rPr>
        <w:tab/>
        <w:t>(öffentliche Beurkundung)</w:t>
      </w:r>
      <w:r w:rsidRPr="005F15DA">
        <w:rPr>
          <w:spacing w:val="-2"/>
          <w:szCs w:val="22"/>
        </w:rPr>
        <w:tab/>
        <w:t>(Führen von Prozessen)</w:t>
      </w:r>
    </w:p>
    <w:p w:rsidR="005D70F9" w:rsidRPr="005F15DA" w:rsidRDefault="005D70F9" w:rsidP="00F52B0B">
      <w:pPr>
        <w:tabs>
          <w:tab w:val="left" w:pos="3261"/>
          <w:tab w:val="left" w:pos="6096"/>
        </w:tabs>
        <w:ind w:left="426"/>
        <w:rPr>
          <w:spacing w:val="-2"/>
        </w:rPr>
      </w:pPr>
      <w:r w:rsidRPr="005F15DA">
        <w:rPr>
          <w:spacing w:val="-2"/>
          <w:szCs w:val="22"/>
        </w:rPr>
        <w:t>weitere Tätigkeiten:</w:t>
      </w:r>
      <w:r w:rsidRPr="005F15DA">
        <w:rPr>
          <w:spacing w:val="-2"/>
          <w:szCs w:val="22"/>
        </w:rPr>
        <w:tab/>
        <w:t>Rechtsberatung</w:t>
      </w:r>
      <w:r w:rsidRPr="005F15DA">
        <w:rPr>
          <w:spacing w:val="-2"/>
          <w:szCs w:val="22"/>
        </w:rPr>
        <w:tab/>
      </w:r>
      <w:proofErr w:type="spellStart"/>
      <w:r w:rsidRPr="005F15DA">
        <w:rPr>
          <w:spacing w:val="-2"/>
          <w:szCs w:val="22"/>
        </w:rPr>
        <w:t>Rechtsberatung</w:t>
      </w:r>
      <w:proofErr w:type="spellEnd"/>
    </w:p>
    <w:p w:rsidR="005D70F9" w:rsidRPr="005F15DA" w:rsidRDefault="00FC6EBD" w:rsidP="00F52B0B">
      <w:pPr>
        <w:tabs>
          <w:tab w:val="left" w:pos="3261"/>
          <w:tab w:val="left" w:pos="6096"/>
        </w:tabs>
        <w:ind w:left="426"/>
        <w:rPr>
          <w:spacing w:val="-2"/>
        </w:rPr>
      </w:pPr>
      <w:r>
        <w:rPr>
          <w:spacing w:val="-2"/>
          <w:szCs w:val="22"/>
        </w:rPr>
        <w:tab/>
      </w:r>
      <w:r w:rsidR="005D70F9" w:rsidRPr="005F15DA">
        <w:rPr>
          <w:spacing w:val="-2"/>
          <w:szCs w:val="22"/>
        </w:rPr>
        <w:t>Verwaltung</w:t>
      </w:r>
      <w:r w:rsidR="005D70F9" w:rsidRPr="005F15DA">
        <w:rPr>
          <w:spacing w:val="-2"/>
          <w:szCs w:val="22"/>
        </w:rPr>
        <w:tab/>
      </w:r>
      <w:proofErr w:type="spellStart"/>
      <w:r w:rsidR="005D70F9" w:rsidRPr="005F15DA">
        <w:rPr>
          <w:spacing w:val="-2"/>
          <w:szCs w:val="22"/>
        </w:rPr>
        <w:t>Verwaltung</w:t>
      </w:r>
      <w:proofErr w:type="spellEnd"/>
    </w:p>
    <w:p w:rsidR="005D70F9" w:rsidRPr="005F15DA" w:rsidRDefault="00FC6EBD" w:rsidP="00F52B0B">
      <w:pPr>
        <w:tabs>
          <w:tab w:val="left" w:pos="3261"/>
          <w:tab w:val="left" w:pos="6096"/>
        </w:tabs>
        <w:ind w:left="426"/>
        <w:rPr>
          <w:spacing w:val="-2"/>
          <w:szCs w:val="22"/>
        </w:rPr>
      </w:pPr>
      <w:r>
        <w:rPr>
          <w:spacing w:val="-2"/>
          <w:szCs w:val="22"/>
        </w:rPr>
        <w:tab/>
      </w:r>
      <w:r w:rsidR="005D70F9" w:rsidRPr="005F15DA">
        <w:rPr>
          <w:spacing w:val="-2"/>
          <w:szCs w:val="22"/>
        </w:rPr>
        <w:t>Treuhand</w:t>
      </w:r>
      <w:r w:rsidR="005D70F9" w:rsidRPr="005F15DA">
        <w:rPr>
          <w:spacing w:val="-2"/>
          <w:szCs w:val="22"/>
        </w:rPr>
        <w:tab/>
      </w:r>
      <w:proofErr w:type="spellStart"/>
      <w:r w:rsidR="005D70F9" w:rsidRPr="005F15DA">
        <w:rPr>
          <w:spacing w:val="-2"/>
          <w:szCs w:val="22"/>
        </w:rPr>
        <w:t>Treuhand</w:t>
      </w:r>
      <w:proofErr w:type="spellEnd"/>
    </w:p>
    <w:p w:rsidR="00F52B0B" w:rsidRPr="005F15DA" w:rsidRDefault="00F52B0B" w:rsidP="00F52B0B">
      <w:pPr>
        <w:rPr>
          <w:spacing w:val="-2"/>
          <w:szCs w:val="22"/>
        </w:rPr>
      </w:pPr>
    </w:p>
    <w:p w:rsidR="00F52B0B" w:rsidRPr="005F15DA" w:rsidRDefault="00F52B0B" w:rsidP="00F52B0B">
      <w:pPr>
        <w:rPr>
          <w:spacing w:val="-2"/>
          <w:szCs w:val="22"/>
        </w:rPr>
      </w:pPr>
    </w:p>
    <w:p w:rsidR="00F52B0B" w:rsidRPr="005F15DA" w:rsidRDefault="00F52B0B" w:rsidP="00F52B0B">
      <w:pPr>
        <w:rPr>
          <w:spacing w:val="-2"/>
        </w:rPr>
      </w:pPr>
    </w:p>
    <w:p w:rsidR="005D70F9" w:rsidRPr="005F15DA" w:rsidRDefault="005D70F9" w:rsidP="005759BE">
      <w:pPr>
        <w:pStyle w:val="berschrift3"/>
        <w:rPr>
          <w:lang w:val="de-CH"/>
        </w:rPr>
      </w:pPr>
      <w:bookmarkStart w:id="6" w:name="_Toc432175534"/>
      <w:r w:rsidRPr="005F15DA">
        <w:rPr>
          <w:spacing w:val="-19"/>
          <w:lang w:val="de-CH"/>
        </w:rPr>
        <w:t>C.</w:t>
      </w:r>
      <w:r w:rsidRPr="005F15DA">
        <w:rPr>
          <w:lang w:val="de-CH"/>
        </w:rPr>
        <w:tab/>
        <w:t>Voraussetzungen der Berufsausübung</w:t>
      </w:r>
      <w:bookmarkEnd w:id="6"/>
    </w:p>
    <w:p w:rsidR="00F52B0B" w:rsidRPr="005F15DA" w:rsidRDefault="00F52B0B" w:rsidP="00F52B0B"/>
    <w:p w:rsidR="005D70F9" w:rsidRPr="005F15DA" w:rsidRDefault="005D70F9" w:rsidP="00F52B0B">
      <w:r w:rsidRPr="005F15DA">
        <w:t>Zur Berufsausübung bedarf der bernische Notar einer Berufsausübungsbewilligung. Diese wird ihm von der Justiz-, Gemeinde- und Kirchendirektion erteilt, wenn er</w:t>
      </w:r>
      <w:r w:rsidR="00F52B0B" w:rsidRPr="005F15DA">
        <w:t>:</w:t>
      </w:r>
    </w:p>
    <w:p w:rsidR="005D70F9" w:rsidRPr="005F15DA" w:rsidRDefault="005D70F9" w:rsidP="009D34F3">
      <w:pPr>
        <w:pStyle w:val="Listenabsatz"/>
        <w:numPr>
          <w:ilvl w:val="0"/>
          <w:numId w:val="37"/>
        </w:numPr>
        <w:ind w:left="426" w:hanging="720"/>
      </w:pPr>
      <w:r w:rsidRPr="005F15DA">
        <w:t>das bernische Notariatspatent besitzt</w:t>
      </w:r>
    </w:p>
    <w:p w:rsidR="005D70F9" w:rsidRPr="005F15DA" w:rsidRDefault="005D70F9" w:rsidP="009D34F3">
      <w:pPr>
        <w:pStyle w:val="Listenabsatz"/>
        <w:numPr>
          <w:ilvl w:val="0"/>
          <w:numId w:val="37"/>
        </w:numPr>
        <w:ind w:left="426" w:hanging="720"/>
      </w:pPr>
      <w:r w:rsidRPr="005F15DA">
        <w:t>einen guten Leumund hat</w:t>
      </w:r>
    </w:p>
    <w:p w:rsidR="005D70F9" w:rsidRPr="005F15DA" w:rsidRDefault="005D70F9" w:rsidP="009D34F3">
      <w:pPr>
        <w:pStyle w:val="Listenabsatz"/>
        <w:numPr>
          <w:ilvl w:val="0"/>
          <w:numId w:val="37"/>
        </w:numPr>
        <w:ind w:left="426" w:hanging="720"/>
      </w:pPr>
      <w:r w:rsidRPr="005F15DA">
        <w:t>in geordneten finanziellen Verhältnissen lebt</w:t>
      </w:r>
    </w:p>
    <w:p w:rsidR="005D70F9" w:rsidRPr="005F15DA" w:rsidRDefault="005D70F9" w:rsidP="009D34F3">
      <w:pPr>
        <w:pStyle w:val="Listenabsatz"/>
        <w:numPr>
          <w:ilvl w:val="0"/>
          <w:numId w:val="37"/>
        </w:numPr>
        <w:ind w:left="426" w:hanging="720"/>
      </w:pPr>
      <w:r w:rsidRPr="005F15DA">
        <w:t>Wohnsitz in der Schweiz hat</w:t>
      </w:r>
    </w:p>
    <w:p w:rsidR="005D70F9" w:rsidRPr="005F15DA" w:rsidRDefault="005D70F9" w:rsidP="009D34F3">
      <w:pPr>
        <w:pStyle w:val="Listenabsatz"/>
        <w:numPr>
          <w:ilvl w:val="0"/>
          <w:numId w:val="37"/>
        </w:numPr>
        <w:ind w:left="426" w:hanging="720"/>
      </w:pPr>
      <w:r w:rsidRPr="005F15DA">
        <w:t>über geeignete Büroräume verfügt</w:t>
      </w:r>
    </w:p>
    <w:p w:rsidR="005D70F9" w:rsidRPr="005F15DA" w:rsidRDefault="005D70F9" w:rsidP="009D34F3">
      <w:pPr>
        <w:pStyle w:val="Listenabsatz"/>
        <w:numPr>
          <w:ilvl w:val="0"/>
          <w:numId w:val="37"/>
        </w:numPr>
        <w:ind w:left="426" w:hanging="720"/>
      </w:pPr>
      <w:r w:rsidRPr="005F15DA">
        <w:t>seine Unterschrift bei der JGK deponiert hat</w:t>
      </w:r>
    </w:p>
    <w:p w:rsidR="005D70F9" w:rsidRPr="005F15DA" w:rsidRDefault="005D70F9" w:rsidP="009D34F3">
      <w:pPr>
        <w:pStyle w:val="Listenabsatz"/>
        <w:numPr>
          <w:ilvl w:val="0"/>
          <w:numId w:val="37"/>
        </w:numPr>
        <w:ind w:left="426" w:hanging="720"/>
      </w:pPr>
      <w:r w:rsidRPr="005F15DA">
        <w:lastRenderedPageBreak/>
        <w:t>keine mit dem Notariat unvereinbare Tätigkeit beibehält</w:t>
      </w:r>
    </w:p>
    <w:p w:rsidR="005D70F9" w:rsidRPr="005F15DA" w:rsidRDefault="005D70F9" w:rsidP="009D34F3">
      <w:pPr>
        <w:pStyle w:val="Listenabsatz"/>
        <w:numPr>
          <w:ilvl w:val="0"/>
          <w:numId w:val="37"/>
        </w:numPr>
        <w:ind w:left="426" w:hanging="720"/>
      </w:pPr>
      <w:r w:rsidRPr="005F15DA">
        <w:t>die Sicherheit (Kaution) gestellt und eine Berufshaftpflichtversicherung abgeschlossen hat.</w:t>
      </w:r>
    </w:p>
    <w:p w:rsidR="00F52B0B" w:rsidRPr="005F15DA" w:rsidRDefault="00F52B0B" w:rsidP="00F52B0B"/>
    <w:p w:rsidR="005D70F9" w:rsidRPr="005F15DA" w:rsidRDefault="005D70F9" w:rsidP="00F52B0B">
      <w:r w:rsidRPr="005F15DA">
        <w:t>Das Notariatspatent ist ein kantonaler Fähigkeitsausweis und bedarf im Kanton Bern einer Hochschulausbildung. Es berechtigt zur Führung der Bezeichnung «Notar» und zum Verla</w:t>
      </w:r>
      <w:r w:rsidRPr="005F15DA">
        <w:t>n</w:t>
      </w:r>
      <w:r w:rsidRPr="005F15DA">
        <w:t>gen der Berufsausübungsbewilligung. Die Berufstätigkeit der Notare unterliegt strengen Rev</w:t>
      </w:r>
      <w:r w:rsidRPr="005F15DA">
        <w:t>i</w:t>
      </w:r>
      <w:r w:rsidRPr="005F15DA">
        <w:t>sionsvorschriften.</w:t>
      </w:r>
    </w:p>
    <w:p w:rsidR="00F52B0B" w:rsidRPr="005F15DA" w:rsidRDefault="00F52B0B" w:rsidP="00F52B0B"/>
    <w:p w:rsidR="00F52B0B" w:rsidRPr="005F15DA" w:rsidRDefault="00F52B0B" w:rsidP="00F52B0B"/>
    <w:p w:rsidR="00F52B0B" w:rsidRPr="005F15DA" w:rsidRDefault="00F52B0B" w:rsidP="00F52B0B"/>
    <w:p w:rsidR="005D70F9" w:rsidRPr="005F15DA" w:rsidRDefault="005D70F9" w:rsidP="005759BE">
      <w:pPr>
        <w:pStyle w:val="berschrift3"/>
        <w:rPr>
          <w:lang w:val="de-CH"/>
        </w:rPr>
      </w:pPr>
      <w:bookmarkStart w:id="7" w:name="_Toc432175535"/>
      <w:r w:rsidRPr="005F15DA">
        <w:rPr>
          <w:spacing w:val="-19"/>
          <w:lang w:val="de-CH"/>
        </w:rPr>
        <w:t>D.</w:t>
      </w:r>
      <w:r w:rsidRPr="005F15DA">
        <w:rPr>
          <w:lang w:val="de-CH"/>
        </w:rPr>
        <w:tab/>
        <w:t>Hauptberufliche/Nebenberufliche Tätigkeiten des Notars</w:t>
      </w:r>
      <w:bookmarkEnd w:id="7"/>
    </w:p>
    <w:p w:rsidR="00F52B0B" w:rsidRPr="005F15DA" w:rsidRDefault="00F52B0B" w:rsidP="00F52B0B"/>
    <w:p w:rsidR="005D70F9" w:rsidRPr="005F15DA" w:rsidRDefault="005D70F9" w:rsidP="002258A3">
      <w:pPr>
        <w:pStyle w:val="berschrift4"/>
      </w:pPr>
      <w:r w:rsidRPr="005F15DA">
        <w:rPr>
          <w:spacing w:val="-22"/>
        </w:rPr>
        <w:t>1.</w:t>
      </w:r>
      <w:r w:rsidRPr="005F15DA">
        <w:tab/>
        <w:t>Hauptberufliche Tätigkeit</w:t>
      </w:r>
    </w:p>
    <w:p w:rsidR="005D70F9" w:rsidRPr="005F15DA" w:rsidRDefault="005D70F9" w:rsidP="002258A3">
      <w:pPr>
        <w:tabs>
          <w:tab w:val="left" w:pos="426"/>
          <w:tab w:val="left" w:pos="851"/>
        </w:tabs>
        <w:ind w:left="425"/>
        <w:jc w:val="both"/>
        <w:rPr>
          <w:spacing w:val="-2"/>
        </w:rPr>
      </w:pPr>
      <w:r w:rsidRPr="005F15DA">
        <w:rPr>
          <w:spacing w:val="-2"/>
          <w:szCs w:val="22"/>
        </w:rPr>
        <w:t>Im Kanton Bern ist der Notar grundsätzlich das Organ der freiwilligen Gerichtsbarkeit. Dazu gehören:</w:t>
      </w:r>
    </w:p>
    <w:p w:rsidR="005D70F9" w:rsidRPr="005F15DA" w:rsidRDefault="005D70F9" w:rsidP="009D34F3">
      <w:pPr>
        <w:widowControl w:val="0"/>
        <w:numPr>
          <w:ilvl w:val="0"/>
          <w:numId w:val="36"/>
        </w:numPr>
        <w:tabs>
          <w:tab w:val="left" w:pos="709"/>
        </w:tabs>
        <w:autoSpaceDE w:val="0"/>
        <w:autoSpaceDN w:val="0"/>
        <w:adjustRightInd w:val="0"/>
        <w:ind w:left="709" w:hanging="284"/>
        <w:jc w:val="both"/>
        <w:rPr>
          <w:spacing w:val="-2"/>
          <w:szCs w:val="22"/>
        </w:rPr>
      </w:pPr>
      <w:r w:rsidRPr="005F15DA">
        <w:rPr>
          <w:spacing w:val="-2"/>
          <w:szCs w:val="22"/>
        </w:rPr>
        <w:t>Beurkundung von Willens- und Wissenserklärungen</w:t>
      </w:r>
    </w:p>
    <w:p w:rsidR="005D70F9" w:rsidRPr="005F15DA" w:rsidRDefault="005D70F9" w:rsidP="009D34F3">
      <w:pPr>
        <w:widowControl w:val="0"/>
        <w:numPr>
          <w:ilvl w:val="0"/>
          <w:numId w:val="36"/>
        </w:numPr>
        <w:tabs>
          <w:tab w:val="left" w:pos="709"/>
        </w:tabs>
        <w:autoSpaceDE w:val="0"/>
        <w:autoSpaceDN w:val="0"/>
        <w:adjustRightInd w:val="0"/>
        <w:ind w:left="709" w:hanging="284"/>
        <w:jc w:val="both"/>
        <w:rPr>
          <w:spacing w:val="-2"/>
          <w:szCs w:val="22"/>
        </w:rPr>
      </w:pPr>
      <w:r w:rsidRPr="005F15DA">
        <w:rPr>
          <w:spacing w:val="-2"/>
          <w:szCs w:val="22"/>
        </w:rPr>
        <w:t>Beurkundung von Vorgängen und Zuständen</w:t>
      </w:r>
    </w:p>
    <w:p w:rsidR="002258A3" w:rsidRPr="005F15DA" w:rsidRDefault="005D70F9" w:rsidP="009D34F3">
      <w:pPr>
        <w:widowControl w:val="0"/>
        <w:numPr>
          <w:ilvl w:val="0"/>
          <w:numId w:val="36"/>
        </w:numPr>
        <w:tabs>
          <w:tab w:val="left" w:pos="709"/>
        </w:tabs>
        <w:autoSpaceDE w:val="0"/>
        <w:autoSpaceDN w:val="0"/>
        <w:adjustRightInd w:val="0"/>
        <w:ind w:left="709" w:hanging="284"/>
        <w:jc w:val="both"/>
        <w:rPr>
          <w:spacing w:val="-2"/>
          <w:szCs w:val="22"/>
        </w:rPr>
      </w:pPr>
      <w:r w:rsidRPr="005F15DA">
        <w:rPr>
          <w:spacing w:val="-2"/>
          <w:szCs w:val="22"/>
        </w:rPr>
        <w:t>Akte der Rechtspolizei (z.B. Aufbewahrung von Urschriften)</w:t>
      </w:r>
    </w:p>
    <w:p w:rsidR="002258A3" w:rsidRPr="005F15DA" w:rsidRDefault="002258A3" w:rsidP="002258A3">
      <w:pPr>
        <w:tabs>
          <w:tab w:val="left" w:pos="426"/>
          <w:tab w:val="left" w:pos="851"/>
        </w:tabs>
        <w:ind w:left="425"/>
        <w:jc w:val="both"/>
        <w:rPr>
          <w:spacing w:val="-2"/>
          <w:szCs w:val="22"/>
        </w:rPr>
      </w:pPr>
    </w:p>
    <w:p w:rsidR="005D70F9" w:rsidRPr="005F15DA" w:rsidRDefault="005D70F9" w:rsidP="002258A3">
      <w:pPr>
        <w:tabs>
          <w:tab w:val="left" w:pos="426"/>
          <w:tab w:val="left" w:pos="851"/>
        </w:tabs>
        <w:ind w:left="425"/>
        <w:jc w:val="both"/>
        <w:rPr>
          <w:spacing w:val="-2"/>
        </w:rPr>
      </w:pPr>
      <w:r w:rsidRPr="005F15DA">
        <w:rPr>
          <w:spacing w:val="-2"/>
          <w:szCs w:val="22"/>
        </w:rPr>
        <w:t>Die Errichtung einer öffentlichen Urkunde im Bereich der freiwilligen Gerichtsbarkeit gehört zur hauptberuflichen Tätigkeit des Notars. Dafür hat der Notar von seinen Klienten A</w:t>
      </w:r>
      <w:r w:rsidRPr="005F15DA">
        <w:rPr>
          <w:spacing w:val="-2"/>
          <w:szCs w:val="22"/>
        </w:rPr>
        <w:t>n</w:t>
      </w:r>
      <w:r w:rsidRPr="005F15DA">
        <w:rPr>
          <w:spacing w:val="-2"/>
          <w:szCs w:val="22"/>
        </w:rPr>
        <w:t xml:space="preserve">spruch auf eine Gebühr sowie auf Ersatz seiner Auslagen. Das Ersuchen zur Durchführung eines Beurkundungsverfahrens wird als </w:t>
      </w:r>
      <w:r w:rsidRPr="005F15DA">
        <w:rPr>
          <w:spacing w:val="-2"/>
          <w:szCs w:val="22"/>
          <w:u w:val="single"/>
        </w:rPr>
        <w:t>Rogation</w:t>
      </w:r>
      <w:r w:rsidRPr="005F15DA">
        <w:rPr>
          <w:spacing w:val="-2"/>
          <w:szCs w:val="22"/>
        </w:rPr>
        <w:t xml:space="preserve"> bezeichnet. Die Gültigkeit der Rogation ist an keine bestimmte Form gebunden. Ohne Rogation kann keine notarielle Beurkundung vorgenommen werden; sie muss spätestens bei Beginn des Hauptverfahrens erteilt sein. Selbstverständlich kann sie jederzeit zurückgezogen werden; der Notar hat dann Anspruch auf eine Gebühr für die bisherigen Bemühungen.</w:t>
      </w:r>
    </w:p>
    <w:p w:rsidR="002258A3" w:rsidRPr="005F15DA" w:rsidRDefault="002258A3" w:rsidP="002258A3">
      <w:pPr>
        <w:tabs>
          <w:tab w:val="left" w:pos="426"/>
          <w:tab w:val="left" w:pos="851"/>
        </w:tabs>
        <w:ind w:left="425"/>
        <w:jc w:val="both"/>
        <w:rPr>
          <w:spacing w:val="-2"/>
          <w:szCs w:val="22"/>
        </w:rPr>
      </w:pPr>
    </w:p>
    <w:p w:rsidR="005D70F9" w:rsidRPr="005F15DA" w:rsidRDefault="005D70F9" w:rsidP="002258A3">
      <w:pPr>
        <w:tabs>
          <w:tab w:val="left" w:pos="426"/>
          <w:tab w:val="left" w:pos="851"/>
        </w:tabs>
        <w:ind w:left="425"/>
        <w:jc w:val="both"/>
        <w:rPr>
          <w:spacing w:val="-2"/>
          <w:szCs w:val="22"/>
        </w:rPr>
      </w:pPr>
      <w:r w:rsidRPr="005F15DA">
        <w:rPr>
          <w:spacing w:val="-2"/>
          <w:szCs w:val="22"/>
        </w:rPr>
        <w:t xml:space="preserve">Mit der Rogation wird gleichzeitig die </w:t>
      </w:r>
      <w:r w:rsidRPr="005F15DA">
        <w:rPr>
          <w:spacing w:val="-2"/>
          <w:szCs w:val="22"/>
          <w:u w:val="single"/>
        </w:rPr>
        <w:t>Urkundspflicht</w:t>
      </w:r>
      <w:r w:rsidRPr="005F15DA">
        <w:rPr>
          <w:spacing w:val="-2"/>
          <w:szCs w:val="22"/>
        </w:rPr>
        <w:t xml:space="preserve"> für den Notar begründet. Er kann diese nur noch in Ausnahmefällen ablehnen. Da das Bundesrecht sowie das kantonale Recht für eine Vielzahl von Rechtsgeschäften die Form der öffentlichen Beurkundung verlangt, muss jeder das Recht haben, dass der von ihm ersuchte Notar die Beurkundung auch durchführt.</w:t>
      </w:r>
    </w:p>
    <w:p w:rsidR="002258A3" w:rsidRPr="005F15DA" w:rsidRDefault="002258A3" w:rsidP="002258A3">
      <w:pPr>
        <w:tabs>
          <w:tab w:val="left" w:pos="426"/>
          <w:tab w:val="left" w:pos="851"/>
        </w:tabs>
        <w:ind w:left="425"/>
        <w:jc w:val="both"/>
        <w:rPr>
          <w:spacing w:val="-2"/>
          <w:szCs w:val="22"/>
        </w:rPr>
      </w:pPr>
    </w:p>
    <w:p w:rsidR="002258A3" w:rsidRPr="005F15DA" w:rsidRDefault="002258A3" w:rsidP="002258A3">
      <w:pPr>
        <w:tabs>
          <w:tab w:val="left" w:pos="426"/>
          <w:tab w:val="left" w:pos="851"/>
        </w:tabs>
        <w:ind w:left="425"/>
        <w:jc w:val="both"/>
        <w:rPr>
          <w:spacing w:val="-2"/>
        </w:rPr>
      </w:pPr>
    </w:p>
    <w:p w:rsidR="005D70F9" w:rsidRPr="005F15DA" w:rsidRDefault="005D70F9" w:rsidP="002258A3">
      <w:pPr>
        <w:pStyle w:val="berschrift4"/>
      </w:pPr>
      <w:r w:rsidRPr="005F15DA">
        <w:rPr>
          <w:spacing w:val="-9"/>
        </w:rPr>
        <w:t>2.</w:t>
      </w:r>
      <w:r w:rsidRPr="005F15DA">
        <w:tab/>
        <w:t>Nebenberufliche Tätigkeit</w:t>
      </w:r>
    </w:p>
    <w:p w:rsidR="005D70F9" w:rsidRPr="005F15DA" w:rsidRDefault="005D70F9" w:rsidP="002258A3">
      <w:pPr>
        <w:ind w:left="426"/>
      </w:pPr>
      <w:r w:rsidRPr="005F15DA">
        <w:t>Im Rahmen der nebenberuflichen Tätigkeit ist der Notar frei, Aufträge abzulehnen. Die nebenberufliche Tätigkeit umfasst nicht zwingend Aufgaben, die nur ein Notar wahrne</w:t>
      </w:r>
      <w:r w:rsidRPr="005F15DA">
        <w:t>h</w:t>
      </w:r>
      <w:r w:rsidRPr="005F15DA">
        <w:t>men kann.</w:t>
      </w:r>
    </w:p>
    <w:p w:rsidR="002258A3" w:rsidRPr="005F15DA" w:rsidRDefault="002258A3" w:rsidP="002258A3">
      <w:pPr>
        <w:ind w:left="426"/>
      </w:pPr>
    </w:p>
    <w:p w:rsidR="005D70F9" w:rsidRPr="005F15DA" w:rsidRDefault="005D70F9" w:rsidP="002258A3">
      <w:pPr>
        <w:ind w:left="426"/>
      </w:pPr>
      <w:r w:rsidRPr="005F15DA">
        <w:t>Dazu gehören namentlich:</w:t>
      </w:r>
    </w:p>
    <w:p w:rsidR="005D70F9" w:rsidRPr="005F15DA" w:rsidRDefault="005D70F9" w:rsidP="009D34F3">
      <w:pPr>
        <w:pStyle w:val="Listenabsatz"/>
        <w:numPr>
          <w:ilvl w:val="0"/>
          <w:numId w:val="38"/>
        </w:numPr>
        <w:ind w:left="709" w:hanging="283"/>
      </w:pPr>
      <w:r w:rsidRPr="005F15DA">
        <w:t>Rechtsberatung ausserhalb der öffentlichen Beurkundung</w:t>
      </w:r>
    </w:p>
    <w:p w:rsidR="005D70F9" w:rsidRPr="005F15DA" w:rsidRDefault="005D70F9" w:rsidP="009D34F3">
      <w:pPr>
        <w:pStyle w:val="Listenabsatz"/>
        <w:numPr>
          <w:ilvl w:val="0"/>
          <w:numId w:val="38"/>
        </w:numPr>
        <w:ind w:left="709" w:hanging="283"/>
      </w:pPr>
      <w:r w:rsidRPr="005F15DA">
        <w:t>Vermögensverwaltung</w:t>
      </w:r>
    </w:p>
    <w:p w:rsidR="005D70F9" w:rsidRPr="005F15DA" w:rsidRDefault="005D70F9" w:rsidP="009D34F3">
      <w:pPr>
        <w:pStyle w:val="Listenabsatz"/>
        <w:numPr>
          <w:ilvl w:val="0"/>
          <w:numId w:val="38"/>
        </w:numPr>
        <w:ind w:left="709" w:hanging="283"/>
      </w:pPr>
      <w:r w:rsidRPr="005F15DA">
        <w:t>Treuhandfunktionen</w:t>
      </w:r>
    </w:p>
    <w:p w:rsidR="005D70F9" w:rsidRPr="005F15DA" w:rsidRDefault="005D70F9" w:rsidP="009D34F3">
      <w:pPr>
        <w:pStyle w:val="Listenabsatz"/>
        <w:numPr>
          <w:ilvl w:val="0"/>
          <w:numId w:val="38"/>
        </w:numPr>
        <w:ind w:left="709" w:hanging="283"/>
      </w:pPr>
      <w:r w:rsidRPr="005F15DA">
        <w:t>Abfassen von Verträgen, die nicht öffentliche beurkundet werden müssen</w:t>
      </w:r>
    </w:p>
    <w:p w:rsidR="005D70F9" w:rsidRPr="005F15DA" w:rsidRDefault="005D70F9" w:rsidP="009D34F3">
      <w:pPr>
        <w:pStyle w:val="Listenabsatz"/>
        <w:numPr>
          <w:ilvl w:val="0"/>
          <w:numId w:val="38"/>
        </w:numPr>
        <w:ind w:left="709" w:hanging="283"/>
      </w:pPr>
      <w:r w:rsidRPr="005F15DA">
        <w:t>Durchführung von Erbteilungen</w:t>
      </w:r>
    </w:p>
    <w:p w:rsidR="005D70F9" w:rsidRPr="005F15DA" w:rsidRDefault="005D70F9" w:rsidP="009D34F3">
      <w:pPr>
        <w:pStyle w:val="Listenabsatz"/>
        <w:numPr>
          <w:ilvl w:val="0"/>
          <w:numId w:val="38"/>
        </w:numPr>
        <w:ind w:left="709" w:hanging="283"/>
      </w:pPr>
      <w:r w:rsidRPr="005F15DA">
        <w:t>Abfassen von Statuten einer AG, Reglemente für Stockwerkeigentum usw.</w:t>
      </w:r>
    </w:p>
    <w:p w:rsidR="005D70F9" w:rsidRPr="005F15DA" w:rsidRDefault="005D70F9" w:rsidP="002258A3">
      <w:pPr>
        <w:ind w:left="426"/>
      </w:pPr>
      <w:r w:rsidRPr="005F15DA">
        <w:lastRenderedPageBreak/>
        <w:t>Hier regelt das Obligationenrecht das Verhältnis zwischen Klient und Notar; meistens handelt es sich um einen Auftrag. Der Notar bezieht für diese Tätigkeit ein Honorar. Z</w:t>
      </w:r>
      <w:r w:rsidRPr="005F15DA">
        <w:t>u</w:t>
      </w:r>
      <w:r w:rsidRPr="005F15DA">
        <w:t>dem hat er Anspruch auf Ersatz seiner Auslagen.</w:t>
      </w:r>
    </w:p>
    <w:p w:rsidR="002258A3" w:rsidRDefault="002258A3" w:rsidP="002258A3">
      <w:pPr>
        <w:ind w:left="426"/>
      </w:pPr>
    </w:p>
    <w:p w:rsidR="00AD2C6A" w:rsidRPr="005F15DA" w:rsidRDefault="00AD2C6A" w:rsidP="002258A3">
      <w:pPr>
        <w:ind w:left="426"/>
      </w:pPr>
    </w:p>
    <w:p w:rsidR="002258A3" w:rsidRPr="005F15DA" w:rsidRDefault="002258A3" w:rsidP="002258A3">
      <w:pPr>
        <w:ind w:left="426"/>
      </w:pPr>
    </w:p>
    <w:p w:rsidR="005D70F9" w:rsidRPr="005F15DA" w:rsidRDefault="005D70F9" w:rsidP="005759BE">
      <w:pPr>
        <w:pStyle w:val="berschrift3"/>
        <w:rPr>
          <w:lang w:val="de-CH"/>
        </w:rPr>
      </w:pPr>
      <w:bookmarkStart w:id="8" w:name="_Toc432175536"/>
      <w:r w:rsidRPr="005F15DA">
        <w:rPr>
          <w:spacing w:val="-22"/>
          <w:lang w:val="de-CH"/>
        </w:rPr>
        <w:t>E.</w:t>
      </w:r>
      <w:r w:rsidRPr="005F15DA">
        <w:rPr>
          <w:lang w:val="de-CH"/>
        </w:rPr>
        <w:tab/>
        <w:t>Sinn und Zweck der öffentlichen Beurkundung</w:t>
      </w:r>
      <w:bookmarkEnd w:id="8"/>
    </w:p>
    <w:p w:rsidR="002258A3" w:rsidRPr="005F15DA" w:rsidRDefault="002258A3" w:rsidP="006A1D52"/>
    <w:p w:rsidR="002258A3" w:rsidRPr="005F15DA" w:rsidRDefault="005D70F9" w:rsidP="006A1D52">
      <w:r w:rsidRPr="005F15DA">
        <w:t xml:space="preserve">Eine öffentliche Beurkundung dient mehreren Zwecken. </w:t>
      </w:r>
    </w:p>
    <w:p w:rsidR="002258A3" w:rsidRPr="005F15DA" w:rsidRDefault="002258A3" w:rsidP="006A1D52"/>
    <w:p w:rsidR="002258A3" w:rsidRPr="005F15DA" w:rsidRDefault="005D70F9" w:rsidP="006A1D52">
      <w:r w:rsidRPr="005F15DA">
        <w:t xml:space="preserve">Sie soll die beteiligten Personen vor einer Übereilung der Vertragsunterzeichnung schützen, so z.B. bei einer Bürgschaft oder bei Handänderungen. </w:t>
      </w:r>
    </w:p>
    <w:p w:rsidR="002258A3" w:rsidRPr="005F15DA" w:rsidRDefault="002258A3" w:rsidP="006A1D52"/>
    <w:p w:rsidR="002258A3" w:rsidRPr="005F15DA" w:rsidRDefault="005D70F9" w:rsidP="006A1D52">
      <w:r w:rsidRPr="005F15DA">
        <w:t xml:space="preserve">Bei verschiedenen Rechtsgeschäften wird eine öffentliche Beurkundung gefordert, damit ein zuverlässiger Rechtsgrundausweis für eine Eintragung in ein öffentliches Register besteht (Grundbuch, Handelsregister). </w:t>
      </w:r>
    </w:p>
    <w:p w:rsidR="002258A3" w:rsidRPr="005F15DA" w:rsidRDefault="002258A3" w:rsidP="006A1D52"/>
    <w:p w:rsidR="002258A3" w:rsidRPr="005F15DA" w:rsidRDefault="005D70F9" w:rsidP="006A1D52">
      <w:r w:rsidRPr="005F15DA">
        <w:t>Im Weiteren sind notarielle Urkunden ein qualifiziertes Beweismittel (Art. 9 Abs. 1 ZGB: Ö</w:t>
      </w:r>
      <w:r w:rsidRPr="005F15DA">
        <w:t>f</w:t>
      </w:r>
      <w:r w:rsidRPr="005F15DA">
        <w:t xml:space="preserve">fentliche Register und öffentliche Urkunden erbringen für die durch sie bezeugten Tatsachen vollen Beweis, solange nicht die Unrichtigkeit ihres Inhaltes nachgewiesen ist). </w:t>
      </w:r>
    </w:p>
    <w:p w:rsidR="002258A3" w:rsidRPr="005F15DA" w:rsidRDefault="002258A3" w:rsidP="006A1D52"/>
    <w:p w:rsidR="005D70F9" w:rsidRPr="005F15DA" w:rsidRDefault="005D70F9" w:rsidP="006A1D52">
      <w:r w:rsidRPr="005F15DA">
        <w:t>Schliesslich kann mit Hilfe des Notars der Wille der Parteien klarer und vollständiger aufg</w:t>
      </w:r>
      <w:r w:rsidRPr="005F15DA">
        <w:t>e</w:t>
      </w:r>
      <w:r w:rsidRPr="005F15DA">
        <w:t>nommen werden (z.B. bei Verfügungen von Todes wegen).</w:t>
      </w:r>
    </w:p>
    <w:p w:rsidR="002258A3" w:rsidRPr="005F15DA" w:rsidRDefault="002258A3" w:rsidP="002258A3"/>
    <w:p w:rsidR="002258A3" w:rsidRPr="005F15DA" w:rsidRDefault="002258A3" w:rsidP="002258A3"/>
    <w:p w:rsidR="002258A3" w:rsidRPr="005F15DA" w:rsidRDefault="002258A3" w:rsidP="002258A3"/>
    <w:p w:rsidR="005D70F9" w:rsidRPr="005F15DA" w:rsidRDefault="005D70F9" w:rsidP="005759BE">
      <w:pPr>
        <w:pStyle w:val="berschrift3"/>
        <w:rPr>
          <w:lang w:val="de-CH"/>
        </w:rPr>
      </w:pPr>
      <w:bookmarkStart w:id="9" w:name="_Toc432175537"/>
      <w:r w:rsidRPr="005F15DA">
        <w:rPr>
          <w:lang w:val="de-CH"/>
        </w:rPr>
        <w:t>F.</w:t>
      </w:r>
      <w:r w:rsidRPr="005F15DA">
        <w:rPr>
          <w:lang w:val="de-CH"/>
        </w:rPr>
        <w:tab/>
        <w:t>Berufspflichten des Notars</w:t>
      </w:r>
      <w:bookmarkEnd w:id="9"/>
    </w:p>
    <w:p w:rsidR="002258A3" w:rsidRPr="005F15DA" w:rsidRDefault="002258A3" w:rsidP="006A1D52"/>
    <w:p w:rsidR="005D70F9" w:rsidRPr="005F15DA" w:rsidRDefault="005D70F9" w:rsidP="006A1D52">
      <w:r w:rsidRPr="005F15DA">
        <w:t>Die Berufspflichten des Notars gelten für die hauptberufliche Tätigkeit des Notars. Für die nebenberufliche Tätigkeit untersteht der Notar dem Privatrecht.</w:t>
      </w:r>
    </w:p>
    <w:p w:rsidR="005E088B" w:rsidRPr="005F15DA" w:rsidRDefault="005E088B" w:rsidP="006A1D52"/>
    <w:p w:rsidR="005E088B" w:rsidRPr="005F15DA" w:rsidRDefault="005D70F9" w:rsidP="005E088B">
      <w:pPr>
        <w:pStyle w:val="berschrift4"/>
      </w:pPr>
      <w:r w:rsidRPr="005F15DA">
        <w:rPr>
          <w:spacing w:val="-25"/>
        </w:rPr>
        <w:t>1.</w:t>
      </w:r>
      <w:r w:rsidRPr="005F15DA">
        <w:tab/>
        <w:t>Urkundspflicht (Art. 30 und 31 NG)</w:t>
      </w:r>
    </w:p>
    <w:p w:rsidR="00612A54" w:rsidRPr="005F15DA" w:rsidRDefault="005D70F9" w:rsidP="005E088B">
      <w:pPr>
        <w:ind w:left="426"/>
      </w:pPr>
      <w:r w:rsidRPr="005F15DA">
        <w:t xml:space="preserve">Voraussetzung der Urkundspflicht ist die gültige Rogation (=Auftragserteilung). Lehnt der Notar trotz gültiger Rogation die Beurkundung ab, verletzt er seine Urkundspflicht. </w:t>
      </w:r>
    </w:p>
    <w:p w:rsidR="00612A54" w:rsidRPr="005F15DA" w:rsidRDefault="00612A54" w:rsidP="005E088B">
      <w:pPr>
        <w:ind w:left="426"/>
      </w:pPr>
    </w:p>
    <w:p w:rsidR="005D70F9" w:rsidRPr="005F15DA" w:rsidRDefault="005D70F9" w:rsidP="005E088B">
      <w:pPr>
        <w:ind w:left="426"/>
      </w:pPr>
      <w:r w:rsidRPr="005F15DA">
        <w:t>Der Notar ist aber verpflichtet, die Rogation in folgenden Fällen abzulehnen:</w:t>
      </w:r>
    </w:p>
    <w:p w:rsidR="005D70F9" w:rsidRPr="005F15DA" w:rsidRDefault="005D70F9" w:rsidP="005E088B">
      <w:pPr>
        <w:ind w:left="426"/>
      </w:pPr>
      <w:r w:rsidRPr="005F15DA">
        <w:t>-</w:t>
      </w:r>
      <w:r w:rsidRPr="005F15DA">
        <w:tab/>
        <w:t>wenn er gesetzlich von der Mitwirkung ausgeschlossen ist</w:t>
      </w:r>
    </w:p>
    <w:p w:rsidR="005D70F9" w:rsidRPr="005F15DA" w:rsidRDefault="005D70F9" w:rsidP="00612A54">
      <w:pPr>
        <w:ind w:left="708" w:hanging="282"/>
      </w:pPr>
      <w:r w:rsidRPr="005F15DA">
        <w:t>-</w:t>
      </w:r>
      <w:r w:rsidRPr="005F15DA">
        <w:tab/>
        <w:t>wenn der Inhalt der Beurkundung offensichtlich rechtlich unmöglich, rechts- oder si</w:t>
      </w:r>
      <w:r w:rsidRPr="005F15DA">
        <w:t>t</w:t>
      </w:r>
      <w:r w:rsidRPr="005F15DA">
        <w:t>tenwidrig ist</w:t>
      </w:r>
    </w:p>
    <w:p w:rsidR="005D70F9" w:rsidRPr="005F15DA" w:rsidRDefault="005D70F9" w:rsidP="005E088B">
      <w:pPr>
        <w:ind w:left="426"/>
      </w:pPr>
      <w:r w:rsidRPr="005F15DA">
        <w:t>-</w:t>
      </w:r>
      <w:r w:rsidRPr="005F15DA">
        <w:tab/>
        <w:t>wenn bei der Beurkundung eine offensichtlich nicht urteilsfähige Person mitwirken soll</w:t>
      </w:r>
    </w:p>
    <w:p w:rsidR="00612A54" w:rsidRPr="005F15DA" w:rsidRDefault="00612A54" w:rsidP="005E088B">
      <w:pPr>
        <w:ind w:left="426"/>
      </w:pPr>
    </w:p>
    <w:p w:rsidR="005D70F9" w:rsidRPr="005F15DA" w:rsidRDefault="005D70F9" w:rsidP="005E088B">
      <w:pPr>
        <w:ind w:left="426"/>
      </w:pPr>
      <w:r w:rsidRPr="005F15DA">
        <w:t>Zudem darf der Notar die Rogation ablehnen, wenn er durch wesentliche Gründe verhi</w:t>
      </w:r>
      <w:r w:rsidRPr="005F15DA">
        <w:t>n</w:t>
      </w:r>
      <w:r w:rsidRPr="005F15DA">
        <w:t>dert ist oder der verlangte Kostenvorschuss nicht geleistet wird.</w:t>
      </w:r>
    </w:p>
    <w:p w:rsidR="00612A54" w:rsidRPr="005F15DA" w:rsidRDefault="00612A54" w:rsidP="005E088B">
      <w:pPr>
        <w:ind w:left="426"/>
      </w:pPr>
    </w:p>
    <w:p w:rsidR="00612A54" w:rsidRPr="005F15DA" w:rsidRDefault="00612A54" w:rsidP="005E088B">
      <w:pPr>
        <w:ind w:left="426"/>
      </w:pPr>
    </w:p>
    <w:p w:rsidR="005D70F9" w:rsidRPr="005F15DA" w:rsidRDefault="005D70F9" w:rsidP="00612A54">
      <w:pPr>
        <w:pStyle w:val="berschrift4"/>
      </w:pPr>
      <w:r w:rsidRPr="005F15DA">
        <w:rPr>
          <w:spacing w:val="-11"/>
        </w:rPr>
        <w:lastRenderedPageBreak/>
        <w:t>2.</w:t>
      </w:r>
      <w:r w:rsidRPr="005F15DA">
        <w:tab/>
        <w:t>Die Ausstandspflicht (Art. 32 und 33 NG)</w:t>
      </w:r>
    </w:p>
    <w:p w:rsidR="005D70F9" w:rsidRPr="005F15DA" w:rsidRDefault="005D70F9" w:rsidP="00612A54">
      <w:pPr>
        <w:ind w:left="426"/>
      </w:pPr>
      <w:r w:rsidRPr="005F15DA">
        <w:t>Der Notar muss in den Ausstand treten (darf seiner Urkundspflicht nicht nachkommen und darf nicht beurkunden) wenn:</w:t>
      </w:r>
    </w:p>
    <w:p w:rsidR="005D70F9" w:rsidRPr="005F15DA" w:rsidRDefault="005D70F9" w:rsidP="009D34F3">
      <w:pPr>
        <w:pStyle w:val="Listenabsatz"/>
        <w:numPr>
          <w:ilvl w:val="0"/>
          <w:numId w:val="39"/>
        </w:numPr>
        <w:ind w:left="709" w:hanging="283"/>
      </w:pPr>
      <w:r w:rsidRPr="005F15DA">
        <w:t>er selbst beteiligt ist</w:t>
      </w:r>
    </w:p>
    <w:p w:rsidR="005D70F9" w:rsidRPr="005F15DA" w:rsidRDefault="005D70F9" w:rsidP="009D34F3">
      <w:pPr>
        <w:pStyle w:val="Listenabsatz"/>
        <w:numPr>
          <w:ilvl w:val="0"/>
          <w:numId w:val="39"/>
        </w:numPr>
        <w:ind w:left="709" w:hanging="283"/>
      </w:pPr>
      <w:r w:rsidRPr="005F15DA">
        <w:t>sein Ehegatte, sein eingetragener Partner, die mit ihm eine faktische Lebensgemei</w:t>
      </w:r>
      <w:r w:rsidRPr="005F15DA">
        <w:t>n</w:t>
      </w:r>
      <w:r w:rsidRPr="005F15DA">
        <w:t>schaft führende Person, eine Person aus dem Kreis der Verwandten in gerader Linie sowie seine Geschwister oder ein Ehegatte, ein eingetragener Partner oder eine mit ihm eine faktische Lebensgemeinschaft führende Person dieser Verwandten beteiligt ist</w:t>
      </w:r>
    </w:p>
    <w:p w:rsidR="005D70F9" w:rsidRPr="005F15DA" w:rsidRDefault="005D70F9" w:rsidP="009D34F3">
      <w:pPr>
        <w:pStyle w:val="Listenabsatz"/>
        <w:numPr>
          <w:ilvl w:val="0"/>
          <w:numId w:val="39"/>
        </w:numPr>
        <w:ind w:left="709" w:hanging="283"/>
      </w:pPr>
      <w:r w:rsidRPr="005F15DA">
        <w:t>eine Kollektiv- oder Kommanditgesellschaft beteiligt ist, welcher er als unbeschränkt haftender Gesellschafter oder als Kommanditär angehört</w:t>
      </w:r>
    </w:p>
    <w:p w:rsidR="005D70F9" w:rsidRPr="005F15DA" w:rsidRDefault="005D70F9" w:rsidP="009D34F3">
      <w:pPr>
        <w:pStyle w:val="Listenabsatz"/>
        <w:numPr>
          <w:ilvl w:val="0"/>
          <w:numId w:val="39"/>
        </w:numPr>
        <w:ind w:left="709" w:hanging="283"/>
      </w:pPr>
      <w:r w:rsidRPr="005F15DA">
        <w:t>bei der Beurkundung einer Willenserklärung eine juristische Person beteiligt ist, bei der er einem zur Vertretung befugten Organ angehört oder für welche er die Unterschrift führt.</w:t>
      </w:r>
    </w:p>
    <w:p w:rsidR="00612A54" w:rsidRPr="005F15DA" w:rsidRDefault="00612A54" w:rsidP="00612A54">
      <w:pPr>
        <w:ind w:left="426"/>
      </w:pPr>
    </w:p>
    <w:p w:rsidR="005D70F9" w:rsidRPr="005F15DA" w:rsidRDefault="005D70F9" w:rsidP="00612A54">
      <w:pPr>
        <w:ind w:left="426"/>
      </w:pPr>
      <w:r w:rsidRPr="005F15DA">
        <w:t>Eine Person ist beteiligt, wenn sie eine sie selber betreffende Beurkundung vornehmen lässt, zu ihren Gunsten oder Lasten eine Verfügung getroffen wird, sie bei der Beurku</w:t>
      </w:r>
      <w:r w:rsidRPr="005F15DA">
        <w:t>n</w:t>
      </w:r>
      <w:r w:rsidRPr="005F15DA">
        <w:t>dung einer Willenserklärung eine Urkundspartei vertritt.</w:t>
      </w:r>
    </w:p>
    <w:p w:rsidR="00612A54" w:rsidRPr="005F15DA" w:rsidRDefault="00612A54" w:rsidP="00612A54">
      <w:pPr>
        <w:ind w:left="426"/>
      </w:pPr>
    </w:p>
    <w:p w:rsidR="00612A54" w:rsidRPr="005F15DA" w:rsidRDefault="005D70F9" w:rsidP="00612A54">
      <w:pPr>
        <w:ind w:left="426"/>
      </w:pPr>
      <w:r w:rsidRPr="005F15DA">
        <w:t xml:space="preserve">Die gleiche Ausstandspflicht gilt für die Sachverständigen, die Übersetzer sowie die Schätzer, welche bei der Beurkundung mitwirken. </w:t>
      </w:r>
    </w:p>
    <w:p w:rsidR="00612A54" w:rsidRPr="005F15DA" w:rsidRDefault="00612A54" w:rsidP="00612A54">
      <w:pPr>
        <w:ind w:left="426"/>
      </w:pPr>
    </w:p>
    <w:p w:rsidR="005D70F9" w:rsidRPr="005F15DA" w:rsidRDefault="005D70F9" w:rsidP="00612A54">
      <w:pPr>
        <w:ind w:left="426"/>
      </w:pPr>
      <w:r w:rsidRPr="005F15DA">
        <w:t>Nicht als Beteiligung gilt, wenn in einem Vertrag zwischen Drittpersonen Rechte oder Pflichten derselben gegenüber den vorgenannten Personen übertragen werden oder wenn über solche Rechte oder Pflichten eine Feststellungsurkunde für einen Dritten e</w:t>
      </w:r>
      <w:r w:rsidRPr="005F15DA">
        <w:t>r</w:t>
      </w:r>
      <w:r w:rsidRPr="005F15DA">
        <w:t>richtet wird, sowie wenn der Notar in der Urkunde mit weiteren haupt- oder nebenberufl</w:t>
      </w:r>
      <w:r w:rsidRPr="005F15DA">
        <w:t>i</w:t>
      </w:r>
      <w:r w:rsidRPr="005F15DA">
        <w:t>chen Geschäften betraut wird (z.B. Einsetzung als Willensvollstrecker).</w:t>
      </w:r>
    </w:p>
    <w:p w:rsidR="00612A54" w:rsidRPr="005F15DA" w:rsidRDefault="00612A54" w:rsidP="00612A54">
      <w:pPr>
        <w:ind w:left="426"/>
      </w:pPr>
    </w:p>
    <w:p w:rsidR="005D70F9" w:rsidRPr="005F15DA" w:rsidRDefault="005D70F9" w:rsidP="00612A54">
      <w:pPr>
        <w:ind w:left="426"/>
      </w:pPr>
      <w:r w:rsidRPr="005F15DA">
        <w:t>Bei der Beglaubigung von Unterschriften besteht keine Ausstandspflicht.</w:t>
      </w:r>
    </w:p>
    <w:p w:rsidR="00612A54" w:rsidRPr="005F15DA" w:rsidRDefault="00612A54" w:rsidP="00612A54">
      <w:pPr>
        <w:ind w:left="426"/>
      </w:pPr>
    </w:p>
    <w:p w:rsidR="005D70F9" w:rsidRPr="005F15DA" w:rsidRDefault="005D70F9" w:rsidP="00612A54">
      <w:pPr>
        <w:ind w:left="426"/>
      </w:pPr>
      <w:r w:rsidRPr="005F15DA">
        <w:t>Bei Versteigerungen gilt die Ausstandspflicht nur im Verhältnis zum Versteigerer. Der Notar darf zudem selber keine Gegenstände ersteigern.</w:t>
      </w:r>
    </w:p>
    <w:p w:rsidR="00612A54" w:rsidRPr="005F15DA" w:rsidRDefault="00612A54" w:rsidP="00612A54">
      <w:pPr>
        <w:ind w:left="426"/>
      </w:pPr>
    </w:p>
    <w:p w:rsidR="005D70F9" w:rsidRPr="005F15DA" w:rsidRDefault="005D70F9" w:rsidP="00612A54">
      <w:pPr>
        <w:ind w:left="426"/>
      </w:pPr>
      <w:r w:rsidRPr="005F15DA">
        <w:t>Bei der Beurkundung von Versammlungsbeschlüssen ist der Notar nur ausgeschlossen, wenn er selber stimmen will.</w:t>
      </w:r>
    </w:p>
    <w:p w:rsidR="00612A54" w:rsidRPr="005F15DA" w:rsidRDefault="00612A54" w:rsidP="00612A54">
      <w:pPr>
        <w:ind w:left="426"/>
      </w:pPr>
    </w:p>
    <w:p w:rsidR="00612A54" w:rsidRPr="005F15DA" w:rsidRDefault="00612A54" w:rsidP="00612A54">
      <w:pPr>
        <w:ind w:left="426"/>
      </w:pPr>
    </w:p>
    <w:p w:rsidR="005D70F9" w:rsidRPr="005F15DA" w:rsidRDefault="005D70F9" w:rsidP="00612A54">
      <w:pPr>
        <w:pStyle w:val="berschrift4"/>
      </w:pPr>
      <w:r w:rsidRPr="005F15DA">
        <w:rPr>
          <w:spacing w:val="-8"/>
        </w:rPr>
        <w:t>3.</w:t>
      </w:r>
      <w:r w:rsidRPr="005F15DA">
        <w:tab/>
        <w:t>Wahrheitspflicht (Art. 34 NG)</w:t>
      </w:r>
    </w:p>
    <w:p w:rsidR="005D70F9" w:rsidRPr="005F15DA" w:rsidRDefault="005D70F9" w:rsidP="00612A54">
      <w:pPr>
        <w:ind w:left="426"/>
      </w:pPr>
      <w:r w:rsidRPr="005F15DA">
        <w:t xml:space="preserve">Weil der Inhalt einer öffentlichen Urkunde besondere Beweiskraft geniesst, muss dessen Richtigkeit gewährt sein. Wahr ist der Inhalt einer Urkunde, wenn die in ihr bescheinigten Tatsachen auch so vorhanden sind. Der Notar darf deshalb nur Willenserklärungen und Tatsachen beurkunden, die er selber vorschriftsgemäss wahrgenommen hat. </w:t>
      </w:r>
    </w:p>
    <w:p w:rsidR="00612A54" w:rsidRPr="005F15DA" w:rsidRDefault="00612A54" w:rsidP="00612A54">
      <w:pPr>
        <w:ind w:left="426"/>
      </w:pPr>
    </w:p>
    <w:p w:rsidR="005D70F9" w:rsidRPr="005F15DA" w:rsidRDefault="005D70F9" w:rsidP="00612A54">
      <w:pPr>
        <w:ind w:left="426"/>
      </w:pPr>
      <w:r w:rsidRPr="005F15DA">
        <w:t xml:space="preserve">Bei der Beurkundung von Willenserklärungen müssen die Urkundsparteien ihren Willen vor dem Notar bekanntgeben. Bei Sachbeurkundungen muss sich der Notar persönlich von deren Richtigkeit überzeugen. Der Notar kann Tatsachen beurkunden, die er nicht </w:t>
      </w:r>
      <w:r w:rsidRPr="005F15DA">
        <w:lastRenderedPageBreak/>
        <w:t>selber wahrgenommen hat (z.B. Tod einer Person), wenn er diese anderen öffentlichen Urkunden (Familienregisterauszug) entnehmen kann.</w:t>
      </w:r>
    </w:p>
    <w:p w:rsidR="00612A54" w:rsidRPr="005F15DA" w:rsidRDefault="00612A54" w:rsidP="00612A54">
      <w:pPr>
        <w:ind w:left="426"/>
      </w:pPr>
    </w:p>
    <w:p w:rsidR="005D70F9" w:rsidRPr="005F15DA" w:rsidRDefault="005D70F9" w:rsidP="00612A54">
      <w:pPr>
        <w:ind w:left="426"/>
      </w:pPr>
      <w:r w:rsidRPr="005F15DA">
        <w:t>Die Urkunde ist wahrheitsgetreu und klar abzufassen. Der Notar hat deshalb zu prüfen, ob die Erklärungen der Parteien ihrem wirklichen Willen entsprechen. Weiss der Notar, dass eine Erklärung falsch ist (z.B. im Kaufvertrag steht ein tieferer Kaufpreis als verei</w:t>
      </w:r>
      <w:r w:rsidRPr="005F15DA">
        <w:t>n</w:t>
      </w:r>
      <w:r w:rsidRPr="005F15DA">
        <w:t>bart), darf er nicht beurkunden.</w:t>
      </w:r>
    </w:p>
    <w:p w:rsidR="00612A54" w:rsidRPr="005F15DA" w:rsidRDefault="00612A54" w:rsidP="00612A54">
      <w:pPr>
        <w:ind w:left="426"/>
      </w:pPr>
    </w:p>
    <w:p w:rsidR="005D70F9" w:rsidRPr="005F15DA" w:rsidRDefault="005D70F9" w:rsidP="00612A54">
      <w:pPr>
        <w:ind w:left="426"/>
      </w:pPr>
      <w:r w:rsidRPr="005F15DA">
        <w:t>Bei Missachtung der Wahrheitspflicht bzw. bewusst falschen Angaben durch die Parteien, kommt einerseits keine öffentliche Urkunde zustande, andererseits können sich der Notar oder die Parteien strafbar machen (Notar = Urkundenfälschung, Art. 317 StGB; Parteien = Erschleichung einer falschen Beurkundung, Art. 253 StGB).</w:t>
      </w:r>
    </w:p>
    <w:p w:rsidR="00612A54" w:rsidRPr="005F15DA" w:rsidRDefault="00612A54" w:rsidP="00612A54">
      <w:pPr>
        <w:ind w:left="426"/>
      </w:pPr>
    </w:p>
    <w:p w:rsidR="00612A54" w:rsidRPr="005F15DA" w:rsidRDefault="00612A54" w:rsidP="00612A54">
      <w:pPr>
        <w:ind w:left="426"/>
      </w:pPr>
    </w:p>
    <w:p w:rsidR="005D70F9" w:rsidRPr="005F15DA" w:rsidRDefault="005D70F9" w:rsidP="00612A54">
      <w:pPr>
        <w:pStyle w:val="berschrift4"/>
      </w:pPr>
      <w:r w:rsidRPr="005F15DA">
        <w:rPr>
          <w:spacing w:val="-8"/>
        </w:rPr>
        <w:t>4.</w:t>
      </w:r>
      <w:r w:rsidRPr="005F15DA">
        <w:tab/>
        <w:t>Rechtsbelehrungspflicht (Art. 35 NG)</w:t>
      </w:r>
    </w:p>
    <w:p w:rsidR="005D70F9" w:rsidRPr="005F15DA" w:rsidRDefault="005D70F9" w:rsidP="00612A54">
      <w:pPr>
        <w:ind w:left="426"/>
      </w:pPr>
      <w:r w:rsidRPr="005F15DA">
        <w:t>Der Notar ist verpflichtet, die Urkundsparteien darüber zu belehren, ob eine öffentliche Beurkundung überhaupt nötig ist und welche rechtlichen Wirkungen damit verbunden sind. Er hat sie ferner über seine örtliche und sachliche Zuständigkeit zu belehren. Schliesslich hat er sie darüber aufzuklären, was in der Urkunde alles geregelt sein muss bzw. was darin geregelt ist und welche weiteren Personen allenfalls auch mitwirken mü</w:t>
      </w:r>
      <w:r w:rsidRPr="005F15DA">
        <w:t>s</w:t>
      </w:r>
      <w:r w:rsidRPr="005F15DA">
        <w:t>sen.</w:t>
      </w:r>
    </w:p>
    <w:p w:rsidR="00612A54" w:rsidRPr="005F15DA" w:rsidRDefault="00612A54" w:rsidP="00612A54">
      <w:pPr>
        <w:ind w:left="426"/>
      </w:pPr>
    </w:p>
    <w:p w:rsidR="005D70F9" w:rsidRPr="005F15DA" w:rsidRDefault="005D70F9" w:rsidP="00612A54">
      <w:pPr>
        <w:ind w:left="426"/>
      </w:pPr>
      <w:r w:rsidRPr="005F15DA">
        <w:t>Eine ungenügende Rechtsbelehrung macht den Notar vermögensrechtlich und disziplin</w:t>
      </w:r>
      <w:r w:rsidRPr="005F15DA">
        <w:t>a</w:t>
      </w:r>
      <w:r w:rsidRPr="005F15DA">
        <w:t>risch verantwortlich.</w:t>
      </w:r>
    </w:p>
    <w:p w:rsidR="00612A54" w:rsidRPr="005F15DA" w:rsidRDefault="00612A54" w:rsidP="00612A54">
      <w:pPr>
        <w:ind w:left="426"/>
      </w:pPr>
    </w:p>
    <w:p w:rsidR="00612A54" w:rsidRPr="005F15DA" w:rsidRDefault="00612A54" w:rsidP="00612A54">
      <w:pPr>
        <w:ind w:left="426"/>
      </w:pPr>
    </w:p>
    <w:p w:rsidR="005D70F9" w:rsidRPr="005F15DA" w:rsidRDefault="005D70F9" w:rsidP="00612A54">
      <w:pPr>
        <w:pStyle w:val="berschrift4"/>
      </w:pPr>
      <w:r w:rsidRPr="005F15DA">
        <w:t>5.</w:t>
      </w:r>
      <w:r w:rsidRPr="005F15DA">
        <w:tab/>
        <w:t>Die Geheimhaltungspflicht (Art. 36 NG)</w:t>
      </w:r>
    </w:p>
    <w:p w:rsidR="005D70F9" w:rsidRPr="005F15DA" w:rsidRDefault="005D70F9" w:rsidP="00612A54">
      <w:pPr>
        <w:ind w:left="426"/>
      </w:pPr>
      <w:r w:rsidRPr="005F15DA">
        <w:t>Unter das Berufsgeheimnis fallen Tatsachen, welche die Beteiligten dem Notar beruflich anvertraut haben oder die er für sie beruflich erfahren hat. Der Notar hat über diese Ta</w:t>
      </w:r>
      <w:r w:rsidRPr="005F15DA">
        <w:t>t</w:t>
      </w:r>
      <w:r w:rsidRPr="005F15DA">
        <w:t>sachen Stillschweigen zu bewahren. Der Notar darf unbefugten Dritten zudem keine Ei</w:t>
      </w:r>
      <w:r w:rsidRPr="005F15DA">
        <w:t>n</w:t>
      </w:r>
      <w:r w:rsidRPr="005F15DA">
        <w:t>sicht in Schriftstücke gewähren, welche solche Tatsachen enthalten. Tatsachen, die al</w:t>
      </w:r>
      <w:r w:rsidRPr="005F15DA">
        <w:t>l</w:t>
      </w:r>
      <w:r w:rsidRPr="005F15DA">
        <w:t>gemein bekannt sind oder in einem öffentlichen Register von jedermann eingesehen werden können, fallen nicht unter die Geheimhaltungspflicht. Kann ein öffentliches Regi</w:t>
      </w:r>
      <w:r w:rsidRPr="005F15DA">
        <w:t>s</w:t>
      </w:r>
      <w:r w:rsidRPr="005F15DA">
        <w:t>ter nur von bestimmten Personen eingesehen werden, entfällt das Berufsgeheimnis nur ihnen gegenüber.</w:t>
      </w:r>
    </w:p>
    <w:p w:rsidR="00612A54" w:rsidRPr="005F15DA" w:rsidRDefault="00612A54" w:rsidP="00612A54">
      <w:pPr>
        <w:ind w:left="426"/>
      </w:pPr>
    </w:p>
    <w:p w:rsidR="005D70F9" w:rsidRPr="005F15DA" w:rsidRDefault="005D70F9" w:rsidP="00612A54">
      <w:pPr>
        <w:ind w:left="426"/>
      </w:pPr>
      <w:r w:rsidRPr="005F15DA">
        <w:t>Die Geheimhaltungspflicht entfällt zudem wenn</w:t>
      </w:r>
    </w:p>
    <w:p w:rsidR="005D70F9" w:rsidRPr="005F15DA" w:rsidRDefault="005D70F9" w:rsidP="009D34F3">
      <w:pPr>
        <w:pStyle w:val="Listenabsatz"/>
        <w:numPr>
          <w:ilvl w:val="0"/>
          <w:numId w:val="40"/>
        </w:numPr>
        <w:ind w:left="709" w:hanging="283"/>
      </w:pPr>
      <w:r w:rsidRPr="005F15DA">
        <w:t>der Notar von allen Beteiligten davon entbunden wird,</w:t>
      </w:r>
    </w:p>
    <w:p w:rsidR="005D70F9" w:rsidRPr="005F15DA" w:rsidRDefault="005D70F9" w:rsidP="009D34F3">
      <w:pPr>
        <w:pStyle w:val="Listenabsatz"/>
        <w:numPr>
          <w:ilvl w:val="0"/>
          <w:numId w:val="40"/>
        </w:numPr>
        <w:ind w:left="709" w:hanging="283"/>
      </w:pPr>
      <w:r w:rsidRPr="005F15DA">
        <w:t>die richtige Erfüllung einer beruflichen Obliegenheit die Bekanntgabe an Dritte erfo</w:t>
      </w:r>
      <w:r w:rsidRPr="005F15DA">
        <w:t>r</w:t>
      </w:r>
      <w:r w:rsidRPr="005F15DA">
        <w:t>dert, oder</w:t>
      </w:r>
    </w:p>
    <w:p w:rsidR="005D70F9" w:rsidRPr="005F15DA" w:rsidRDefault="005D70F9" w:rsidP="009D34F3">
      <w:pPr>
        <w:pStyle w:val="Listenabsatz"/>
        <w:numPr>
          <w:ilvl w:val="0"/>
          <w:numId w:val="40"/>
        </w:numPr>
        <w:ind w:left="709" w:hanging="283"/>
      </w:pPr>
      <w:r w:rsidRPr="005F15DA">
        <w:t>der Notar durch die Gesetzgebung ausdrücklich zur Bekanntgabe an Behörden ve</w:t>
      </w:r>
      <w:r w:rsidRPr="005F15DA">
        <w:t>r</w:t>
      </w:r>
      <w:r w:rsidRPr="005F15DA">
        <w:t>pflichtet ist (gemäss Art. 26 ESchG ist der Notar verpflichtet, der kant. Steuerverwa</w:t>
      </w:r>
      <w:r w:rsidRPr="005F15DA">
        <w:t>l</w:t>
      </w:r>
      <w:r w:rsidRPr="005F15DA">
        <w:t>tung Steuerfälle, die ihm in amtlicher Funktion zur Kenntnis gelangen, innert 30 Tagen anzuzeigen).</w:t>
      </w:r>
    </w:p>
    <w:p w:rsidR="00612A54" w:rsidRPr="005F15DA" w:rsidRDefault="00612A54" w:rsidP="00612A54">
      <w:pPr>
        <w:ind w:left="426"/>
      </w:pPr>
    </w:p>
    <w:p w:rsidR="005D70F9" w:rsidRPr="005F15DA" w:rsidRDefault="005D70F9" w:rsidP="00612A54">
      <w:pPr>
        <w:ind w:left="426"/>
      </w:pPr>
      <w:r w:rsidRPr="005F15DA">
        <w:t xml:space="preserve">Diese Geheimhaltungspflicht trifft den Notar, seine Mitarbeiter, allfällige Sachverständige, Übersetzer und Schätzer. Der Notar hat seine Angestellten und Lernenden darüber zu </w:t>
      </w:r>
      <w:r w:rsidRPr="005F15DA">
        <w:lastRenderedPageBreak/>
        <w:t>belehren; ansonsten haftet er für die Verletzung des Berufsgeheimnisses durch einen Angestellten.</w:t>
      </w:r>
    </w:p>
    <w:p w:rsidR="00612A54" w:rsidRPr="005F15DA" w:rsidRDefault="00612A54" w:rsidP="00612A54">
      <w:pPr>
        <w:ind w:left="426"/>
      </w:pPr>
    </w:p>
    <w:p w:rsidR="005D70F9" w:rsidRDefault="005D70F9" w:rsidP="00612A54">
      <w:pPr>
        <w:ind w:left="426"/>
      </w:pPr>
      <w:r w:rsidRPr="005F15DA">
        <w:t>Verletzt der Notar die Geheimhaltungspflicht, macht er sich disziplinarisch verantwortlich. Die Verletzung des Berufsgeheimnisses, sei es durch den Notar oder eine seiner Hilf</w:t>
      </w:r>
      <w:r w:rsidRPr="005F15DA">
        <w:t>s</w:t>
      </w:r>
      <w:r w:rsidRPr="005F15DA">
        <w:t>personen, kann zudem strafrechtliche Konsequenzen haben (Art. 321 StGB Verletzung des Berufsgeheimnisses). Entsteht ein Schaden, so haftet der Notar seinem Klienten d</w:t>
      </w:r>
      <w:r w:rsidRPr="005F15DA">
        <w:t>a</w:t>
      </w:r>
      <w:r w:rsidRPr="005F15DA">
        <w:t>für zusätzlich (und zwar zivilrechtlich).</w:t>
      </w:r>
    </w:p>
    <w:p w:rsidR="00AD2C6A" w:rsidRDefault="00AD2C6A" w:rsidP="00612A54">
      <w:pPr>
        <w:ind w:left="426"/>
      </w:pPr>
    </w:p>
    <w:p w:rsidR="00AD2C6A" w:rsidRDefault="00AD2C6A" w:rsidP="00612A54">
      <w:pPr>
        <w:ind w:left="426"/>
      </w:pPr>
    </w:p>
    <w:p w:rsidR="005D70F9" w:rsidRPr="005F15DA" w:rsidRDefault="005D70F9" w:rsidP="00612A54">
      <w:pPr>
        <w:pStyle w:val="berschrift4"/>
      </w:pPr>
      <w:r w:rsidRPr="005F15DA">
        <w:rPr>
          <w:spacing w:val="-8"/>
        </w:rPr>
        <w:t>6.</w:t>
      </w:r>
      <w:r w:rsidRPr="005F15DA">
        <w:tab/>
        <w:t>Wahrung der Interessen der Beteiligten (Art. 37 NG)</w:t>
      </w:r>
    </w:p>
    <w:p w:rsidR="005D70F9" w:rsidRPr="005F15DA" w:rsidRDefault="005D70F9" w:rsidP="00612A54">
      <w:pPr>
        <w:ind w:left="426"/>
      </w:pPr>
      <w:r w:rsidRPr="005F15DA">
        <w:t>Der Notar hat die Interessen aller Beteiligten nach bestem Wissen und Gewissen gleic</w:t>
      </w:r>
      <w:r w:rsidRPr="005F15DA">
        <w:t>h</w:t>
      </w:r>
      <w:r w:rsidRPr="005F15DA">
        <w:t>mässig und unparteiisch zu wahren. Zu einer richtigen Interessenwahrung gehört, dass der Notar die ihm übertragenen Geschäfte innert nützlicher Frist erledigt, unnötige Kosten vermeidet, ihm anvertraute Gelder, Wertschriften und andere Sachen vorschriftsgemäss aufbewahrt und eine entsprechende Buchhaltung führt.</w:t>
      </w:r>
    </w:p>
    <w:p w:rsidR="00612A54" w:rsidRPr="005F15DA" w:rsidRDefault="00612A54" w:rsidP="006A1D52"/>
    <w:p w:rsidR="00612A54" w:rsidRPr="005F15DA" w:rsidRDefault="00612A54" w:rsidP="006A1D52"/>
    <w:p w:rsidR="00612A54" w:rsidRPr="005F15DA" w:rsidRDefault="00612A54" w:rsidP="006A1D52"/>
    <w:p w:rsidR="005D70F9" w:rsidRPr="005F15DA" w:rsidRDefault="005D70F9" w:rsidP="005759BE">
      <w:pPr>
        <w:pStyle w:val="berschrift3"/>
        <w:rPr>
          <w:lang w:val="de-CH"/>
        </w:rPr>
      </w:pPr>
      <w:bookmarkStart w:id="10" w:name="_Toc432175538"/>
      <w:r w:rsidRPr="005F15DA">
        <w:rPr>
          <w:lang w:val="de-CH"/>
        </w:rPr>
        <w:t>G.</w:t>
      </w:r>
      <w:r w:rsidRPr="005F15DA">
        <w:rPr>
          <w:lang w:val="de-CH"/>
        </w:rPr>
        <w:tab/>
        <w:t>Sachliche und örtliche Zuständigkeit des Notars</w:t>
      </w:r>
      <w:bookmarkEnd w:id="10"/>
    </w:p>
    <w:p w:rsidR="00612A54" w:rsidRPr="005F15DA" w:rsidRDefault="00612A54" w:rsidP="006A1D52"/>
    <w:p w:rsidR="005D70F9" w:rsidRPr="005F15DA" w:rsidRDefault="005D70F9" w:rsidP="00612A54">
      <w:pPr>
        <w:pStyle w:val="berschrift4"/>
      </w:pPr>
      <w:r w:rsidRPr="005F15DA">
        <w:rPr>
          <w:spacing w:val="-22"/>
        </w:rPr>
        <w:t>1.</w:t>
      </w:r>
      <w:r w:rsidRPr="005F15DA">
        <w:tab/>
        <w:t>Sachliche Zuständigkeit (Art. 21 NG)</w:t>
      </w:r>
    </w:p>
    <w:p w:rsidR="005D70F9" w:rsidRPr="005F15DA" w:rsidRDefault="005D70F9" w:rsidP="006A1D52">
      <w:pPr>
        <w:ind w:left="426"/>
      </w:pPr>
      <w:r w:rsidRPr="005F15DA">
        <w:t>Alle Handlungen der freiwilligen Gerichtsbarkeit fallen in die ausschliessliche Zuständi</w:t>
      </w:r>
      <w:r w:rsidRPr="005F15DA">
        <w:t>g</w:t>
      </w:r>
      <w:r w:rsidRPr="005F15DA">
        <w:t>keit des Notars, soweit das Gesetz diese nicht anderen Organen (beispielsweise Zivi</w:t>
      </w:r>
      <w:r w:rsidRPr="005F15DA">
        <w:t>l</w:t>
      </w:r>
      <w:r w:rsidRPr="005F15DA">
        <w:t>standsbeamten, Grundbuch- oder Handelsregisterführern) zuweist.</w:t>
      </w:r>
    </w:p>
    <w:p w:rsidR="006A1D52" w:rsidRPr="005F15DA" w:rsidRDefault="006A1D52" w:rsidP="006A1D52">
      <w:pPr>
        <w:ind w:left="426"/>
      </w:pPr>
    </w:p>
    <w:p w:rsidR="005D70F9" w:rsidRPr="005F15DA" w:rsidRDefault="005D70F9" w:rsidP="006A1D52">
      <w:pPr>
        <w:ind w:left="426"/>
      </w:pPr>
      <w:r w:rsidRPr="005F15DA">
        <w:t>Der Notar beurkundet auf Begehren der Beteiligten Rechtsgeschäfte, die eine öffentliche Beurkundung verlangen, und er errichtet Feststellungsurkunden über Vorgänge und Z</w:t>
      </w:r>
      <w:r w:rsidRPr="005F15DA">
        <w:t>u</w:t>
      </w:r>
      <w:r w:rsidRPr="005F15DA">
        <w:t>stände. Rechtsgeschäfte zur Begründung oder Änderung von dinglichen Rechten an be</w:t>
      </w:r>
      <w:r w:rsidRPr="005F15DA">
        <w:t>r</w:t>
      </w:r>
      <w:r w:rsidRPr="005F15DA">
        <w:t>nischen Grundstücken sowie Vor-, Vorkaufs-, Kaufsrechts- und Rückkaufs-Verträge, we</w:t>
      </w:r>
      <w:r w:rsidRPr="005F15DA">
        <w:t>l</w:t>
      </w:r>
      <w:r w:rsidRPr="005F15DA">
        <w:t>che sich auf solche Grundstücke beziehen, können nur durch einen im bernischen Not</w:t>
      </w:r>
      <w:r w:rsidRPr="005F15DA">
        <w:t>a</w:t>
      </w:r>
      <w:r w:rsidRPr="005F15DA">
        <w:t>riatsregister eingetragenen Notar öffentlich beurkundet werden; Notare anderer Kantone sind hierzu nicht berechtigt.</w:t>
      </w:r>
    </w:p>
    <w:p w:rsidR="006A1D52" w:rsidRPr="005F15DA" w:rsidRDefault="006A1D52" w:rsidP="006A1D52">
      <w:pPr>
        <w:ind w:left="426"/>
      </w:pPr>
    </w:p>
    <w:p w:rsidR="005D70F9" w:rsidRPr="005F15DA" w:rsidRDefault="005D70F9" w:rsidP="006A1D52">
      <w:pPr>
        <w:ind w:left="426"/>
      </w:pPr>
      <w:r w:rsidRPr="005F15DA">
        <w:t>Der Notar ist befugt und verpflichtet, die von ihm errichteten, eintragungsbedürftigen ö</w:t>
      </w:r>
      <w:r w:rsidRPr="005F15DA">
        <w:t>f</w:t>
      </w:r>
      <w:r w:rsidRPr="005F15DA">
        <w:t>fentlichen Urkunden (z.B. Kaufvertrag, AG-Gründung) bei den zuständigen Registerä</w:t>
      </w:r>
      <w:r w:rsidRPr="005F15DA">
        <w:t>m</w:t>
      </w:r>
      <w:r w:rsidRPr="005F15DA">
        <w:t>tern zur Eintragung anzumelden. Er ist in den damit zusammenhängenden Verfahren z</w:t>
      </w:r>
      <w:r w:rsidRPr="005F15DA">
        <w:t>u</w:t>
      </w:r>
      <w:r w:rsidRPr="005F15DA">
        <w:t>dem zur Prozessvertretung vor kantonalen Instanzen ermächtigt.</w:t>
      </w:r>
    </w:p>
    <w:p w:rsidR="006A1D52" w:rsidRPr="005F15DA" w:rsidRDefault="006A1D52" w:rsidP="006A1D52">
      <w:pPr>
        <w:ind w:left="426"/>
      </w:pPr>
    </w:p>
    <w:p w:rsidR="005D70F9" w:rsidRPr="005F15DA" w:rsidRDefault="005D70F9" w:rsidP="006A1D52">
      <w:pPr>
        <w:ind w:left="426"/>
      </w:pPr>
      <w:r w:rsidRPr="005F15DA">
        <w:t>Der Notar hat seine sachliche Zuständigkeit von Amtes wegen selber zu prüfen. Beu</w:t>
      </w:r>
      <w:r w:rsidRPr="005F15DA">
        <w:t>r</w:t>
      </w:r>
      <w:r w:rsidRPr="005F15DA">
        <w:t>kundet er trotz fehlender sachlicher Zuständigkeit, entsteht keine öffentliche Urkunde.</w:t>
      </w:r>
    </w:p>
    <w:p w:rsidR="00612A54" w:rsidRPr="005F15DA" w:rsidRDefault="00612A54" w:rsidP="00612A54">
      <w:pPr>
        <w:ind w:left="426"/>
      </w:pPr>
    </w:p>
    <w:p w:rsidR="00612A54" w:rsidRPr="005F15DA" w:rsidRDefault="00612A54" w:rsidP="00612A54">
      <w:pPr>
        <w:ind w:left="426"/>
      </w:pPr>
    </w:p>
    <w:p w:rsidR="005D70F9" w:rsidRPr="005F15DA" w:rsidRDefault="005D70F9" w:rsidP="00612A54">
      <w:pPr>
        <w:pStyle w:val="berschrift4"/>
      </w:pPr>
      <w:r w:rsidRPr="005F15DA">
        <w:rPr>
          <w:spacing w:val="-11"/>
        </w:rPr>
        <w:t>2.</w:t>
      </w:r>
      <w:r w:rsidRPr="005F15DA">
        <w:tab/>
        <w:t>Örtliche Zuständigkeit (Art. 22 NG)</w:t>
      </w:r>
    </w:p>
    <w:p w:rsidR="00612A54" w:rsidRDefault="005D70F9" w:rsidP="006A1D52">
      <w:pPr>
        <w:ind w:left="426"/>
      </w:pPr>
      <w:r w:rsidRPr="005F15DA">
        <w:t>Der Notar kann Beurkundungen im ganzen Kantonsgebiet vornehmen. Weil die öffentl</w:t>
      </w:r>
      <w:r w:rsidRPr="005F15DA">
        <w:t>i</w:t>
      </w:r>
      <w:r w:rsidRPr="005F15DA">
        <w:t>che Beurkundung kantonal geregelt ist, darf der bernische Notar nicht auf dem Gebiet e</w:t>
      </w:r>
      <w:r w:rsidRPr="005F15DA">
        <w:t>i</w:t>
      </w:r>
      <w:r w:rsidRPr="005F15DA">
        <w:t>nes anderen Kantons beurkunden, ausser der andere Kanton würde dies zulassen.</w:t>
      </w:r>
      <w:r w:rsidR="00612A54" w:rsidRPr="005F15DA">
        <w:t xml:space="preserve"> </w:t>
      </w:r>
    </w:p>
    <w:p w:rsidR="005D70F9" w:rsidRPr="005F15DA" w:rsidRDefault="005D70F9" w:rsidP="005759BE">
      <w:pPr>
        <w:pStyle w:val="berschrift3"/>
        <w:rPr>
          <w:lang w:val="de-CH"/>
        </w:rPr>
      </w:pPr>
      <w:bookmarkStart w:id="11" w:name="_Toc432175539"/>
      <w:r w:rsidRPr="005F15DA">
        <w:rPr>
          <w:lang w:val="de-CH"/>
        </w:rPr>
        <w:lastRenderedPageBreak/>
        <w:t>H.</w:t>
      </w:r>
      <w:r w:rsidRPr="005F15DA">
        <w:rPr>
          <w:lang w:val="de-CH"/>
        </w:rPr>
        <w:tab/>
        <w:t>Zulässige Rechtsformen</w:t>
      </w:r>
      <w:bookmarkEnd w:id="11"/>
    </w:p>
    <w:p w:rsidR="00AD2C6A" w:rsidRDefault="00AD2C6A" w:rsidP="006A1D52"/>
    <w:p w:rsidR="006A1D52" w:rsidRPr="005F15DA" w:rsidRDefault="005D70F9" w:rsidP="006A1D52">
      <w:r w:rsidRPr="005F15DA">
        <w:t xml:space="preserve">Der Notar kann sein Büro allein oder gemeinsam mit Vertretern anderer Berufe (gemeint ist mit anderen Notaren oder mit Anwälten) führen. </w:t>
      </w:r>
    </w:p>
    <w:p w:rsidR="006A1D52" w:rsidRPr="005F15DA" w:rsidRDefault="006A1D52" w:rsidP="006A1D52"/>
    <w:p w:rsidR="005D70F9" w:rsidRPr="005F15DA" w:rsidRDefault="005D70F9" w:rsidP="006A1D52">
      <w:r w:rsidRPr="005F15DA">
        <w:t>Es ist zulässig, dass das Büro auf gemeinsame Rechnung aller Beteiligten geführt wird. Sie können sich rechtlich organisieren als</w:t>
      </w:r>
    </w:p>
    <w:p w:rsidR="005D70F9" w:rsidRPr="005F15DA" w:rsidRDefault="005D70F9" w:rsidP="009D34F3">
      <w:pPr>
        <w:pStyle w:val="Listenabsatz"/>
        <w:numPr>
          <w:ilvl w:val="0"/>
          <w:numId w:val="41"/>
        </w:numPr>
        <w:ind w:left="284" w:hanging="283"/>
      </w:pPr>
      <w:r w:rsidRPr="005F15DA">
        <w:t>einfache Gesellschaft</w:t>
      </w:r>
    </w:p>
    <w:p w:rsidR="005D70F9" w:rsidRPr="005F15DA" w:rsidRDefault="005D70F9" w:rsidP="009D34F3">
      <w:pPr>
        <w:pStyle w:val="Listenabsatz"/>
        <w:numPr>
          <w:ilvl w:val="0"/>
          <w:numId w:val="41"/>
        </w:numPr>
        <w:ind w:left="284" w:hanging="283"/>
      </w:pPr>
      <w:r w:rsidRPr="005F15DA">
        <w:t>Kollektivgesellschaft</w:t>
      </w:r>
    </w:p>
    <w:p w:rsidR="005D70F9" w:rsidRPr="005F15DA" w:rsidRDefault="005D70F9" w:rsidP="009D34F3">
      <w:pPr>
        <w:pStyle w:val="Listenabsatz"/>
        <w:numPr>
          <w:ilvl w:val="0"/>
          <w:numId w:val="41"/>
        </w:numPr>
        <w:ind w:left="284" w:hanging="283"/>
      </w:pPr>
      <w:r w:rsidRPr="005F15DA">
        <w:t>Kommanditgesellschaft, wobei der Notar Komplementär sein muss</w:t>
      </w:r>
    </w:p>
    <w:p w:rsidR="006A1D52" w:rsidRPr="005F15DA" w:rsidRDefault="006A1D52" w:rsidP="006A1D52"/>
    <w:p w:rsidR="005D70F9" w:rsidRPr="005F15DA" w:rsidRDefault="005D70F9" w:rsidP="006A1D52">
      <w:r w:rsidRPr="005F15DA">
        <w:t>Andere Rechtsformen wie Aktiengesellschaft oder Genossenschaft sind wegen der damit ve</w:t>
      </w:r>
      <w:r w:rsidRPr="005F15DA">
        <w:t>r</w:t>
      </w:r>
      <w:r w:rsidRPr="005F15DA">
        <w:t>bundenen Haftungsbeschränkung nicht zulässig.</w:t>
      </w:r>
    </w:p>
    <w:p w:rsidR="00612A54" w:rsidRPr="005F15DA" w:rsidRDefault="00612A54" w:rsidP="006A1D52"/>
    <w:p w:rsidR="006A1D52" w:rsidRPr="005F15DA" w:rsidRDefault="006A1D52" w:rsidP="006A1D52"/>
    <w:p w:rsidR="00561ABB" w:rsidRPr="005F15DA" w:rsidRDefault="00561ABB" w:rsidP="006A1D52"/>
    <w:p w:rsidR="00612A54" w:rsidRPr="005F15DA" w:rsidRDefault="00612A54" w:rsidP="006A1D52"/>
    <w:p w:rsidR="005D70F9" w:rsidRPr="005F15DA" w:rsidRDefault="005D70F9" w:rsidP="00235B8F">
      <w:pPr>
        <w:pStyle w:val="berschrift2"/>
      </w:pPr>
      <w:bookmarkStart w:id="12" w:name="_Toc432175540"/>
      <w:r w:rsidRPr="005F15DA">
        <w:t>II. Beurkundungsverfahren</w:t>
      </w:r>
      <w:bookmarkEnd w:id="12"/>
    </w:p>
    <w:p w:rsidR="006A1D52" w:rsidRPr="005F15DA" w:rsidRDefault="006A1D52" w:rsidP="00AD2C6A">
      <w:r w:rsidRPr="005F15DA">
        <w:t>________</w:t>
      </w:r>
      <w:r w:rsidR="002F185C" w:rsidRPr="005F15DA">
        <w:t>___________________</w:t>
      </w:r>
      <w:r w:rsidR="00AD2C6A">
        <w:t>______</w:t>
      </w:r>
    </w:p>
    <w:p w:rsidR="006A1D52" w:rsidRPr="005F15DA" w:rsidRDefault="006A1D52" w:rsidP="006A1D52"/>
    <w:p w:rsidR="005D70F9" w:rsidRPr="005F15DA" w:rsidRDefault="002F185C" w:rsidP="002F185C">
      <w:pPr>
        <w:tabs>
          <w:tab w:val="left" w:pos="426"/>
          <w:tab w:val="left" w:pos="851"/>
        </w:tabs>
      </w:pPr>
      <w:r w:rsidRPr="005F15DA">
        <w:t>-</w:t>
      </w:r>
      <w:r w:rsidRPr="005F15DA">
        <w:tab/>
      </w:r>
      <w:r w:rsidR="005D70F9" w:rsidRPr="005F15DA">
        <w:t>Welches sind die Formvorschriften von Rechtsgeschäften?</w:t>
      </w:r>
    </w:p>
    <w:p w:rsidR="005D70F9" w:rsidRPr="005F15DA" w:rsidRDefault="002F185C" w:rsidP="002F185C">
      <w:pPr>
        <w:tabs>
          <w:tab w:val="left" w:pos="426"/>
          <w:tab w:val="left" w:pos="851"/>
        </w:tabs>
      </w:pPr>
      <w:r w:rsidRPr="005F15DA">
        <w:t>-</w:t>
      </w:r>
      <w:r w:rsidRPr="005F15DA">
        <w:tab/>
      </w:r>
      <w:r w:rsidR="005D70F9" w:rsidRPr="005F15DA">
        <w:t>Wie ist der Ablauf des Beurkundungsverfahrens bei</w:t>
      </w:r>
    </w:p>
    <w:p w:rsidR="005D70F9" w:rsidRPr="005F15DA" w:rsidRDefault="005D70F9" w:rsidP="009D34F3">
      <w:pPr>
        <w:pStyle w:val="Listenabsatz"/>
        <w:numPr>
          <w:ilvl w:val="0"/>
          <w:numId w:val="42"/>
        </w:numPr>
        <w:tabs>
          <w:tab w:val="left" w:pos="426"/>
        </w:tabs>
        <w:ind w:left="709" w:hanging="283"/>
      </w:pPr>
      <w:r w:rsidRPr="005F15DA">
        <w:rPr>
          <w:spacing w:val="-5"/>
        </w:rPr>
        <w:t>Willenserklärungen (ordentliches Verfahren/ZGB-Verfahren)?</w:t>
      </w:r>
    </w:p>
    <w:p w:rsidR="005D70F9" w:rsidRPr="005F15DA" w:rsidRDefault="005D70F9" w:rsidP="009D34F3">
      <w:pPr>
        <w:pStyle w:val="Listenabsatz"/>
        <w:numPr>
          <w:ilvl w:val="0"/>
          <w:numId w:val="42"/>
        </w:numPr>
        <w:tabs>
          <w:tab w:val="left" w:pos="426"/>
        </w:tabs>
        <w:ind w:left="709" w:hanging="283"/>
      </w:pPr>
      <w:r w:rsidRPr="005F15DA">
        <w:t>Sachbeurkundungen?</w:t>
      </w:r>
    </w:p>
    <w:p w:rsidR="005D70F9" w:rsidRPr="005F15DA" w:rsidRDefault="002F185C" w:rsidP="002F185C">
      <w:pPr>
        <w:tabs>
          <w:tab w:val="left" w:pos="426"/>
          <w:tab w:val="left" w:pos="851"/>
        </w:tabs>
      </w:pPr>
      <w:r w:rsidRPr="005F15DA">
        <w:t>-</w:t>
      </w:r>
      <w:r w:rsidRPr="005F15DA">
        <w:tab/>
      </w:r>
      <w:r w:rsidR="005D70F9" w:rsidRPr="005F15DA">
        <w:t>Was ist der Inhalt von notariellen Urkunden und wie werden sie verarbeitet?</w:t>
      </w:r>
    </w:p>
    <w:p w:rsidR="00612A54" w:rsidRPr="005F15DA" w:rsidRDefault="00612A54" w:rsidP="006A1D52"/>
    <w:p w:rsidR="006A1D52" w:rsidRPr="005F15DA" w:rsidRDefault="006A1D52" w:rsidP="006A1D52"/>
    <w:p w:rsidR="00612A54" w:rsidRPr="005F15DA" w:rsidRDefault="00612A54" w:rsidP="006A1D52"/>
    <w:p w:rsidR="005D70F9" w:rsidRPr="005F15DA" w:rsidRDefault="005D70F9" w:rsidP="005759BE">
      <w:pPr>
        <w:pStyle w:val="berschrift3"/>
        <w:rPr>
          <w:lang w:val="de-CH"/>
        </w:rPr>
      </w:pPr>
      <w:bookmarkStart w:id="13" w:name="_Toc432175541"/>
      <w:r w:rsidRPr="005F15DA">
        <w:rPr>
          <w:lang w:val="de-CH"/>
        </w:rPr>
        <w:t>A.</w:t>
      </w:r>
      <w:r w:rsidRPr="005F15DA">
        <w:rPr>
          <w:lang w:val="de-CH"/>
        </w:rPr>
        <w:tab/>
        <w:t>Formvorschriften der Rechtsgeschäfte (Art. 11 ff. OR)</w:t>
      </w:r>
      <w:bookmarkEnd w:id="13"/>
    </w:p>
    <w:p w:rsidR="00AD2C6A" w:rsidRDefault="00AD2C6A" w:rsidP="00CA60D4"/>
    <w:p w:rsidR="005D70F9" w:rsidRPr="005F15DA" w:rsidRDefault="005D70F9" w:rsidP="00CA60D4">
      <w:r w:rsidRPr="005F15DA">
        <w:t>Rechtsgeschäfte bedürfen nur dann einer bestimmten Form, wenn dies gesetzlich vorg</w:t>
      </w:r>
      <w:r w:rsidRPr="005F15DA">
        <w:t>e</w:t>
      </w:r>
      <w:r w:rsidRPr="005F15DA">
        <w:t>schrieben ist. Die meisten Verträge können formlos abgeschlossen werden (z.B. Fahrniskauf, Mietvertrag, Einzelarbeitsvertrag). Aus Beweisgründen empfiehlt sich jedoch Schriftlichkeit.</w:t>
      </w:r>
    </w:p>
    <w:p w:rsidR="00CA60D4" w:rsidRPr="005F15DA" w:rsidRDefault="00CA60D4" w:rsidP="00CA60D4"/>
    <w:p w:rsidR="005D70F9" w:rsidRPr="005F15DA" w:rsidRDefault="005D70F9" w:rsidP="00CA60D4">
      <w:r w:rsidRPr="005F15DA">
        <w:t>Es werden folgende Formen unterschieden:</w:t>
      </w:r>
    </w:p>
    <w:p w:rsidR="005D70F9" w:rsidRPr="005F15DA" w:rsidRDefault="005D70F9" w:rsidP="009D34F3">
      <w:pPr>
        <w:pStyle w:val="Listenabsatz"/>
        <w:numPr>
          <w:ilvl w:val="0"/>
          <w:numId w:val="43"/>
        </w:numPr>
        <w:ind w:left="426" w:hanging="426"/>
      </w:pPr>
      <w:r w:rsidRPr="005F15DA">
        <w:t>einfache Schriftlichkeit (eigenhändige Unterschrift aller aus dem Vertrag Verpflichteten)</w:t>
      </w:r>
    </w:p>
    <w:p w:rsidR="005D70F9" w:rsidRPr="005F15DA" w:rsidRDefault="005D70F9" w:rsidP="009D34F3">
      <w:pPr>
        <w:pStyle w:val="Listenabsatz"/>
        <w:numPr>
          <w:ilvl w:val="0"/>
          <w:numId w:val="43"/>
        </w:numPr>
        <w:ind w:left="426" w:hanging="426"/>
      </w:pPr>
      <w:r w:rsidRPr="005F15DA">
        <w:t>qualifizierte Schriftlichkeit (neben der Unterschrift sind noch weitere Vertragsbestandteile oder das ganze Dokument von Hand zu schreiben oder es ist ein bestimmtes Formular zu verwenden)</w:t>
      </w:r>
    </w:p>
    <w:p w:rsidR="005D70F9" w:rsidRPr="005F15DA" w:rsidRDefault="005D70F9" w:rsidP="009D34F3">
      <w:pPr>
        <w:pStyle w:val="Listenabsatz"/>
        <w:numPr>
          <w:ilvl w:val="0"/>
          <w:numId w:val="43"/>
        </w:numPr>
        <w:ind w:left="426" w:hanging="426"/>
      </w:pPr>
      <w:r w:rsidRPr="005F15DA">
        <w:t>öffentliche Beurkundung (die Verträge bedürfen der Mitwirkung einer Urkundsperson)</w:t>
      </w:r>
    </w:p>
    <w:p w:rsidR="005D70F9" w:rsidRPr="005F15DA" w:rsidRDefault="005D70F9" w:rsidP="009D34F3">
      <w:pPr>
        <w:pStyle w:val="Listenabsatz"/>
        <w:numPr>
          <w:ilvl w:val="0"/>
          <w:numId w:val="43"/>
        </w:numPr>
        <w:ind w:left="426" w:hanging="426"/>
      </w:pPr>
      <w:r w:rsidRPr="005F15DA">
        <w:t>Eintrag in ein öffentliches Register (gewisse Verträge werden erst gültig mit der Eintr</w:t>
      </w:r>
      <w:r w:rsidRPr="005F15DA">
        <w:t>a</w:t>
      </w:r>
      <w:r w:rsidRPr="005F15DA">
        <w:t>gung in ein öffentliches Register wie das Grundbuch oder das Handelsregister)</w:t>
      </w:r>
    </w:p>
    <w:p w:rsidR="005D70F9" w:rsidRPr="005F15DA" w:rsidRDefault="005D70F9" w:rsidP="009D34F3">
      <w:pPr>
        <w:pStyle w:val="Listenabsatz"/>
        <w:numPr>
          <w:ilvl w:val="0"/>
          <w:numId w:val="43"/>
        </w:numPr>
        <w:ind w:left="426" w:hanging="426"/>
      </w:pPr>
      <w:r w:rsidRPr="005F15DA">
        <w:t>in einzelnen Fällen ist neben der öffentlichen Beurkundung oder der einfachen Schrif</w:t>
      </w:r>
      <w:r w:rsidRPr="005F15DA">
        <w:t>t</w:t>
      </w:r>
      <w:r w:rsidRPr="005F15DA">
        <w:t>lichkeit auch noch die zusätzliche Registereintragung notwendig</w:t>
      </w:r>
    </w:p>
    <w:p w:rsidR="00612A54" w:rsidRDefault="00612A54" w:rsidP="00612A54">
      <w:pPr>
        <w:ind w:left="426"/>
      </w:pPr>
    </w:p>
    <w:p w:rsidR="00E85608" w:rsidRPr="005F15DA" w:rsidRDefault="00E85608" w:rsidP="00612A54">
      <w:pPr>
        <w:ind w:left="426"/>
      </w:pPr>
    </w:p>
    <w:p w:rsidR="005D70F9" w:rsidRPr="005F15DA" w:rsidRDefault="005D70F9" w:rsidP="005759BE">
      <w:pPr>
        <w:pStyle w:val="berschrift3"/>
        <w:rPr>
          <w:lang w:val="de-CH"/>
        </w:rPr>
      </w:pPr>
      <w:bookmarkStart w:id="14" w:name="_Toc432175542"/>
      <w:r w:rsidRPr="005F15DA">
        <w:rPr>
          <w:spacing w:val="-24"/>
          <w:lang w:val="de-CH"/>
        </w:rPr>
        <w:lastRenderedPageBreak/>
        <w:t>B.</w:t>
      </w:r>
      <w:r w:rsidRPr="005F15DA">
        <w:rPr>
          <w:lang w:val="de-CH"/>
        </w:rPr>
        <w:tab/>
        <w:t>Arten der Beurkundungen</w:t>
      </w:r>
      <w:bookmarkEnd w:id="14"/>
    </w:p>
    <w:p w:rsidR="00612A54" w:rsidRPr="005F15DA" w:rsidRDefault="00612A54" w:rsidP="00612A54">
      <w:pPr>
        <w:ind w:left="426"/>
      </w:pPr>
    </w:p>
    <w:p w:rsidR="005D70F9" w:rsidRPr="005F15DA" w:rsidRDefault="005D70F9" w:rsidP="006A1D52">
      <w:pPr>
        <w:pStyle w:val="berschrift4"/>
      </w:pPr>
      <w:r w:rsidRPr="005F15DA">
        <w:rPr>
          <w:spacing w:val="-22"/>
        </w:rPr>
        <w:t>1.</w:t>
      </w:r>
      <w:r w:rsidRPr="005F15DA">
        <w:tab/>
        <w:t>Definition</w:t>
      </w:r>
    </w:p>
    <w:p w:rsidR="005D70F9" w:rsidRPr="005F15DA" w:rsidRDefault="005D70F9" w:rsidP="00CA60D4">
      <w:pPr>
        <w:ind w:left="426"/>
      </w:pPr>
      <w:r w:rsidRPr="005F15DA">
        <w:t xml:space="preserve">Bei der Beurkundung von </w:t>
      </w:r>
      <w:r w:rsidRPr="005F15DA">
        <w:rPr>
          <w:b/>
        </w:rPr>
        <w:t>Willens- und Wissenserklärungen</w:t>
      </w:r>
      <w:r w:rsidRPr="005F15DA">
        <w:t xml:space="preserve"> hält der Notar die recht</w:t>
      </w:r>
      <w:r w:rsidRPr="005F15DA">
        <w:t>s</w:t>
      </w:r>
      <w:r w:rsidRPr="005F15DA">
        <w:t>geschäftlichen Erklärungen der Parteien fest (z.B. Kaufvertrag, öffentliches Testament, Ehevertrag, Erbvertrag, Gründung einer AG, usw.).</w:t>
      </w:r>
    </w:p>
    <w:p w:rsidR="005D70F9" w:rsidRPr="005F15DA" w:rsidRDefault="005D70F9" w:rsidP="00CA60D4">
      <w:pPr>
        <w:ind w:left="426"/>
      </w:pPr>
      <w:r w:rsidRPr="005F15DA">
        <w:t xml:space="preserve">Bei der Beurkundung von </w:t>
      </w:r>
      <w:r w:rsidRPr="005F15DA">
        <w:rPr>
          <w:b/>
        </w:rPr>
        <w:t>Vorgängen und Zuständen</w:t>
      </w:r>
      <w:r w:rsidRPr="005F15DA">
        <w:t>, den sog. Sachbeurkundungen, beurkundet der Notar die eigene Feststellung einer Tatsache über:</w:t>
      </w:r>
    </w:p>
    <w:p w:rsidR="005D70F9" w:rsidRPr="005F15DA" w:rsidRDefault="005D70F9" w:rsidP="00CA60D4">
      <w:pPr>
        <w:tabs>
          <w:tab w:val="left" w:pos="709"/>
        </w:tabs>
        <w:ind w:left="426"/>
      </w:pPr>
      <w:r w:rsidRPr="005F15DA">
        <w:t>-</w:t>
      </w:r>
      <w:r w:rsidRPr="005F15DA">
        <w:tab/>
        <w:t>einen Zustand (Urkunde über den Zustand eines Hauses)</w:t>
      </w:r>
    </w:p>
    <w:p w:rsidR="005D70F9" w:rsidRPr="005F15DA" w:rsidRDefault="005D70F9" w:rsidP="00CA60D4">
      <w:pPr>
        <w:tabs>
          <w:tab w:val="left" w:pos="709"/>
        </w:tabs>
        <w:ind w:left="426"/>
      </w:pPr>
      <w:r w:rsidRPr="005F15DA">
        <w:t>-</w:t>
      </w:r>
      <w:r w:rsidRPr="005F15DA">
        <w:tab/>
        <w:t>einen Vorgang (Versammlungs- oder Steigerungsprotokoll)</w:t>
      </w:r>
    </w:p>
    <w:p w:rsidR="005D70F9" w:rsidRPr="005F15DA" w:rsidRDefault="005D70F9" w:rsidP="00CA60D4">
      <w:pPr>
        <w:tabs>
          <w:tab w:val="left" w:pos="709"/>
        </w:tabs>
        <w:ind w:left="709" w:hanging="283"/>
      </w:pPr>
      <w:r w:rsidRPr="005F15DA">
        <w:t>-</w:t>
      </w:r>
      <w:r w:rsidRPr="005F15DA">
        <w:tab/>
        <w:t>eine Rechtslage, die sich aus Tatsachen logisch zwingend ergibt (Anerkennung von Erben)</w:t>
      </w:r>
    </w:p>
    <w:p w:rsidR="00612A54" w:rsidRPr="005F15DA" w:rsidRDefault="00612A54" w:rsidP="00612A54">
      <w:pPr>
        <w:ind w:left="426"/>
      </w:pPr>
    </w:p>
    <w:p w:rsidR="00612A54" w:rsidRPr="005F15DA" w:rsidRDefault="00612A54" w:rsidP="00612A54">
      <w:pPr>
        <w:ind w:left="426"/>
      </w:pPr>
    </w:p>
    <w:p w:rsidR="005D70F9" w:rsidRPr="005F15DA" w:rsidRDefault="005D70F9" w:rsidP="006A1D52">
      <w:pPr>
        <w:pStyle w:val="berschrift4"/>
      </w:pPr>
      <w:r w:rsidRPr="005F15DA">
        <w:rPr>
          <w:spacing w:val="-9"/>
        </w:rPr>
        <w:t>2.</w:t>
      </w:r>
      <w:r w:rsidRPr="005F15DA">
        <w:tab/>
        <w:t>Verfahrensarten</w:t>
      </w:r>
    </w:p>
    <w:p w:rsidR="005D70F9" w:rsidRPr="005F15DA" w:rsidRDefault="00CA60D4" w:rsidP="005D70F9">
      <w:pPr>
        <w:tabs>
          <w:tab w:val="left" w:pos="426"/>
        </w:tabs>
        <w:ind w:left="425"/>
        <w:rPr>
          <w:rFonts w:cs="Arial"/>
          <w:bCs/>
          <w:spacing w:val="-5"/>
          <w:sz w:val="20"/>
          <w:szCs w:val="20"/>
        </w:rPr>
      </w:pPr>
      <w:r w:rsidRPr="005F15DA">
        <w:rPr>
          <w:rFonts w:cs="Arial"/>
          <w:bCs/>
          <w:noProof/>
          <w:spacing w:val="-5"/>
          <w:sz w:val="20"/>
          <w:szCs w:val="20"/>
          <w:lang w:eastAsia="de-CH"/>
        </w:rPr>
        <mc:AlternateContent>
          <mc:Choice Requires="wps">
            <w:drawing>
              <wp:anchor distT="0" distB="0" distL="114300" distR="114300" simplePos="0" relativeHeight="251714560" behindDoc="0" locked="0" layoutInCell="1" allowOverlap="1" wp14:anchorId="7F0345BD" wp14:editId="3B976B48">
                <wp:simplePos x="0" y="0"/>
                <wp:positionH relativeFrom="column">
                  <wp:posOffset>2275603</wp:posOffset>
                </wp:positionH>
                <wp:positionV relativeFrom="paragraph">
                  <wp:posOffset>49751</wp:posOffset>
                </wp:positionV>
                <wp:extent cx="1676400" cy="459105"/>
                <wp:effectExtent l="0" t="0" r="19050" b="17145"/>
                <wp:wrapNone/>
                <wp:docPr id="72" name="Rectangle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459105"/>
                        </a:xfrm>
                        <a:prstGeom prst="rect">
                          <a:avLst/>
                        </a:prstGeom>
                        <a:solidFill>
                          <a:srgbClr val="FFFFFF"/>
                        </a:solidFill>
                        <a:ln w="9525">
                          <a:solidFill>
                            <a:srgbClr val="000000"/>
                          </a:solidFill>
                          <a:miter lim="800000"/>
                          <a:headEnd/>
                          <a:tailEnd/>
                        </a:ln>
                      </wps:spPr>
                      <wps:txbx>
                        <w:txbxContent>
                          <w:p w:rsidR="007371BD" w:rsidRPr="000472CF" w:rsidRDefault="007371BD" w:rsidP="005D70F9">
                            <w:r>
                              <w:t>Öffentliche Beurku</w:t>
                            </w:r>
                            <w:r>
                              <w:t>n</w:t>
                            </w:r>
                            <w:r>
                              <w:t>dung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8" o:spid="_x0000_s1026" style="position:absolute;left:0;text-align:left;margin-left:179.2pt;margin-top:3.9pt;width:132pt;height:36.1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">
                <v:textbox>
                  <w:txbxContent>
                    <w:p w:rsidR="007371BD" w:rsidRPr="000472CF" w:rsidRDefault="007371BD" w:rsidP="005D70F9">
                      <w:r>
                        <w:t>Öffentliche Beurku</w:t>
                      </w:r>
                      <w:r>
                        <w:t>n</w:t>
                      </w:r>
                      <w:r>
                        <w:t>dung</w:t>
                      </w:r>
                    </w:p>
                  </w:txbxContent>
                </v:textbox>
              </v:rect>
            </w:pict>
          </mc:Fallback>
        </mc:AlternateContent>
      </w:r>
    </w:p>
    <w:p w:rsidR="005D70F9" w:rsidRPr="005F15DA" w:rsidRDefault="005D70F9" w:rsidP="005D70F9">
      <w:pPr>
        <w:tabs>
          <w:tab w:val="left" w:pos="426"/>
        </w:tabs>
        <w:ind w:left="425"/>
        <w:rPr>
          <w:rFonts w:cs="Arial"/>
          <w:bCs/>
          <w:spacing w:val="-5"/>
          <w:sz w:val="20"/>
          <w:szCs w:val="20"/>
        </w:rPr>
      </w:pPr>
    </w:p>
    <w:p w:rsidR="005D70F9" w:rsidRPr="005F15DA" w:rsidRDefault="00CA60D4" w:rsidP="005D70F9">
      <w:pPr>
        <w:tabs>
          <w:tab w:val="left" w:pos="426"/>
          <w:tab w:val="left" w:pos="5670"/>
        </w:tabs>
        <w:spacing w:before="336"/>
        <w:ind w:left="425"/>
        <w:rPr>
          <w:rFonts w:cs="Arial"/>
          <w:bCs/>
          <w:spacing w:val="-5"/>
          <w:sz w:val="20"/>
          <w:szCs w:val="20"/>
        </w:rPr>
      </w:pPr>
      <w:r w:rsidRPr="005F15DA">
        <w:rPr>
          <w:rFonts w:cs="Arial"/>
          <w:bCs/>
          <w:noProof/>
          <w:spacing w:val="-5"/>
          <w:sz w:val="20"/>
          <w:szCs w:val="20"/>
          <w:lang w:eastAsia="de-CH"/>
        </w:rPr>
        <mc:AlternateContent>
          <mc:Choice Requires="wps">
            <w:drawing>
              <wp:anchor distT="0" distB="0" distL="114300" distR="114300" simplePos="0" relativeHeight="251704320" behindDoc="0" locked="0" layoutInCell="1" allowOverlap="1" wp14:anchorId="3AFB7A28" wp14:editId="5C8A1191">
                <wp:simplePos x="0" y="0"/>
                <wp:positionH relativeFrom="column">
                  <wp:posOffset>3023708</wp:posOffset>
                </wp:positionH>
                <wp:positionV relativeFrom="paragraph">
                  <wp:posOffset>199390</wp:posOffset>
                </wp:positionV>
                <wp:extent cx="1041990" cy="340242"/>
                <wp:effectExtent l="0" t="0" r="63500" b="60325"/>
                <wp:wrapNone/>
                <wp:docPr id="71" name="Line 1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41990" cy="34024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8" o:spid="_x0000_s1026"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8.1pt,15.7pt" to="320.1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">
                <v:stroke endarrow="block"/>
              </v:line>
            </w:pict>
          </mc:Fallback>
        </mc:AlternateContent>
      </w:r>
      <w:r w:rsidRPr="005F15DA">
        <w:rPr>
          <w:rFonts w:cs="Arial"/>
          <w:bCs/>
          <w:noProof/>
          <w:spacing w:val="-5"/>
          <w:sz w:val="20"/>
          <w:szCs w:val="20"/>
          <w:lang w:eastAsia="de-CH"/>
        </w:rPr>
        <mc:AlternateContent>
          <mc:Choice Requires="wps">
            <w:drawing>
              <wp:anchor distT="0" distB="0" distL="114300" distR="114300" simplePos="0" relativeHeight="251703296" behindDoc="0" locked="0" layoutInCell="1" allowOverlap="1" wp14:anchorId="37D0DAFE" wp14:editId="626E0AA7">
                <wp:simplePos x="0" y="0"/>
                <wp:positionH relativeFrom="column">
                  <wp:posOffset>1598930</wp:posOffset>
                </wp:positionH>
                <wp:positionV relativeFrom="paragraph">
                  <wp:posOffset>199390</wp:posOffset>
                </wp:positionV>
                <wp:extent cx="1424940" cy="909955"/>
                <wp:effectExtent l="38100" t="0" r="22860" b="61595"/>
                <wp:wrapNone/>
                <wp:docPr id="70" name="Line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24940" cy="9099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2" o:spid="_x0000_s1026" style="position:absolute;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5.9pt,15.7pt" to="238.1pt,8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">
                <v:stroke endarrow="block"/>
              </v:line>
            </w:pict>
          </mc:Fallback>
        </mc:AlternateContent>
      </w:r>
    </w:p>
    <w:p w:rsidR="005D70F9" w:rsidRPr="005F15DA" w:rsidRDefault="002162A7" w:rsidP="005D70F9">
      <w:pPr>
        <w:tabs>
          <w:tab w:val="left" w:pos="426"/>
          <w:tab w:val="left" w:pos="5670"/>
        </w:tabs>
        <w:ind w:left="425"/>
        <w:rPr>
          <w:rFonts w:cs="Arial"/>
          <w:bCs/>
          <w:spacing w:val="-5"/>
          <w:sz w:val="20"/>
          <w:szCs w:val="20"/>
        </w:rPr>
      </w:pPr>
      <w:r w:rsidRPr="005F15DA">
        <w:rPr>
          <w:rFonts w:cs="Arial"/>
          <w:bCs/>
          <w:noProof/>
          <w:spacing w:val="-5"/>
          <w:sz w:val="20"/>
          <w:szCs w:val="20"/>
          <w:lang w:eastAsia="de-CH"/>
        </w:rPr>
        <mc:AlternateContent>
          <mc:Choice Requires="wps">
            <w:drawing>
              <wp:anchor distT="0" distB="0" distL="114300" distR="114300" simplePos="0" relativeHeight="251693056" behindDoc="0" locked="0" layoutInCell="1" allowOverlap="1" wp14:anchorId="329B9457" wp14:editId="1596A81F">
                <wp:simplePos x="0" y="0"/>
                <wp:positionH relativeFrom="column">
                  <wp:posOffset>3636143</wp:posOffset>
                </wp:positionH>
                <wp:positionV relativeFrom="paragraph">
                  <wp:posOffset>228689</wp:posOffset>
                </wp:positionV>
                <wp:extent cx="1752600" cy="463579"/>
                <wp:effectExtent l="0" t="0" r="19050" b="12700"/>
                <wp:wrapNone/>
                <wp:docPr id="69"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463579"/>
                        </a:xfrm>
                        <a:prstGeom prst="rect">
                          <a:avLst/>
                        </a:prstGeom>
                        <a:solidFill>
                          <a:srgbClr val="FFFFFF"/>
                        </a:solidFill>
                        <a:ln w="9525">
                          <a:solidFill>
                            <a:srgbClr val="000000"/>
                          </a:solidFill>
                          <a:miter lim="800000"/>
                          <a:headEnd/>
                          <a:tailEnd/>
                        </a:ln>
                      </wps:spPr>
                      <wps:txbx>
                        <w:txbxContent>
                          <w:p w:rsidR="007371BD" w:rsidRPr="000472CF" w:rsidRDefault="007371BD" w:rsidP="005D70F9">
                            <w:r>
                              <w:t>Beurkundung von Vor-gängen und Zuständen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5" o:spid="_x0000_s1027" style="position:absolute;left:0;text-align:left;margin-left:286.3pt;margin-top:18pt;width:138pt;height:36.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">
                <v:textbox>
                  <w:txbxContent>
                    <w:p w:rsidR="007371BD" w:rsidRPr="000472CF" w:rsidRDefault="007371BD" w:rsidP="005D70F9">
                      <w:r>
                        <w:t>Beurkundung von Vor-gängen und Zuständen</w:t>
                      </w:r>
                    </w:p>
                  </w:txbxContent>
                </v:textbox>
              </v:rect>
            </w:pict>
          </mc:Fallback>
        </mc:AlternateContent>
      </w:r>
    </w:p>
    <w:p w:rsidR="005D70F9" w:rsidRPr="005F15DA" w:rsidRDefault="005D70F9" w:rsidP="005D70F9">
      <w:pPr>
        <w:tabs>
          <w:tab w:val="left" w:pos="426"/>
          <w:tab w:val="left" w:pos="5670"/>
        </w:tabs>
        <w:spacing w:before="336"/>
        <w:ind w:left="425"/>
        <w:rPr>
          <w:rFonts w:cs="Arial"/>
          <w:bCs/>
          <w:spacing w:val="-5"/>
          <w:sz w:val="20"/>
          <w:szCs w:val="20"/>
        </w:rPr>
      </w:pPr>
    </w:p>
    <w:p w:rsidR="005D70F9" w:rsidRPr="005F15DA" w:rsidRDefault="005D70F9" w:rsidP="005D70F9">
      <w:pPr>
        <w:tabs>
          <w:tab w:val="left" w:pos="426"/>
          <w:tab w:val="left" w:pos="5670"/>
          <w:tab w:val="left" w:pos="7371"/>
        </w:tabs>
        <w:ind w:left="426"/>
        <w:rPr>
          <w:rFonts w:cs="Arial"/>
          <w:bCs/>
          <w:spacing w:val="-5"/>
          <w:sz w:val="20"/>
          <w:szCs w:val="20"/>
        </w:rPr>
      </w:pPr>
    </w:p>
    <w:p w:rsidR="005D70F9" w:rsidRPr="005F15DA" w:rsidRDefault="00CA60D4" w:rsidP="005D70F9">
      <w:pPr>
        <w:tabs>
          <w:tab w:val="left" w:pos="426"/>
          <w:tab w:val="left" w:pos="5670"/>
          <w:tab w:val="left" w:pos="7371"/>
        </w:tabs>
        <w:spacing w:before="336"/>
        <w:ind w:left="426"/>
        <w:rPr>
          <w:rFonts w:cs="Arial"/>
          <w:bCs/>
          <w:spacing w:val="-5"/>
          <w:sz w:val="20"/>
          <w:szCs w:val="20"/>
        </w:rPr>
      </w:pPr>
      <w:r w:rsidRPr="005F15DA">
        <w:rPr>
          <w:rFonts w:cs="Arial"/>
          <w:bCs/>
          <w:noProof/>
          <w:spacing w:val="-5"/>
          <w:sz w:val="20"/>
          <w:szCs w:val="20"/>
          <w:lang w:eastAsia="de-CH"/>
        </w:rPr>
        <mc:AlternateContent>
          <mc:Choice Requires="wps">
            <w:drawing>
              <wp:anchor distT="0" distB="0" distL="114300" distR="114300" simplePos="0" relativeHeight="251706368" behindDoc="0" locked="0" layoutInCell="1" allowOverlap="1" wp14:anchorId="4FBC70EC" wp14:editId="0B44E867">
                <wp:simplePos x="0" y="0"/>
                <wp:positionH relativeFrom="column">
                  <wp:posOffset>4473575</wp:posOffset>
                </wp:positionH>
                <wp:positionV relativeFrom="paragraph">
                  <wp:posOffset>10795</wp:posOffset>
                </wp:positionV>
                <wp:extent cx="607695" cy="433705"/>
                <wp:effectExtent l="0" t="0" r="78105" b="61595"/>
                <wp:wrapNone/>
                <wp:docPr id="68" name="Line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7695" cy="4337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2" o:spid="_x0000_s1026" style="position:absolute;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2.25pt,.85pt" to="400.1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">
                <v:stroke endarrow="block"/>
              </v:line>
            </w:pict>
          </mc:Fallback>
        </mc:AlternateContent>
      </w:r>
      <w:r w:rsidRPr="005F15DA">
        <w:rPr>
          <w:rFonts w:cs="Arial"/>
          <w:bCs/>
          <w:noProof/>
          <w:spacing w:val="-5"/>
          <w:sz w:val="20"/>
          <w:szCs w:val="20"/>
          <w:lang w:eastAsia="de-CH"/>
        </w:rPr>
        <mc:AlternateContent>
          <mc:Choice Requires="wps">
            <w:drawing>
              <wp:anchor distT="0" distB="0" distL="114300" distR="114300" simplePos="0" relativeHeight="251710464" behindDoc="0" locked="0" layoutInCell="1" allowOverlap="1" wp14:anchorId="6D9462A6" wp14:editId="70997316">
                <wp:simplePos x="0" y="0"/>
                <wp:positionH relativeFrom="column">
                  <wp:posOffset>4086860</wp:posOffset>
                </wp:positionH>
                <wp:positionV relativeFrom="paragraph">
                  <wp:posOffset>10795</wp:posOffset>
                </wp:positionV>
                <wp:extent cx="386715" cy="407670"/>
                <wp:effectExtent l="38100" t="0" r="32385" b="49530"/>
                <wp:wrapNone/>
                <wp:docPr id="67" name="Line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6715" cy="4076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6" o:spid="_x0000_s1026" style="position:absolute;flip:x;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1.8pt,.85pt" to="352.25pt,3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">
                <v:stroke endarrow="block"/>
              </v:line>
            </w:pict>
          </mc:Fallback>
        </mc:AlternateContent>
      </w:r>
      <w:r w:rsidRPr="005F15DA">
        <w:rPr>
          <w:rFonts w:cs="Arial"/>
          <w:bCs/>
          <w:noProof/>
          <w:spacing w:val="-5"/>
          <w:sz w:val="20"/>
          <w:szCs w:val="20"/>
          <w:lang w:eastAsia="de-CH"/>
        </w:rPr>
        <mc:AlternateContent>
          <mc:Choice Requires="wps">
            <w:drawing>
              <wp:anchor distT="0" distB="0" distL="114300" distR="114300" simplePos="0" relativeHeight="251692032" behindDoc="0" locked="0" layoutInCell="1" allowOverlap="1" wp14:anchorId="49E10BB4" wp14:editId="598AC3D8">
                <wp:simplePos x="0" y="0"/>
                <wp:positionH relativeFrom="column">
                  <wp:posOffset>280035</wp:posOffset>
                </wp:positionH>
                <wp:positionV relativeFrom="paragraph">
                  <wp:posOffset>72390</wp:posOffset>
                </wp:positionV>
                <wp:extent cx="1943100" cy="480060"/>
                <wp:effectExtent l="0" t="0" r="19050" b="15240"/>
                <wp:wrapNone/>
                <wp:docPr id="66" name="Rectangle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480060"/>
                        </a:xfrm>
                        <a:prstGeom prst="rect">
                          <a:avLst/>
                        </a:prstGeom>
                        <a:solidFill>
                          <a:srgbClr val="FFFFFF"/>
                        </a:solidFill>
                        <a:ln w="9525">
                          <a:solidFill>
                            <a:srgbClr val="000000"/>
                          </a:solidFill>
                          <a:miter lim="800000"/>
                          <a:headEnd/>
                          <a:tailEnd/>
                        </a:ln>
                      </wps:spPr>
                      <wps:txbx>
                        <w:txbxContent>
                          <w:p w:rsidR="007371BD" w:rsidRPr="000472CF" w:rsidRDefault="007371BD" w:rsidP="005D70F9">
                            <w:r>
                              <w:t>Beurkundung von Willens- und Wissenserklärungen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4" o:spid="_x0000_s1028" style="position:absolute;left:0;text-align:left;margin-left:22.05pt;margin-top:5.7pt;width:153pt;height:37.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">
                <v:textbox>
                  <w:txbxContent>
                    <w:p w:rsidR="007371BD" w:rsidRPr="000472CF" w:rsidRDefault="007371BD" w:rsidP="005D70F9">
                      <w:r>
                        <w:t>Beurkundung von Willens- und Wissenserklärungen</w:t>
                      </w:r>
                    </w:p>
                  </w:txbxContent>
                </v:textbox>
              </v:rect>
            </w:pict>
          </mc:Fallback>
        </mc:AlternateContent>
      </w:r>
    </w:p>
    <w:p w:rsidR="005D70F9" w:rsidRPr="005F15DA" w:rsidRDefault="00CA60D4" w:rsidP="005D70F9">
      <w:pPr>
        <w:tabs>
          <w:tab w:val="left" w:pos="426"/>
          <w:tab w:val="left" w:pos="5670"/>
          <w:tab w:val="left" w:pos="7371"/>
        </w:tabs>
        <w:spacing w:before="336"/>
        <w:ind w:left="426"/>
        <w:rPr>
          <w:rFonts w:cs="Arial"/>
          <w:bCs/>
          <w:spacing w:val="-5"/>
          <w:sz w:val="20"/>
          <w:szCs w:val="20"/>
        </w:rPr>
      </w:pPr>
      <w:r w:rsidRPr="005F15DA">
        <w:rPr>
          <w:rFonts w:cs="Arial"/>
          <w:bCs/>
          <w:noProof/>
          <w:spacing w:val="-5"/>
          <w:sz w:val="20"/>
          <w:szCs w:val="20"/>
          <w:lang w:eastAsia="de-CH"/>
        </w:rPr>
        <mc:AlternateContent>
          <mc:Choice Requires="wps">
            <w:drawing>
              <wp:anchor distT="0" distB="0" distL="114300" distR="114300" simplePos="0" relativeHeight="251707392" behindDoc="0" locked="0" layoutInCell="1" allowOverlap="1" wp14:anchorId="3B880BF0" wp14:editId="6D3EC130">
                <wp:simplePos x="0" y="0"/>
                <wp:positionH relativeFrom="column">
                  <wp:posOffset>845820</wp:posOffset>
                </wp:positionH>
                <wp:positionV relativeFrom="paragraph">
                  <wp:posOffset>195580</wp:posOffset>
                </wp:positionV>
                <wp:extent cx="502920" cy="599440"/>
                <wp:effectExtent l="38100" t="0" r="30480" b="48260"/>
                <wp:wrapNone/>
                <wp:docPr id="64"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2920" cy="5994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3" o:spid="_x0000_s1026" style="position:absolute;flip:x;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6.6pt,15.4pt" to="106.2pt,6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">
                <v:stroke endarrow="block"/>
              </v:line>
            </w:pict>
          </mc:Fallback>
        </mc:AlternateContent>
      </w:r>
      <w:r w:rsidRPr="005F15DA">
        <w:rPr>
          <w:rFonts w:cs="Arial"/>
          <w:bCs/>
          <w:noProof/>
          <w:spacing w:val="-5"/>
          <w:sz w:val="20"/>
          <w:szCs w:val="20"/>
          <w:lang w:eastAsia="de-CH"/>
        </w:rPr>
        <mc:AlternateContent>
          <mc:Choice Requires="wps">
            <w:drawing>
              <wp:anchor distT="0" distB="0" distL="114300" distR="114300" simplePos="0" relativeHeight="251708416" behindDoc="0" locked="0" layoutInCell="1" allowOverlap="1" wp14:anchorId="1B8647D3" wp14:editId="097E2706">
                <wp:simplePos x="0" y="0"/>
                <wp:positionH relativeFrom="column">
                  <wp:posOffset>1348016</wp:posOffset>
                </wp:positionH>
                <wp:positionV relativeFrom="paragraph">
                  <wp:posOffset>195639</wp:posOffset>
                </wp:positionV>
                <wp:extent cx="1190625" cy="599676"/>
                <wp:effectExtent l="0" t="0" r="66675" b="48260"/>
                <wp:wrapNone/>
                <wp:docPr id="65" name="Line 1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90625" cy="59967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4" o:spid="_x0000_s1026" style="position:absolute;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6.15pt,15.4pt" to="199.9pt,6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">
                <v:stroke endarrow="block"/>
              </v:line>
            </w:pict>
          </mc:Fallback>
        </mc:AlternateContent>
      </w:r>
      <w:r w:rsidR="00F001AD" w:rsidRPr="005F15DA">
        <w:rPr>
          <w:rFonts w:cs="Arial"/>
          <w:bCs/>
          <w:noProof/>
          <w:spacing w:val="-5"/>
          <w:sz w:val="20"/>
          <w:szCs w:val="20"/>
          <w:lang w:eastAsia="de-CH"/>
        </w:rPr>
        <mc:AlternateContent>
          <mc:Choice Requires="wps">
            <w:drawing>
              <wp:anchor distT="0" distB="0" distL="114300" distR="114300" simplePos="0" relativeHeight="251696128" behindDoc="0" locked="0" layoutInCell="1" allowOverlap="1" wp14:anchorId="47ABBB97" wp14:editId="2248625B">
                <wp:simplePos x="0" y="0"/>
                <wp:positionH relativeFrom="column">
                  <wp:posOffset>4550410</wp:posOffset>
                </wp:positionH>
                <wp:positionV relativeFrom="paragraph">
                  <wp:posOffset>92075</wp:posOffset>
                </wp:positionV>
                <wp:extent cx="1219200" cy="441960"/>
                <wp:effectExtent l="0" t="0" r="19050" b="15240"/>
                <wp:wrapNone/>
                <wp:docPr id="63" name="Rectangle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0" cy="441960"/>
                        </a:xfrm>
                        <a:prstGeom prst="rect">
                          <a:avLst/>
                        </a:prstGeom>
                        <a:solidFill>
                          <a:srgbClr val="FFFFFF"/>
                        </a:solidFill>
                        <a:ln w="9525">
                          <a:solidFill>
                            <a:srgbClr val="000000"/>
                          </a:solidFill>
                          <a:miter lim="800000"/>
                          <a:headEnd/>
                          <a:tailEnd/>
                        </a:ln>
                      </wps:spPr>
                      <wps:txbx>
                        <w:txbxContent>
                          <w:p w:rsidR="007371BD" w:rsidRPr="000472CF" w:rsidRDefault="007371BD" w:rsidP="005D70F9">
                            <w:r>
                              <w:t>OR-Verfahren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3" o:spid="_x0000_s1029" style="position:absolute;left:0;text-align:left;margin-left:358.3pt;margin-top:7.25pt;width:96pt;height:34.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">
                <v:textbox>
                  <w:txbxContent>
                    <w:p w:rsidR="007371BD" w:rsidRPr="000472CF" w:rsidRDefault="007371BD" w:rsidP="005D70F9">
                      <w:r>
                        <w:t>OR-Verfahren</w:t>
                      </w:r>
                    </w:p>
                  </w:txbxContent>
                </v:textbox>
              </v:rect>
            </w:pict>
          </mc:Fallback>
        </mc:AlternateContent>
      </w:r>
      <w:r w:rsidR="002162A7" w:rsidRPr="005F15DA">
        <w:rPr>
          <w:rFonts w:cs="Arial"/>
          <w:bCs/>
          <w:noProof/>
          <w:spacing w:val="-5"/>
          <w:sz w:val="20"/>
          <w:szCs w:val="20"/>
          <w:lang w:eastAsia="de-CH"/>
        </w:rPr>
        <mc:AlternateContent>
          <mc:Choice Requires="wps">
            <w:drawing>
              <wp:anchor distT="0" distB="0" distL="114300" distR="114300" simplePos="0" relativeHeight="251695104" behindDoc="0" locked="0" layoutInCell="1" allowOverlap="1" wp14:anchorId="4DF1F002" wp14:editId="55916A58">
                <wp:simplePos x="0" y="0"/>
                <wp:positionH relativeFrom="column">
                  <wp:posOffset>3100262</wp:posOffset>
                </wp:positionH>
                <wp:positionV relativeFrom="paragraph">
                  <wp:posOffset>92503</wp:posOffset>
                </wp:positionV>
                <wp:extent cx="1295400" cy="442315"/>
                <wp:effectExtent l="0" t="0" r="19050" b="15240"/>
                <wp:wrapNone/>
                <wp:docPr id="62" name="Rectangle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442315"/>
                        </a:xfrm>
                        <a:prstGeom prst="rect">
                          <a:avLst/>
                        </a:prstGeom>
                        <a:solidFill>
                          <a:srgbClr val="FFFFFF"/>
                        </a:solidFill>
                        <a:ln w="9525">
                          <a:solidFill>
                            <a:srgbClr val="000000"/>
                          </a:solidFill>
                          <a:miter lim="800000"/>
                          <a:headEnd/>
                          <a:tailEnd/>
                        </a:ln>
                      </wps:spPr>
                      <wps:txbx>
                        <w:txbxContent>
                          <w:p w:rsidR="007371BD" w:rsidRPr="000472CF" w:rsidRDefault="007371BD" w:rsidP="005D70F9">
                            <w:r>
                              <w:t>Bernisches Ve</w:t>
                            </w:r>
                            <w:r>
                              <w:t>r</w:t>
                            </w:r>
                            <w:r>
                              <w:t>fahren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2" o:spid="_x0000_s1030" style="position:absolute;left:0;text-align:left;margin-left:244.1pt;margin-top:7.3pt;width:102pt;height:34.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">
                <v:textbox>
                  <w:txbxContent>
                    <w:p w:rsidR="007371BD" w:rsidRPr="000472CF" w:rsidRDefault="007371BD" w:rsidP="005D70F9">
                      <w:r>
                        <w:t>Bernisches Ve</w:t>
                      </w:r>
                      <w:r>
                        <w:t>r</w:t>
                      </w:r>
                      <w:r>
                        <w:t>fahren</w:t>
                      </w:r>
                    </w:p>
                  </w:txbxContent>
                </v:textbox>
              </v:rect>
            </w:pict>
          </mc:Fallback>
        </mc:AlternateContent>
      </w:r>
      <w:r w:rsidR="005D70F9" w:rsidRPr="005F15DA">
        <w:rPr>
          <w:rFonts w:cs="Arial"/>
          <w:bCs/>
          <w:spacing w:val="-5"/>
          <w:sz w:val="20"/>
          <w:szCs w:val="20"/>
        </w:rPr>
        <w:tab/>
      </w:r>
    </w:p>
    <w:p w:rsidR="005D70F9" w:rsidRPr="005F15DA" w:rsidRDefault="005D70F9" w:rsidP="005D70F9">
      <w:pPr>
        <w:tabs>
          <w:tab w:val="left" w:pos="426"/>
          <w:tab w:val="left" w:pos="5670"/>
          <w:tab w:val="left" w:pos="7371"/>
        </w:tabs>
        <w:ind w:left="425"/>
        <w:rPr>
          <w:rFonts w:cs="Arial"/>
          <w:bCs/>
          <w:spacing w:val="-5"/>
          <w:sz w:val="20"/>
          <w:szCs w:val="20"/>
        </w:rPr>
      </w:pPr>
    </w:p>
    <w:p w:rsidR="005D70F9" w:rsidRPr="005F15DA" w:rsidRDefault="002162A7" w:rsidP="005D70F9">
      <w:pPr>
        <w:tabs>
          <w:tab w:val="left" w:pos="426"/>
          <w:tab w:val="left" w:pos="5670"/>
          <w:tab w:val="left" w:pos="7371"/>
        </w:tabs>
        <w:ind w:left="425"/>
        <w:rPr>
          <w:rFonts w:cs="Arial"/>
          <w:bCs/>
          <w:spacing w:val="-5"/>
          <w:sz w:val="20"/>
          <w:szCs w:val="20"/>
        </w:rPr>
      </w:pPr>
      <w:r w:rsidRPr="005F15DA">
        <w:rPr>
          <w:rFonts w:cs="Arial"/>
          <w:bCs/>
          <w:noProof/>
          <w:spacing w:val="-5"/>
          <w:sz w:val="20"/>
          <w:szCs w:val="20"/>
          <w:lang w:eastAsia="de-CH"/>
        </w:rPr>
        <mc:AlternateContent>
          <mc:Choice Requires="wps">
            <w:drawing>
              <wp:anchor distT="0" distB="0" distL="114300" distR="114300" simplePos="0" relativeHeight="251697152" behindDoc="0" locked="0" layoutInCell="1" allowOverlap="1" wp14:anchorId="46A9A835" wp14:editId="75A6C4DB">
                <wp:simplePos x="0" y="0"/>
                <wp:positionH relativeFrom="column">
                  <wp:posOffset>280508</wp:posOffset>
                </wp:positionH>
                <wp:positionV relativeFrom="paragraph">
                  <wp:posOffset>283845</wp:posOffset>
                </wp:positionV>
                <wp:extent cx="1143000" cy="459327"/>
                <wp:effectExtent l="0" t="0" r="19050" b="17145"/>
                <wp:wrapNone/>
                <wp:docPr id="61" name="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459327"/>
                        </a:xfrm>
                        <a:prstGeom prst="rect">
                          <a:avLst/>
                        </a:prstGeom>
                        <a:solidFill>
                          <a:srgbClr val="FFFFFF"/>
                        </a:solidFill>
                        <a:ln w="9525">
                          <a:solidFill>
                            <a:srgbClr val="000000"/>
                          </a:solidFill>
                          <a:miter lim="800000"/>
                          <a:headEnd/>
                          <a:tailEnd/>
                        </a:ln>
                      </wps:spPr>
                      <wps:txbx>
                        <w:txbxContent>
                          <w:p w:rsidR="007371BD" w:rsidRPr="000472CF" w:rsidRDefault="007371BD" w:rsidP="005D70F9">
                            <w:r>
                              <w:t>Bernisches Verfahren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4" o:spid="_x0000_s1031" style="position:absolute;left:0;text-align:left;margin-left:22.1pt;margin-top:22.35pt;width:90pt;height:36.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">
                <v:textbox>
                  <w:txbxContent>
                    <w:p w:rsidR="007371BD" w:rsidRPr="000472CF" w:rsidRDefault="007371BD" w:rsidP="005D70F9">
                      <w:r>
                        <w:t>Bernisches Verfahren</w:t>
                      </w:r>
                    </w:p>
                  </w:txbxContent>
                </v:textbox>
              </v:rect>
            </w:pict>
          </mc:Fallback>
        </mc:AlternateContent>
      </w:r>
    </w:p>
    <w:p w:rsidR="005D70F9" w:rsidRPr="005F15DA" w:rsidRDefault="005D70F9" w:rsidP="005D70F9">
      <w:pPr>
        <w:tabs>
          <w:tab w:val="left" w:pos="426"/>
          <w:tab w:val="left" w:pos="3969"/>
        </w:tabs>
        <w:spacing w:before="336"/>
        <w:ind w:left="426"/>
        <w:rPr>
          <w:rFonts w:cs="Arial"/>
          <w:bCs/>
          <w:spacing w:val="-5"/>
          <w:sz w:val="20"/>
          <w:szCs w:val="20"/>
        </w:rPr>
      </w:pPr>
      <w:r w:rsidRPr="005F15DA">
        <w:rPr>
          <w:rFonts w:cs="Arial"/>
          <w:bCs/>
          <w:noProof/>
          <w:spacing w:val="-5"/>
          <w:sz w:val="20"/>
          <w:szCs w:val="20"/>
          <w:lang w:eastAsia="de-CH"/>
        </w:rPr>
        <mc:AlternateContent>
          <mc:Choice Requires="wps">
            <w:drawing>
              <wp:anchor distT="0" distB="0" distL="114300" distR="114300" simplePos="0" relativeHeight="251698176" behindDoc="0" locked="0" layoutInCell="1" allowOverlap="1" wp14:anchorId="19DAE9F7" wp14:editId="7E4E6B7D">
                <wp:simplePos x="0" y="0"/>
                <wp:positionH relativeFrom="column">
                  <wp:posOffset>2568634</wp:posOffset>
                </wp:positionH>
                <wp:positionV relativeFrom="paragraph">
                  <wp:posOffset>5582</wp:posOffset>
                </wp:positionV>
                <wp:extent cx="1219200" cy="442093"/>
                <wp:effectExtent l="0" t="0" r="19050" b="15240"/>
                <wp:wrapNone/>
                <wp:docPr id="60" name="Rectangle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0" cy="442093"/>
                        </a:xfrm>
                        <a:prstGeom prst="rect">
                          <a:avLst/>
                        </a:prstGeom>
                        <a:solidFill>
                          <a:srgbClr val="FFFFFF"/>
                        </a:solidFill>
                        <a:ln w="9525">
                          <a:solidFill>
                            <a:srgbClr val="000000"/>
                          </a:solidFill>
                          <a:miter lim="800000"/>
                          <a:headEnd/>
                          <a:tailEnd/>
                        </a:ln>
                      </wps:spPr>
                      <wps:txbx>
                        <w:txbxContent>
                          <w:p w:rsidR="007371BD" w:rsidRPr="000472CF" w:rsidRDefault="007371BD" w:rsidP="005D70F9">
                            <w:r>
                              <w:t>ZGB-Verfahren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5" o:spid="_x0000_s1032" style="position:absolute;left:0;text-align:left;margin-left:202.25pt;margin-top:.45pt;width:96pt;height:34.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">
                <v:textbox>
                  <w:txbxContent>
                    <w:p w:rsidR="007371BD" w:rsidRPr="000472CF" w:rsidRDefault="007371BD" w:rsidP="005D70F9">
                      <w:r>
                        <w:t>ZGB-Verfahren</w:t>
                      </w:r>
                    </w:p>
                  </w:txbxContent>
                </v:textbox>
              </v:rect>
            </w:pict>
          </mc:Fallback>
        </mc:AlternateContent>
      </w:r>
      <w:r w:rsidRPr="005F15DA">
        <w:rPr>
          <w:rFonts w:cs="Arial"/>
          <w:bCs/>
          <w:spacing w:val="-5"/>
          <w:sz w:val="20"/>
          <w:szCs w:val="20"/>
        </w:rPr>
        <w:tab/>
      </w:r>
    </w:p>
    <w:p w:rsidR="005D70F9" w:rsidRPr="005F15DA" w:rsidRDefault="00235B8F" w:rsidP="005D70F9">
      <w:pPr>
        <w:tabs>
          <w:tab w:val="left" w:pos="426"/>
          <w:tab w:val="left" w:pos="3969"/>
        </w:tabs>
        <w:spacing w:before="336"/>
        <w:ind w:left="426"/>
        <w:rPr>
          <w:rFonts w:cs="Arial"/>
          <w:bCs/>
          <w:spacing w:val="-5"/>
          <w:sz w:val="20"/>
          <w:szCs w:val="20"/>
        </w:rPr>
      </w:pPr>
      <w:r w:rsidRPr="005F15DA">
        <w:rPr>
          <w:rFonts w:cs="Arial"/>
          <w:bCs/>
          <w:noProof/>
          <w:spacing w:val="-5"/>
          <w:sz w:val="20"/>
          <w:szCs w:val="20"/>
          <w:lang w:eastAsia="de-CH"/>
        </w:rPr>
        <mc:AlternateContent>
          <mc:Choice Requires="wps">
            <w:drawing>
              <wp:anchor distT="0" distB="0" distL="114300" distR="114300" simplePos="0" relativeHeight="251712512" behindDoc="0" locked="0" layoutInCell="1" allowOverlap="1" wp14:anchorId="217E948C" wp14:editId="10157530">
                <wp:simplePos x="0" y="0"/>
                <wp:positionH relativeFrom="column">
                  <wp:posOffset>892810</wp:posOffset>
                </wp:positionH>
                <wp:positionV relativeFrom="paragraph">
                  <wp:posOffset>191770</wp:posOffset>
                </wp:positionV>
                <wp:extent cx="1828800" cy="465455"/>
                <wp:effectExtent l="0" t="0" r="76200" b="67945"/>
                <wp:wrapNone/>
                <wp:docPr id="57" name="Line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4654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8" o:spid="_x0000_s1026" style="position:absolute;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3pt,15.1pt" to="214.3pt,5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">
                <v:stroke endarrow="block"/>
              </v:line>
            </w:pict>
          </mc:Fallback>
        </mc:AlternateContent>
      </w:r>
      <w:r w:rsidRPr="005F15DA">
        <w:rPr>
          <w:rFonts w:cs="Arial"/>
          <w:bCs/>
          <w:noProof/>
          <w:spacing w:val="-5"/>
          <w:sz w:val="20"/>
          <w:szCs w:val="20"/>
          <w:lang w:eastAsia="de-CH"/>
        </w:rPr>
        <mc:AlternateContent>
          <mc:Choice Requires="wps">
            <w:drawing>
              <wp:anchor distT="0" distB="0" distL="114300" distR="114300" simplePos="0" relativeHeight="251711488" behindDoc="0" locked="0" layoutInCell="1" allowOverlap="1" wp14:anchorId="223D5A00" wp14:editId="26B2883F">
                <wp:simplePos x="0" y="0"/>
                <wp:positionH relativeFrom="column">
                  <wp:posOffset>3100070</wp:posOffset>
                </wp:positionH>
                <wp:positionV relativeFrom="paragraph">
                  <wp:posOffset>64135</wp:posOffset>
                </wp:positionV>
                <wp:extent cx="914400" cy="592455"/>
                <wp:effectExtent l="0" t="0" r="76200" b="55245"/>
                <wp:wrapNone/>
                <wp:docPr id="56" name="Line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5924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7" o:spid="_x0000_s1026" style="position:absolute;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4.1pt,5.05pt" to="316.1pt,5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">
                <v:stroke endarrow="block"/>
              </v:line>
            </w:pict>
          </mc:Fallback>
        </mc:AlternateContent>
      </w:r>
      <w:r w:rsidRPr="005F15DA">
        <w:rPr>
          <w:rFonts w:cs="Arial"/>
          <w:noProof/>
          <w:sz w:val="20"/>
          <w:szCs w:val="20"/>
          <w:lang w:eastAsia="de-CH"/>
        </w:rPr>
        <mc:AlternateContent>
          <mc:Choice Requires="wps">
            <w:drawing>
              <wp:anchor distT="0" distB="0" distL="114300" distR="114300" simplePos="0" relativeHeight="251705344" behindDoc="0" locked="0" layoutInCell="1" allowOverlap="1" wp14:anchorId="2A218EFD" wp14:editId="647738EE">
                <wp:simplePos x="0" y="0"/>
                <wp:positionH relativeFrom="column">
                  <wp:posOffset>3100070</wp:posOffset>
                </wp:positionH>
                <wp:positionV relativeFrom="paragraph">
                  <wp:posOffset>63500</wp:posOffset>
                </wp:positionV>
                <wp:extent cx="1981200" cy="593090"/>
                <wp:effectExtent l="0" t="0" r="76200" b="73660"/>
                <wp:wrapNone/>
                <wp:docPr id="55" name="Line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81200" cy="5930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1"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4.1pt,5pt" to="400.1pt,5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">
                <v:stroke endarrow="block"/>
              </v:line>
            </w:pict>
          </mc:Fallback>
        </mc:AlternateContent>
      </w:r>
      <w:r w:rsidR="005D70F9" w:rsidRPr="005F15DA">
        <w:rPr>
          <w:rFonts w:cs="Arial"/>
          <w:bCs/>
          <w:noProof/>
          <w:spacing w:val="-5"/>
          <w:sz w:val="20"/>
          <w:szCs w:val="20"/>
          <w:lang w:eastAsia="de-CH"/>
        </w:rPr>
        <mc:AlternateContent>
          <mc:Choice Requires="wps">
            <w:drawing>
              <wp:anchor distT="0" distB="0" distL="114300" distR="114300" simplePos="0" relativeHeight="251709440" behindDoc="0" locked="0" layoutInCell="1" allowOverlap="1" wp14:anchorId="4CCFE511" wp14:editId="5E939883">
                <wp:simplePos x="0" y="0"/>
                <wp:positionH relativeFrom="column">
                  <wp:posOffset>587375</wp:posOffset>
                </wp:positionH>
                <wp:positionV relativeFrom="paragraph">
                  <wp:posOffset>199390</wp:posOffset>
                </wp:positionV>
                <wp:extent cx="304800" cy="457200"/>
                <wp:effectExtent l="0" t="0" r="0" b="0"/>
                <wp:wrapNone/>
                <wp:docPr id="59" name="Line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480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5" o:spid="_x0000_s1026" style="position:absolute;flip:x;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25pt,15.7pt" to="70.25pt,5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">
                <v:stroke endarrow="block"/>
              </v:line>
            </w:pict>
          </mc:Fallback>
        </mc:AlternateContent>
      </w:r>
      <w:r w:rsidR="005D70F9" w:rsidRPr="005F15DA">
        <w:rPr>
          <w:rFonts w:cs="Arial"/>
          <w:bCs/>
          <w:noProof/>
          <w:spacing w:val="-5"/>
          <w:sz w:val="20"/>
          <w:szCs w:val="20"/>
          <w:lang w:eastAsia="de-CH"/>
        </w:rPr>
        <mc:AlternateContent>
          <mc:Choice Requires="wps">
            <w:drawing>
              <wp:anchor distT="0" distB="0" distL="114300" distR="114300" simplePos="0" relativeHeight="251713536" behindDoc="0" locked="0" layoutInCell="1" allowOverlap="1" wp14:anchorId="5F4EC389" wp14:editId="6BB058D3">
                <wp:simplePos x="0" y="0"/>
                <wp:positionH relativeFrom="column">
                  <wp:posOffset>892175</wp:posOffset>
                </wp:positionH>
                <wp:positionV relativeFrom="paragraph">
                  <wp:posOffset>199390</wp:posOffset>
                </wp:positionV>
                <wp:extent cx="762000" cy="457200"/>
                <wp:effectExtent l="0" t="0" r="0" b="0"/>
                <wp:wrapNone/>
                <wp:docPr id="58" name="Line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0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9" o:spid="_x0000_s1026" style="position:absolute;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25pt,15.7pt" to="130.25pt,5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">
                <v:stroke endarrow="block"/>
              </v:line>
            </w:pict>
          </mc:Fallback>
        </mc:AlternateContent>
      </w:r>
    </w:p>
    <w:p w:rsidR="005D70F9" w:rsidRPr="005F15DA" w:rsidRDefault="005D70F9" w:rsidP="005D70F9">
      <w:pPr>
        <w:tabs>
          <w:tab w:val="left" w:pos="426"/>
          <w:tab w:val="left" w:pos="3969"/>
        </w:tabs>
        <w:ind w:left="425"/>
        <w:rPr>
          <w:rFonts w:cs="Arial"/>
          <w:bCs/>
          <w:spacing w:val="-5"/>
          <w:sz w:val="20"/>
          <w:szCs w:val="20"/>
        </w:rPr>
      </w:pPr>
    </w:p>
    <w:p w:rsidR="005D70F9" w:rsidRPr="005F15DA" w:rsidRDefault="00CA60D4" w:rsidP="005D70F9">
      <w:pPr>
        <w:tabs>
          <w:tab w:val="left" w:pos="426"/>
          <w:tab w:val="left" w:pos="2268"/>
          <w:tab w:val="left" w:pos="3969"/>
          <w:tab w:val="left" w:pos="5670"/>
          <w:tab w:val="left" w:pos="7371"/>
        </w:tabs>
        <w:spacing w:before="336"/>
        <w:ind w:left="426"/>
        <w:rPr>
          <w:rFonts w:cs="Arial"/>
          <w:bCs/>
          <w:spacing w:val="-5"/>
          <w:sz w:val="20"/>
          <w:szCs w:val="20"/>
        </w:rPr>
      </w:pPr>
      <w:r w:rsidRPr="005F15DA">
        <w:rPr>
          <w:rFonts w:cs="Arial"/>
          <w:bCs/>
          <w:noProof/>
          <w:spacing w:val="-5"/>
          <w:sz w:val="20"/>
          <w:szCs w:val="20"/>
          <w:lang w:eastAsia="de-CH"/>
        </w:rPr>
        <mc:AlternateContent>
          <mc:Choice Requires="wps">
            <w:drawing>
              <wp:anchor distT="0" distB="0" distL="114300" distR="114300" simplePos="0" relativeHeight="251694080" behindDoc="0" locked="0" layoutInCell="1" allowOverlap="1" wp14:anchorId="674C92BB" wp14:editId="7FA60857">
                <wp:simplePos x="0" y="0"/>
                <wp:positionH relativeFrom="column">
                  <wp:posOffset>4733216</wp:posOffset>
                </wp:positionH>
                <wp:positionV relativeFrom="paragraph">
                  <wp:posOffset>147320</wp:posOffset>
                </wp:positionV>
                <wp:extent cx="1143000" cy="824865"/>
                <wp:effectExtent l="0" t="0" r="19050" b="13335"/>
                <wp:wrapNone/>
                <wp:docPr id="50"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824865"/>
                        </a:xfrm>
                        <a:prstGeom prst="rect">
                          <a:avLst/>
                        </a:prstGeom>
                        <a:solidFill>
                          <a:srgbClr val="FFFFFF"/>
                        </a:solidFill>
                        <a:ln w="9525">
                          <a:solidFill>
                            <a:srgbClr val="000000"/>
                          </a:solidFill>
                          <a:miter lim="800000"/>
                          <a:headEnd/>
                          <a:tailEnd/>
                        </a:ln>
                      </wps:spPr>
                      <wps:txbx>
                        <w:txbxContent>
                          <w:p w:rsidR="007371BD" w:rsidRPr="000472CF" w:rsidRDefault="007371BD" w:rsidP="005D70F9">
                            <w:r>
                              <w:t>Vorlesung (ausserorde</w:t>
                            </w:r>
                            <w:r>
                              <w:t>n</w:t>
                            </w:r>
                            <w:r>
                              <w:t>tliches Verfa</w:t>
                            </w:r>
                            <w:r>
                              <w:t>h</w:t>
                            </w:r>
                            <w:r>
                              <w:t>ren)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1" o:spid="_x0000_s1033" style="position:absolute;left:0;text-align:left;margin-left:372.7pt;margin-top:11.6pt;width:90pt;height:64.9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">
                <v:textbox>
                  <w:txbxContent>
                    <w:p w:rsidR="007371BD" w:rsidRPr="000472CF" w:rsidRDefault="007371BD" w:rsidP="005D70F9">
                      <w:r>
                        <w:t>Vorlesung (ausserorde</w:t>
                      </w:r>
                      <w:r>
                        <w:t>n</w:t>
                      </w:r>
                      <w:r>
                        <w:t>tliches Verfa</w:t>
                      </w:r>
                      <w:r>
                        <w:t>h</w:t>
                      </w:r>
                      <w:r>
                        <w:t>ren)</w:t>
                      </w:r>
                    </w:p>
                  </w:txbxContent>
                </v:textbox>
              </v:rect>
            </w:pict>
          </mc:Fallback>
        </mc:AlternateContent>
      </w:r>
      <w:r w:rsidRPr="005F15DA">
        <w:rPr>
          <w:rFonts w:cs="Arial"/>
          <w:bCs/>
          <w:noProof/>
          <w:spacing w:val="-5"/>
          <w:sz w:val="20"/>
          <w:szCs w:val="20"/>
          <w:lang w:eastAsia="de-CH"/>
        </w:rPr>
        <mc:AlternateContent>
          <mc:Choice Requires="wps">
            <w:drawing>
              <wp:anchor distT="0" distB="0" distL="114300" distR="114300" simplePos="0" relativeHeight="251699200" behindDoc="0" locked="0" layoutInCell="1" allowOverlap="1" wp14:anchorId="1F9AEDD7" wp14:editId="15A30ABA">
                <wp:simplePos x="0" y="0"/>
                <wp:positionH relativeFrom="column">
                  <wp:posOffset>3635375</wp:posOffset>
                </wp:positionH>
                <wp:positionV relativeFrom="paragraph">
                  <wp:posOffset>147320</wp:posOffset>
                </wp:positionV>
                <wp:extent cx="990600" cy="824865"/>
                <wp:effectExtent l="0" t="0" r="19050" b="13335"/>
                <wp:wrapNone/>
                <wp:docPr id="51" name="Rectangl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0" cy="824865"/>
                        </a:xfrm>
                        <a:prstGeom prst="rect">
                          <a:avLst/>
                        </a:prstGeom>
                        <a:solidFill>
                          <a:srgbClr val="FFFFFF"/>
                        </a:solidFill>
                        <a:ln w="9525">
                          <a:solidFill>
                            <a:srgbClr val="000000"/>
                          </a:solidFill>
                          <a:miter lim="800000"/>
                          <a:headEnd/>
                          <a:tailEnd/>
                        </a:ln>
                      </wps:spPr>
                      <wps:txbx>
                        <w:txbxContent>
                          <w:p w:rsidR="007371BD" w:rsidRPr="000472CF" w:rsidRDefault="007371BD" w:rsidP="005D70F9">
                            <w:r>
                              <w:t>Selbstl</w:t>
                            </w:r>
                            <w:r>
                              <w:t>e</w:t>
                            </w:r>
                            <w:r>
                              <w:t>sung (orde</w:t>
                            </w:r>
                            <w:r>
                              <w:t>n</w:t>
                            </w:r>
                            <w:r>
                              <w:t>tliches Ve</w:t>
                            </w:r>
                            <w:r>
                              <w:t>r</w:t>
                            </w:r>
                            <w:r>
                              <w:t>fahren)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6" o:spid="_x0000_s1034" style="position:absolute;left:0;text-align:left;margin-left:286.25pt;margin-top:11.6pt;width:78pt;height:64.9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">
                <v:textbox>
                  <w:txbxContent>
                    <w:p w:rsidR="007371BD" w:rsidRPr="000472CF" w:rsidRDefault="007371BD" w:rsidP="005D70F9">
                      <w:r>
                        <w:t>Selbstl</w:t>
                      </w:r>
                      <w:r>
                        <w:t>e</w:t>
                      </w:r>
                      <w:r>
                        <w:t>sung (orde</w:t>
                      </w:r>
                      <w:r>
                        <w:t>n</w:t>
                      </w:r>
                      <w:r>
                        <w:t>tliches Ve</w:t>
                      </w:r>
                      <w:r>
                        <w:t>r</w:t>
                      </w:r>
                      <w:r>
                        <w:t>fahren)</w:t>
                      </w:r>
                    </w:p>
                  </w:txbxContent>
                </v:textbox>
              </v:rect>
            </w:pict>
          </mc:Fallback>
        </mc:AlternateContent>
      </w:r>
      <w:r w:rsidRPr="005F15DA">
        <w:rPr>
          <w:rFonts w:cs="Arial"/>
          <w:bCs/>
          <w:noProof/>
          <w:spacing w:val="-5"/>
          <w:sz w:val="20"/>
          <w:szCs w:val="20"/>
          <w:lang w:eastAsia="de-CH"/>
        </w:rPr>
        <mc:AlternateContent>
          <mc:Choice Requires="wps">
            <w:drawing>
              <wp:anchor distT="0" distB="0" distL="114300" distR="114300" simplePos="0" relativeHeight="251700224" behindDoc="0" locked="0" layoutInCell="1" allowOverlap="1" wp14:anchorId="2ADF4F33" wp14:editId="53EE11E5">
                <wp:simplePos x="0" y="0"/>
                <wp:positionH relativeFrom="column">
                  <wp:posOffset>2367915</wp:posOffset>
                </wp:positionH>
                <wp:positionV relativeFrom="paragraph">
                  <wp:posOffset>147320</wp:posOffset>
                </wp:positionV>
                <wp:extent cx="990600" cy="629285"/>
                <wp:effectExtent l="0" t="0" r="19050" b="18415"/>
                <wp:wrapNone/>
                <wp:docPr id="52" name="Rectangle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0" cy="629285"/>
                        </a:xfrm>
                        <a:prstGeom prst="rect">
                          <a:avLst/>
                        </a:prstGeom>
                        <a:solidFill>
                          <a:srgbClr val="FFFFFF"/>
                        </a:solidFill>
                        <a:ln w="9525">
                          <a:solidFill>
                            <a:srgbClr val="000000"/>
                          </a:solidFill>
                          <a:miter lim="800000"/>
                          <a:headEnd/>
                          <a:tailEnd/>
                        </a:ln>
                      </wps:spPr>
                      <wps:txbx>
                        <w:txbxContent>
                          <w:p w:rsidR="007371BD" w:rsidRPr="000472CF" w:rsidRDefault="007371BD" w:rsidP="005D70F9">
                            <w:r>
                              <w:t>Besonderes Verfahren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7" o:spid="_x0000_s1035" style="position:absolute;left:0;text-align:left;margin-left:186.45pt;margin-top:11.6pt;width:78pt;height:49.5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">
                <v:textbox>
                  <w:txbxContent>
                    <w:p w:rsidR="007371BD" w:rsidRPr="000472CF" w:rsidRDefault="007371BD" w:rsidP="005D70F9">
                      <w:r>
                        <w:t>Besonderes Verfahren</w:t>
                      </w:r>
                    </w:p>
                  </w:txbxContent>
                </v:textbox>
              </v:rect>
            </w:pict>
          </mc:Fallback>
        </mc:AlternateContent>
      </w:r>
      <w:r w:rsidRPr="005F15DA">
        <w:rPr>
          <w:rFonts w:cs="Arial"/>
          <w:bCs/>
          <w:noProof/>
          <w:spacing w:val="-5"/>
          <w:sz w:val="20"/>
          <w:szCs w:val="20"/>
          <w:lang w:eastAsia="de-CH"/>
        </w:rPr>
        <mc:AlternateContent>
          <mc:Choice Requires="wps">
            <w:drawing>
              <wp:anchor distT="0" distB="0" distL="114300" distR="114300" simplePos="0" relativeHeight="251701248" behindDoc="0" locked="0" layoutInCell="1" allowOverlap="1" wp14:anchorId="6F316B22" wp14:editId="55E7FB99">
                <wp:simplePos x="0" y="0"/>
                <wp:positionH relativeFrom="column">
                  <wp:posOffset>1347470</wp:posOffset>
                </wp:positionH>
                <wp:positionV relativeFrom="paragraph">
                  <wp:posOffset>147320</wp:posOffset>
                </wp:positionV>
                <wp:extent cx="914400" cy="629285"/>
                <wp:effectExtent l="0" t="0" r="19050" b="18415"/>
                <wp:wrapNone/>
                <wp:docPr id="53" name="Rectangle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629285"/>
                        </a:xfrm>
                        <a:prstGeom prst="rect">
                          <a:avLst/>
                        </a:prstGeom>
                        <a:solidFill>
                          <a:srgbClr val="FFFFFF"/>
                        </a:solidFill>
                        <a:ln w="9525">
                          <a:solidFill>
                            <a:srgbClr val="000000"/>
                          </a:solidFill>
                          <a:miter lim="800000"/>
                          <a:headEnd/>
                          <a:tailEnd/>
                        </a:ln>
                      </wps:spPr>
                      <wps:txbx>
                        <w:txbxContent>
                          <w:p w:rsidR="007371BD" w:rsidRPr="000472CF" w:rsidRDefault="007371BD" w:rsidP="005D70F9">
                            <w:r>
                              <w:t>Aussero</w:t>
                            </w:r>
                            <w:r>
                              <w:t>r</w:t>
                            </w:r>
                            <w:r>
                              <w:t>dentliches Verfahren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8" o:spid="_x0000_s1036" style="position:absolute;left:0;text-align:left;margin-left:106.1pt;margin-top:11.6pt;width:1in;height:49.5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">
                <v:textbox>
                  <w:txbxContent>
                    <w:p w:rsidR="007371BD" w:rsidRPr="000472CF" w:rsidRDefault="007371BD" w:rsidP="005D70F9">
                      <w:r>
                        <w:t>Aussero</w:t>
                      </w:r>
                      <w:r>
                        <w:t>r</w:t>
                      </w:r>
                      <w:r>
                        <w:t>dentliches Verfahren</w:t>
                      </w:r>
                    </w:p>
                  </w:txbxContent>
                </v:textbox>
              </v:rect>
            </w:pict>
          </mc:Fallback>
        </mc:AlternateContent>
      </w:r>
      <w:r w:rsidR="00F001AD" w:rsidRPr="005F15DA">
        <w:rPr>
          <w:rFonts w:cs="Arial"/>
          <w:bCs/>
          <w:noProof/>
          <w:spacing w:val="-5"/>
          <w:sz w:val="20"/>
          <w:szCs w:val="20"/>
          <w:lang w:eastAsia="de-CH"/>
        </w:rPr>
        <mc:AlternateContent>
          <mc:Choice Requires="wps">
            <w:drawing>
              <wp:anchor distT="0" distB="0" distL="114300" distR="114300" simplePos="0" relativeHeight="251702272" behindDoc="0" locked="0" layoutInCell="1" allowOverlap="1" wp14:anchorId="3FAC0D59" wp14:editId="4688F755">
                <wp:simplePos x="0" y="0"/>
                <wp:positionH relativeFrom="column">
                  <wp:posOffset>280035</wp:posOffset>
                </wp:positionH>
                <wp:positionV relativeFrom="paragraph">
                  <wp:posOffset>147527</wp:posOffset>
                </wp:positionV>
                <wp:extent cx="990600" cy="629285"/>
                <wp:effectExtent l="0" t="0" r="19050" b="18415"/>
                <wp:wrapNone/>
                <wp:docPr id="54" name="Rectangle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0" cy="629285"/>
                        </a:xfrm>
                        <a:prstGeom prst="rect">
                          <a:avLst/>
                        </a:prstGeom>
                        <a:solidFill>
                          <a:srgbClr val="FFFFFF"/>
                        </a:solidFill>
                        <a:ln w="9525">
                          <a:solidFill>
                            <a:srgbClr val="000000"/>
                          </a:solidFill>
                          <a:miter lim="800000"/>
                          <a:headEnd/>
                          <a:tailEnd/>
                        </a:ln>
                      </wps:spPr>
                      <wps:txbx>
                        <w:txbxContent>
                          <w:p w:rsidR="007371BD" w:rsidRPr="000472CF" w:rsidRDefault="007371BD" w:rsidP="005D70F9">
                            <w:r>
                              <w:t>Ordentliches Verfahren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9" o:spid="_x0000_s1037" style="position:absolute;left:0;text-align:left;margin-left:22.05pt;margin-top:11.6pt;width:78pt;height:49.5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">
                <v:textbox>
                  <w:txbxContent>
                    <w:p w:rsidR="007371BD" w:rsidRPr="000472CF" w:rsidRDefault="007371BD" w:rsidP="005D70F9">
                      <w:r>
                        <w:t>Ordentliches Verfahren</w:t>
                      </w:r>
                    </w:p>
                  </w:txbxContent>
                </v:textbox>
              </v:rect>
            </w:pict>
          </mc:Fallback>
        </mc:AlternateContent>
      </w:r>
      <w:r w:rsidR="005D70F9" w:rsidRPr="005F15DA">
        <w:rPr>
          <w:rFonts w:cs="Arial"/>
          <w:bCs/>
          <w:spacing w:val="-5"/>
          <w:sz w:val="20"/>
          <w:szCs w:val="20"/>
        </w:rPr>
        <w:tab/>
      </w:r>
      <w:r w:rsidR="005D70F9" w:rsidRPr="005F15DA">
        <w:rPr>
          <w:rFonts w:cs="Arial"/>
          <w:bCs/>
          <w:spacing w:val="-5"/>
          <w:sz w:val="20"/>
          <w:szCs w:val="20"/>
        </w:rPr>
        <w:tab/>
      </w:r>
      <w:r w:rsidR="005D70F9" w:rsidRPr="005F15DA">
        <w:rPr>
          <w:rFonts w:cs="Arial"/>
          <w:bCs/>
          <w:spacing w:val="-5"/>
          <w:sz w:val="20"/>
          <w:szCs w:val="20"/>
        </w:rPr>
        <w:tab/>
      </w:r>
      <w:r w:rsidR="005D70F9" w:rsidRPr="005F15DA">
        <w:rPr>
          <w:rFonts w:cs="Arial"/>
          <w:bCs/>
          <w:spacing w:val="-5"/>
          <w:sz w:val="20"/>
          <w:szCs w:val="20"/>
        </w:rPr>
        <w:tab/>
      </w:r>
    </w:p>
    <w:p w:rsidR="005D70F9" w:rsidRPr="005F15DA" w:rsidRDefault="005D70F9" w:rsidP="005D70F9">
      <w:pPr>
        <w:tabs>
          <w:tab w:val="left" w:pos="426"/>
          <w:tab w:val="left" w:pos="851"/>
          <w:tab w:val="left" w:pos="1276"/>
        </w:tabs>
        <w:spacing w:before="336"/>
        <w:rPr>
          <w:rFonts w:cs="Arial"/>
          <w:sz w:val="20"/>
          <w:szCs w:val="20"/>
        </w:rPr>
      </w:pPr>
    </w:p>
    <w:p w:rsidR="00F001AD" w:rsidRPr="005F15DA" w:rsidRDefault="00F001AD" w:rsidP="005D70F9">
      <w:pPr>
        <w:tabs>
          <w:tab w:val="left" w:pos="426"/>
          <w:tab w:val="left" w:pos="851"/>
          <w:tab w:val="left" w:pos="1276"/>
        </w:tabs>
        <w:spacing w:before="336"/>
        <w:rPr>
          <w:rFonts w:cs="Arial"/>
          <w:sz w:val="20"/>
          <w:szCs w:val="20"/>
        </w:rPr>
      </w:pPr>
    </w:p>
    <w:p w:rsidR="00612A54" w:rsidRPr="005F15DA" w:rsidRDefault="00612A54" w:rsidP="00C342F9"/>
    <w:p w:rsidR="00612A54" w:rsidRPr="005F15DA" w:rsidRDefault="00612A54" w:rsidP="00612A54">
      <w:pPr>
        <w:ind w:left="426"/>
      </w:pPr>
    </w:p>
    <w:p w:rsidR="005D70F9" w:rsidRPr="005F15DA" w:rsidRDefault="005D70F9" w:rsidP="00CA60D4">
      <w:pPr>
        <w:pStyle w:val="berschrift4"/>
        <w:tabs>
          <w:tab w:val="left" w:pos="993"/>
        </w:tabs>
        <w:ind w:firstLine="1"/>
      </w:pPr>
      <w:r w:rsidRPr="005F15DA">
        <w:rPr>
          <w:spacing w:val="-9"/>
        </w:rPr>
        <w:t>2.1.</w:t>
      </w:r>
      <w:r w:rsidRPr="005F15DA">
        <w:tab/>
        <w:t>Beurkundung von Willenserklärungen</w:t>
      </w:r>
    </w:p>
    <w:p w:rsidR="005D70F9" w:rsidRPr="005F15DA" w:rsidRDefault="005D70F9" w:rsidP="00CA60D4">
      <w:pPr>
        <w:pStyle w:val="berschrift6"/>
      </w:pPr>
      <w:r w:rsidRPr="005F15DA">
        <w:t>2.1.1.</w:t>
      </w:r>
      <w:r w:rsidRPr="005F15DA">
        <w:tab/>
        <w:t>Allgemeines</w:t>
      </w:r>
    </w:p>
    <w:p w:rsidR="005D70F9" w:rsidRPr="005F15DA" w:rsidRDefault="005D70F9" w:rsidP="00A312DD">
      <w:pPr>
        <w:ind w:left="993"/>
      </w:pPr>
      <w:r w:rsidRPr="005F15DA">
        <w:t>Unabhängig von dem zur Anwendung gelangenden Verfahren hat der Notar bei der Beurkundung von Willens- und Wissenserklärungen die Pflicht, die Identität und die Handlungsfähigkeit der Urkundsparteien und bei Vertretungsverhältnissen die Ve</w:t>
      </w:r>
      <w:r w:rsidRPr="005F15DA">
        <w:t>r</w:t>
      </w:r>
      <w:r w:rsidRPr="005F15DA">
        <w:lastRenderedPageBreak/>
        <w:t>tretungsbefugnis (Vollmacht bzw. Zeichnungsberechtigung bei Organen von jurist</w:t>
      </w:r>
      <w:r w:rsidRPr="005F15DA">
        <w:t>i</w:t>
      </w:r>
      <w:r w:rsidRPr="005F15DA">
        <w:t>schen Personen) zu überprüfen. Ist eine Urkundspartei dem Notar nicht bekannt, so muss er die Identität mittels ID oder Pass feststellen. Der Notar muss auch die Identität und Mitwirkungsbefugnis von allfälligen Nebenpersonen (z.B. Übersetzer) feststellen.</w:t>
      </w:r>
    </w:p>
    <w:p w:rsidR="00C223AE" w:rsidRPr="005F15DA" w:rsidRDefault="00C223AE" w:rsidP="00A312DD">
      <w:pPr>
        <w:ind w:left="993"/>
      </w:pPr>
    </w:p>
    <w:p w:rsidR="005D70F9" w:rsidRPr="005F15DA" w:rsidRDefault="005D70F9" w:rsidP="00A312DD">
      <w:pPr>
        <w:ind w:left="993"/>
      </w:pPr>
      <w:r w:rsidRPr="005F15DA">
        <w:t>Weiter gilt bei der Beurkundung von Willens- und Wissenserklärungen der Grun</w:t>
      </w:r>
      <w:r w:rsidRPr="005F15DA">
        <w:t>d</w:t>
      </w:r>
      <w:r w:rsidRPr="005F15DA">
        <w:t>satz der Einheit des Aktes. Dieser setzt sich aus drei Teilaspekten zusammen:</w:t>
      </w:r>
    </w:p>
    <w:p w:rsidR="005D70F9" w:rsidRPr="005F15DA" w:rsidRDefault="005D70F9" w:rsidP="00A312DD">
      <w:pPr>
        <w:ind w:left="993"/>
      </w:pPr>
      <w:r w:rsidRPr="005F15DA">
        <w:t>-</w:t>
      </w:r>
      <w:r w:rsidRPr="005F15DA">
        <w:tab/>
        <w:t>Der Einheit des Ortes (alle Mitwirkenden müssen im Beurkundungsraum sein),</w:t>
      </w:r>
    </w:p>
    <w:p w:rsidR="005D70F9" w:rsidRPr="005F15DA" w:rsidRDefault="005D70F9" w:rsidP="00C223AE">
      <w:pPr>
        <w:ind w:left="1416" w:hanging="423"/>
      </w:pPr>
      <w:r w:rsidRPr="005F15DA">
        <w:t>-</w:t>
      </w:r>
      <w:r w:rsidRPr="005F15DA">
        <w:tab/>
        <w:t>Der Einheit der Zeit (die Beurkundung muss ohne „wesentliche Unterbrechung“ durchgeführt werden),</w:t>
      </w:r>
    </w:p>
    <w:p w:rsidR="005D70F9" w:rsidRPr="005F15DA" w:rsidRDefault="005D70F9" w:rsidP="00C223AE">
      <w:pPr>
        <w:ind w:left="1416" w:hanging="423"/>
      </w:pPr>
      <w:r w:rsidRPr="005F15DA">
        <w:t>-</w:t>
      </w:r>
      <w:r w:rsidRPr="005F15DA">
        <w:tab/>
        <w:t>der Einheit des Verfahrens (das Verfahren muss für jede Urkunde getrennt zu Ende geführt werden).</w:t>
      </w:r>
    </w:p>
    <w:p w:rsidR="00C223AE" w:rsidRPr="005F15DA" w:rsidRDefault="00C223AE" w:rsidP="00A312DD">
      <w:pPr>
        <w:ind w:left="993"/>
      </w:pPr>
    </w:p>
    <w:p w:rsidR="005D70F9" w:rsidRPr="005F15DA" w:rsidRDefault="005D70F9" w:rsidP="00A312DD">
      <w:pPr>
        <w:ind w:left="993"/>
      </w:pPr>
      <w:r w:rsidRPr="005F15DA">
        <w:t>Zu beachten gilt, dass sich ohne Zustimmung der Urkundsparteien keine Personen im Beurkundungsraum aufhalten dürfen, welche nicht mitwirken müssen.</w:t>
      </w:r>
    </w:p>
    <w:p w:rsidR="00612A54" w:rsidRPr="005F15DA" w:rsidRDefault="00612A54" w:rsidP="00612A54">
      <w:pPr>
        <w:ind w:left="426"/>
      </w:pPr>
    </w:p>
    <w:p w:rsidR="00612A54" w:rsidRPr="005F15DA" w:rsidRDefault="00612A54" w:rsidP="00612A54">
      <w:pPr>
        <w:ind w:left="426"/>
      </w:pPr>
    </w:p>
    <w:p w:rsidR="005D70F9" w:rsidRPr="005F15DA" w:rsidRDefault="005D70F9" w:rsidP="00CA60D4">
      <w:pPr>
        <w:pStyle w:val="berschrift6"/>
      </w:pPr>
      <w:r w:rsidRPr="005F15DA">
        <w:t>2.1.2.</w:t>
      </w:r>
      <w:r w:rsidRPr="005F15DA">
        <w:tab/>
        <w:t xml:space="preserve">Bernisches Verfahren </w:t>
      </w:r>
    </w:p>
    <w:p w:rsidR="00612A54" w:rsidRPr="005F15DA" w:rsidRDefault="00612A54" w:rsidP="00612A54">
      <w:pPr>
        <w:ind w:left="426"/>
      </w:pPr>
    </w:p>
    <w:p w:rsidR="005D70F9" w:rsidRPr="005F15DA" w:rsidRDefault="005D70F9" w:rsidP="00A312DD">
      <w:pPr>
        <w:pStyle w:val="berschrift7"/>
      </w:pPr>
      <w:r w:rsidRPr="005F15DA">
        <w:t>2.1.2.1.</w:t>
      </w:r>
      <w:r w:rsidRPr="005F15DA">
        <w:tab/>
        <w:t>Ordentliches Verfahren (Art. 46 NV)</w:t>
      </w:r>
    </w:p>
    <w:p w:rsidR="00A312DD" w:rsidRPr="005F15DA" w:rsidRDefault="005D70F9" w:rsidP="00A312DD">
      <w:pPr>
        <w:ind w:left="1843"/>
      </w:pPr>
      <w:r w:rsidRPr="005F15DA">
        <w:t>Das ordentliche bernische Verfahren zur Beurkundung einer Willenserkl</w:t>
      </w:r>
      <w:r w:rsidRPr="005F15DA">
        <w:t>ä</w:t>
      </w:r>
      <w:r w:rsidRPr="005F15DA">
        <w:t>rung findet überall dort Anwendung, wo nicht eine gesetzliche Vorschrift ein anderes Beurkundungsverfahren vorsieht.</w:t>
      </w:r>
    </w:p>
    <w:p w:rsidR="00C223AE" w:rsidRPr="005F15DA" w:rsidRDefault="00C223AE" w:rsidP="00A312DD">
      <w:pPr>
        <w:ind w:left="1843"/>
      </w:pPr>
    </w:p>
    <w:p w:rsidR="005D70F9" w:rsidRPr="005F15DA" w:rsidRDefault="005D70F9" w:rsidP="00A312DD">
      <w:pPr>
        <w:ind w:left="1843"/>
      </w:pPr>
      <w:r w:rsidRPr="005F15DA">
        <w:t>Der Notar hat vorgängig alle notwendigen Abklärungen zu treffen wie Grundbuchnachschlagungen, Abfassen von Vertragsentwürfen oder B</w:t>
      </w:r>
      <w:r w:rsidRPr="005F15DA">
        <w:t>e</w:t>
      </w:r>
      <w:r w:rsidRPr="005F15DA">
        <w:t>sprechungen mit den Parteien. Das eigentliche Hauptverfahren beginnt mit der Bekanntgabe des Urschrifteninhalts an die Urkundsparteien; sobald a</w:t>
      </w:r>
      <w:r w:rsidRPr="005F15DA">
        <w:t>l</w:t>
      </w:r>
      <w:r w:rsidRPr="005F15DA">
        <w:t>le Mitwirkenden unterschrieben haben, ist es beendet.</w:t>
      </w:r>
    </w:p>
    <w:p w:rsidR="00C223AE" w:rsidRPr="005F15DA" w:rsidRDefault="00C223AE" w:rsidP="00A312DD">
      <w:pPr>
        <w:ind w:left="1843"/>
      </w:pPr>
    </w:p>
    <w:p w:rsidR="005D70F9" w:rsidRPr="005F15DA" w:rsidRDefault="005D70F9" w:rsidP="00A312DD">
      <w:pPr>
        <w:ind w:left="1843"/>
      </w:pPr>
      <w:r w:rsidRPr="005F15DA">
        <w:t>Das ordentliche Verfahren zur Beurkundung einer Willenserklärung sieht vor, dass der Notar den Urkundsparteien die Urschrift persönlich vorliest. Nach der Vorlesung folgt eine allfällige Bereinigung der Urschrift (be</w:t>
      </w:r>
      <w:r w:rsidRPr="005F15DA">
        <w:t>i</w:t>
      </w:r>
      <w:r w:rsidRPr="005F15DA">
        <w:t>spielsweise Ergänzung offen gelassener Stellen). Änderungen hat der Notar unter Angabe der gestrichenen oder eingefügten Worte zu besche</w:t>
      </w:r>
      <w:r w:rsidRPr="005F15DA">
        <w:t>i</w:t>
      </w:r>
      <w:r w:rsidRPr="005F15DA">
        <w:t>nigen und von den Parteien unterzeichnen zu lassen oder die geänderten Stellen den Parteien nochmals vorzulesen. Nach Kenntnisnahme des I</w:t>
      </w:r>
      <w:r w:rsidRPr="005F15DA">
        <w:t>n</w:t>
      </w:r>
      <w:r w:rsidRPr="005F15DA">
        <w:t>haltes der Urschrift haben die Urkundsparteien die Urschrift zusammen mit dem Notar zu unterzeichnen.</w:t>
      </w:r>
    </w:p>
    <w:p w:rsidR="00C223AE" w:rsidRPr="005F15DA" w:rsidRDefault="00C223AE" w:rsidP="00A312DD">
      <w:pPr>
        <w:ind w:left="1843"/>
      </w:pPr>
    </w:p>
    <w:p w:rsidR="005D70F9" w:rsidRPr="005F15DA" w:rsidRDefault="005D70F9" w:rsidP="00A312DD">
      <w:pPr>
        <w:ind w:left="1843"/>
      </w:pPr>
      <w:r w:rsidRPr="005F15DA">
        <w:t>Nach Abschluss des Hauptverfahrens ist eine Textänderung nur noch mit einer Nachtragsbeurkundung möglich.</w:t>
      </w:r>
    </w:p>
    <w:p w:rsidR="00C223AE" w:rsidRPr="005F15DA" w:rsidRDefault="00C223AE" w:rsidP="00A312DD">
      <w:pPr>
        <w:ind w:left="1843"/>
      </w:pPr>
    </w:p>
    <w:p w:rsidR="005D70F9" w:rsidRPr="005F15DA" w:rsidRDefault="005D70F9" w:rsidP="00A312DD">
      <w:pPr>
        <w:ind w:left="1843"/>
      </w:pPr>
      <w:r w:rsidRPr="005F15DA">
        <w:t>Bei Bürgschaften, Bürgschaftsversprechen und den besonderen Vollmac</w:t>
      </w:r>
      <w:r w:rsidRPr="005F15DA">
        <w:t>h</w:t>
      </w:r>
      <w:r w:rsidRPr="005F15DA">
        <w:t xml:space="preserve">ten zur Eingehung einer Bürgschaft (Art. 493 Abs. 2 und 6 OR) kann der Notar anstelle der Vorlesung die Urkunde der Urkundspartei zum Lesen </w:t>
      </w:r>
      <w:r w:rsidRPr="005F15DA">
        <w:lastRenderedPageBreak/>
        <w:t>geben. Diese hat die Urkunde im Beisein des Notars zu lesen und dieser hat sich zu vergewissern, dass die Urkundspartei die Urkunde effektiv liest.</w:t>
      </w:r>
    </w:p>
    <w:p w:rsidR="00612A54" w:rsidRPr="005F15DA" w:rsidRDefault="00612A54" w:rsidP="00612A54">
      <w:pPr>
        <w:ind w:left="426"/>
      </w:pPr>
    </w:p>
    <w:p w:rsidR="005D70F9" w:rsidRPr="005F15DA" w:rsidRDefault="005D70F9" w:rsidP="00A312DD">
      <w:pPr>
        <w:pStyle w:val="berschrift7"/>
      </w:pPr>
      <w:r w:rsidRPr="005F15DA">
        <w:rPr>
          <w:spacing w:val="-8"/>
        </w:rPr>
        <w:t>2.1.2.2.</w:t>
      </w:r>
      <w:r w:rsidRPr="005F15DA">
        <w:rPr>
          <w:spacing w:val="-8"/>
        </w:rPr>
        <w:tab/>
      </w:r>
      <w:r w:rsidRPr="005F15DA">
        <w:t>Ausserordentliches Verfahren (Art. 47 NV)</w:t>
      </w:r>
    </w:p>
    <w:p w:rsidR="00C223AE" w:rsidRPr="005F15DA" w:rsidRDefault="005D70F9" w:rsidP="00A312DD">
      <w:pPr>
        <w:ind w:left="1843"/>
      </w:pPr>
      <w:r w:rsidRPr="005F15DA">
        <w:t>Weil die Urkundsparteien bei der Beurkundung von Willenserklärungen am Verfahren teilnehmen, müssen sie gewisse Eigenschaften besitzen wie die Fähigkeit zu hören (Vorlesen) oder zu schreiben. Fehlt ihnen eine für das Beurkundungsverfahren notwendige Fähigkeit, steht nur das ausserorden</w:t>
      </w:r>
      <w:r w:rsidRPr="005F15DA">
        <w:t>t</w:t>
      </w:r>
      <w:r w:rsidRPr="005F15DA">
        <w:t xml:space="preserve">liche Verfahren zur Verfügung. </w:t>
      </w:r>
    </w:p>
    <w:p w:rsidR="005D70F9" w:rsidRPr="005F15DA" w:rsidRDefault="005D70F9" w:rsidP="00A312DD">
      <w:pPr>
        <w:ind w:left="1843"/>
      </w:pPr>
      <w:r w:rsidRPr="005F15DA">
        <w:t>Es sind folgende ausserordentliche Verfahren vorgesehen:</w:t>
      </w:r>
    </w:p>
    <w:p w:rsidR="005D70F9" w:rsidRPr="005F15DA" w:rsidRDefault="005D70F9" w:rsidP="00A312DD">
      <w:pPr>
        <w:tabs>
          <w:tab w:val="left" w:pos="2127"/>
        </w:tabs>
        <w:ind w:left="2127" w:hanging="284"/>
      </w:pPr>
      <w:r w:rsidRPr="005F15DA">
        <w:t>-</w:t>
      </w:r>
      <w:r w:rsidRPr="005F15DA">
        <w:tab/>
        <w:t>Die Urkundspartei versteht die Urkundssprache nicht, weshalb eine Übersetzung notwendig wird. Sofern der Notar die Fremdsprache gen</w:t>
      </w:r>
      <w:r w:rsidRPr="005F15DA">
        <w:t>ü</w:t>
      </w:r>
      <w:r w:rsidRPr="005F15DA">
        <w:t>gend beherrscht, kann die Übersetzung durch ihn selbst erfolgen. In den übrigen Fällen hat er einen Übersetzer beizuziehen. Dieser hat zu bestätigen, dass die Urkundspartei genaue Kenntnisse vom Inhalt der Urkunde erhalten hat und ihr zustimmt. Er muss die Urschrift mitunte</w:t>
      </w:r>
      <w:r w:rsidRPr="005F15DA">
        <w:t>r</w:t>
      </w:r>
      <w:r w:rsidRPr="005F15DA">
        <w:t>zeichnen.</w:t>
      </w:r>
    </w:p>
    <w:p w:rsidR="005D70F9" w:rsidRPr="005F15DA" w:rsidRDefault="005D70F9" w:rsidP="00A312DD">
      <w:pPr>
        <w:tabs>
          <w:tab w:val="left" w:pos="2127"/>
        </w:tabs>
        <w:ind w:left="2127" w:hanging="284"/>
      </w:pPr>
      <w:r w:rsidRPr="005F15DA">
        <w:t>-</w:t>
      </w:r>
      <w:r w:rsidRPr="005F15DA">
        <w:tab/>
        <w:t>Die Urkundspartei kann nicht hören. Der Notar gibt ihr die Urschrift zu lesen und vergewissert sich, dass diese die Urschrift auch liest.</w:t>
      </w:r>
    </w:p>
    <w:p w:rsidR="005D70F9" w:rsidRPr="005F15DA" w:rsidRDefault="005D70F9" w:rsidP="00A312DD">
      <w:pPr>
        <w:tabs>
          <w:tab w:val="left" w:pos="2127"/>
        </w:tabs>
        <w:ind w:left="2127" w:hanging="284"/>
      </w:pPr>
      <w:r w:rsidRPr="005F15DA">
        <w:t>-</w:t>
      </w:r>
      <w:r w:rsidRPr="005F15DA">
        <w:tab/>
        <w:t>Die Urkundspartei kann weder hören noch lesen. Der Notar hat einen Sachverständigen beizuziehen, welcher der Urkundspartei genaue Kenntnis vom Inhalt der Urschrift gibt. Der Sachverständige hat die gle</w:t>
      </w:r>
      <w:r w:rsidRPr="005F15DA">
        <w:t>i</w:t>
      </w:r>
      <w:r w:rsidRPr="005F15DA">
        <w:t>che Erklärung wie der Übersetzer abzugeben und die Urschrift ebenfalls zu unterzeichnen.</w:t>
      </w:r>
    </w:p>
    <w:p w:rsidR="005D70F9" w:rsidRPr="005F15DA" w:rsidRDefault="005D70F9" w:rsidP="00A312DD">
      <w:pPr>
        <w:tabs>
          <w:tab w:val="left" w:pos="2127"/>
        </w:tabs>
        <w:ind w:left="2127" w:hanging="284"/>
      </w:pPr>
      <w:r w:rsidRPr="005F15DA">
        <w:t>-</w:t>
      </w:r>
      <w:r w:rsidRPr="005F15DA">
        <w:tab/>
        <w:t>Die Urkundspartei kann nicht unterzeichnen. Die Urkundspartei hat dem Notar nach dem Vorlesen die Zustimmung zum Inhalt der Urschrift au</w:t>
      </w:r>
      <w:r w:rsidRPr="005F15DA">
        <w:t>s</w:t>
      </w:r>
      <w:r w:rsidRPr="005F15DA">
        <w:t>drücklich zu erklären. Blosses Nicken genügt nicht. Kann die Urkund</w:t>
      </w:r>
      <w:r w:rsidRPr="005F15DA">
        <w:t>s</w:t>
      </w:r>
      <w:r w:rsidRPr="005F15DA">
        <w:t>person auch nicht sprechen, hat ein Sachverständiger dem Notar die Zustimmung zur Kenntnis zu bringen.</w:t>
      </w:r>
    </w:p>
    <w:p w:rsidR="00612A54" w:rsidRPr="005F15DA" w:rsidRDefault="00612A54" w:rsidP="00612A54">
      <w:pPr>
        <w:ind w:left="426"/>
      </w:pPr>
    </w:p>
    <w:p w:rsidR="005D70F9" w:rsidRPr="005F15DA" w:rsidRDefault="005D70F9" w:rsidP="00A312DD">
      <w:pPr>
        <w:pStyle w:val="berschrift7"/>
      </w:pPr>
      <w:r w:rsidRPr="005F15DA">
        <w:rPr>
          <w:spacing w:val="-8"/>
        </w:rPr>
        <w:t>2.1.2.3.</w:t>
      </w:r>
      <w:r w:rsidRPr="005F15DA">
        <w:tab/>
        <w:t>Besondere Verfahren (Art. 49 und 50 NV)</w:t>
      </w:r>
    </w:p>
    <w:p w:rsidR="005D70F9" w:rsidRPr="005F15DA" w:rsidRDefault="005D70F9" w:rsidP="00A312DD">
      <w:pPr>
        <w:ind w:left="1843"/>
      </w:pPr>
      <w:r w:rsidRPr="005F15DA">
        <w:t>Besondere Verfahren sind für die Eigentumsübertragung an kleinen Grundstücken sowie für eidesstattliche Erklärungen und Gelübde vorges</w:t>
      </w:r>
      <w:r w:rsidRPr="005F15DA">
        <w:t>e</w:t>
      </w:r>
      <w:r w:rsidR="00C223AE" w:rsidRPr="005F15DA">
        <w:t>hen.</w:t>
      </w:r>
    </w:p>
    <w:p w:rsidR="00C223AE" w:rsidRPr="005F15DA" w:rsidRDefault="00C223AE" w:rsidP="00A312DD">
      <w:pPr>
        <w:ind w:left="1843"/>
      </w:pPr>
    </w:p>
    <w:p w:rsidR="005D70F9" w:rsidRPr="005F15DA" w:rsidRDefault="005D70F9" w:rsidP="00A312DD">
      <w:pPr>
        <w:tabs>
          <w:tab w:val="left" w:pos="2127"/>
        </w:tabs>
        <w:ind w:left="2127" w:hanging="284"/>
      </w:pPr>
      <w:r w:rsidRPr="005F15DA">
        <w:t>-</w:t>
      </w:r>
      <w:r w:rsidRPr="005F15DA">
        <w:tab/>
        <w:t>Eigentumsübertragung an kleinen Grundstücken (Art. 49 NV), anwen</w:t>
      </w:r>
      <w:r w:rsidRPr="005F15DA">
        <w:t>d</w:t>
      </w:r>
      <w:r w:rsidRPr="005F15DA">
        <w:t>bar bei:</w:t>
      </w:r>
    </w:p>
    <w:p w:rsidR="005D70F9" w:rsidRPr="005F15DA" w:rsidRDefault="005D70F9" w:rsidP="00A312DD">
      <w:pPr>
        <w:tabs>
          <w:tab w:val="left" w:pos="2127"/>
        </w:tabs>
        <w:ind w:left="2127" w:hanging="284"/>
      </w:pPr>
      <w:r w:rsidRPr="005F15DA">
        <w:tab/>
        <w:t>Handänderungen infolge Neuvermessung, Erstellung oder Veränderung von Strassen, ausgemarchten Wegen, Kanälen, Bachbetten und de</w:t>
      </w:r>
      <w:r w:rsidRPr="005F15DA">
        <w:t>r</w:t>
      </w:r>
      <w:r w:rsidRPr="005F15DA">
        <w:t>gleichen, sofern die Erstellung oder Veränderung im öffentlichen Int</w:t>
      </w:r>
      <w:r w:rsidRPr="005F15DA">
        <w:t>e</w:t>
      </w:r>
      <w:r w:rsidRPr="005F15DA">
        <w:t>resse erfolgt oder die Eigentumsübertragung mit Bodenverbesserungen zusammenhängt,</w:t>
      </w:r>
    </w:p>
    <w:p w:rsidR="005D70F9" w:rsidRPr="005F15DA" w:rsidRDefault="005D70F9" w:rsidP="00A312DD">
      <w:pPr>
        <w:tabs>
          <w:tab w:val="left" w:pos="2127"/>
        </w:tabs>
        <w:ind w:left="2127" w:hanging="284"/>
      </w:pPr>
      <w:r w:rsidRPr="005F15DA">
        <w:tab/>
        <w:t>Handänderungen zwecks Abrundung, Vereinfachung der Grenzen, E</w:t>
      </w:r>
      <w:r w:rsidRPr="005F15DA">
        <w:t>r</w:t>
      </w:r>
      <w:r w:rsidRPr="005F15DA">
        <w:t>möglichung baulicher Anlagen, betriebstechnischer Verbesserungen und dergleichen, sofern der Preis sowie der amtliche Wert für jedes ei</w:t>
      </w:r>
      <w:r w:rsidRPr="005F15DA">
        <w:t>n</w:t>
      </w:r>
      <w:r w:rsidRPr="005F15DA">
        <w:t xml:space="preserve">zelne Grundstück oder jeden Grundstückabschnitt nicht mehr beträgt </w:t>
      </w:r>
      <w:r w:rsidRPr="005F15DA">
        <w:lastRenderedPageBreak/>
        <w:t>als Fr. 10'000</w:t>
      </w:r>
      <w:proofErr w:type="gramStart"/>
      <w:r w:rsidRPr="005F15DA">
        <w:t>.—</w:t>
      </w:r>
      <w:proofErr w:type="gramEnd"/>
      <w:r w:rsidRPr="005F15DA">
        <w:t xml:space="preserve"> und die handändernde Fläche pro Grundstücka</w:t>
      </w:r>
      <w:r w:rsidRPr="005F15DA">
        <w:t>b</w:t>
      </w:r>
      <w:r w:rsidRPr="005F15DA">
        <w:t>schnitt 500 m2 nicht übersteigt.</w:t>
      </w:r>
    </w:p>
    <w:p w:rsidR="005D70F9" w:rsidRPr="005F15DA" w:rsidRDefault="005D70F9" w:rsidP="00A312DD">
      <w:pPr>
        <w:tabs>
          <w:tab w:val="left" w:pos="2127"/>
        </w:tabs>
        <w:ind w:left="2127" w:hanging="284"/>
      </w:pPr>
      <w:r w:rsidRPr="005F15DA">
        <w:tab/>
        <w:t>Bei diesem vereinfachten Verfahren orientiert der Notar die Beteiligten über den Vertragsinhalt und beurkundet ihre Willenseinigung (Unte</w:t>
      </w:r>
      <w:r w:rsidRPr="005F15DA">
        <w:t>r</w:t>
      </w:r>
      <w:r w:rsidRPr="005F15DA">
        <w:t>zeichnung der Urkunde durch die Parteien in Gegenwart des Notars).</w:t>
      </w:r>
    </w:p>
    <w:p w:rsidR="00C223AE" w:rsidRPr="005F15DA" w:rsidRDefault="00C223AE" w:rsidP="00A312DD">
      <w:pPr>
        <w:tabs>
          <w:tab w:val="left" w:pos="2127"/>
        </w:tabs>
        <w:ind w:left="2127" w:hanging="284"/>
      </w:pPr>
    </w:p>
    <w:p w:rsidR="005D70F9" w:rsidRPr="005F15DA" w:rsidRDefault="005D70F9" w:rsidP="00A312DD">
      <w:pPr>
        <w:tabs>
          <w:tab w:val="left" w:pos="2127"/>
        </w:tabs>
        <w:ind w:left="1843"/>
      </w:pPr>
      <w:r w:rsidRPr="005F15DA">
        <w:t>-</w:t>
      </w:r>
      <w:r w:rsidRPr="005F15DA">
        <w:tab/>
        <w:t>Eidesstattliche Erklärung und Gelübde:</w:t>
      </w:r>
    </w:p>
    <w:p w:rsidR="005D70F9" w:rsidRPr="005F15DA" w:rsidRDefault="005D70F9" w:rsidP="00A312DD">
      <w:pPr>
        <w:tabs>
          <w:tab w:val="left" w:pos="2127"/>
        </w:tabs>
        <w:ind w:left="1843"/>
      </w:pPr>
      <w:r w:rsidRPr="005F15DA">
        <w:tab/>
        <w:t>Nur zulässig zur Rechtswahrung im Ausland;</w:t>
      </w:r>
    </w:p>
    <w:p w:rsidR="005D70F9" w:rsidRPr="005F15DA" w:rsidRDefault="005D70F9" w:rsidP="00A312DD">
      <w:pPr>
        <w:tabs>
          <w:tab w:val="left" w:pos="2127"/>
        </w:tabs>
        <w:ind w:left="2127" w:hanging="284"/>
      </w:pPr>
      <w:r w:rsidRPr="005F15DA">
        <w:tab/>
        <w:t>Der Notar beurkundet, dass die Urkundspartei in seiner Gegenwart ihre Bestätigung unterzeichnet und ihm unter Eid oder Gelübde erklärt hat, diese Bestätigung enthalte die Wahrheit.</w:t>
      </w:r>
    </w:p>
    <w:p w:rsidR="00612A54" w:rsidRPr="005F15DA" w:rsidRDefault="00612A54" w:rsidP="00612A54">
      <w:pPr>
        <w:ind w:left="426"/>
      </w:pPr>
    </w:p>
    <w:p w:rsidR="005D70F9" w:rsidRPr="005F15DA" w:rsidRDefault="005D70F9" w:rsidP="00A312DD">
      <w:pPr>
        <w:pStyle w:val="berschrift7"/>
      </w:pPr>
      <w:r w:rsidRPr="005F15DA">
        <w:rPr>
          <w:spacing w:val="-8"/>
        </w:rPr>
        <w:t>2.1.2.4.</w:t>
      </w:r>
      <w:r w:rsidRPr="005F15DA">
        <w:tab/>
        <w:t>Ergänzendes Bundesrecht (Art. 48 NV)</w:t>
      </w:r>
    </w:p>
    <w:p w:rsidR="005D70F9" w:rsidRPr="005F15DA" w:rsidRDefault="005D70F9" w:rsidP="00A312DD">
      <w:pPr>
        <w:ind w:left="1843"/>
      </w:pPr>
      <w:r w:rsidRPr="005F15DA">
        <w:t>Die Beurkundung von Willenserklärungen kann auch in den Formen erfo</w:t>
      </w:r>
      <w:r w:rsidRPr="005F15DA">
        <w:t>l</w:t>
      </w:r>
      <w:r w:rsidRPr="005F15DA">
        <w:t>gen, welche das Bundesrecht für öffentliche letztwillige Verfügungen und Erbverträge vorsieht.</w:t>
      </w:r>
    </w:p>
    <w:p w:rsidR="00612A54" w:rsidRPr="005F15DA" w:rsidRDefault="00612A54" w:rsidP="00612A54">
      <w:pPr>
        <w:ind w:left="426"/>
      </w:pPr>
    </w:p>
    <w:p w:rsidR="00612A54" w:rsidRPr="005F15DA" w:rsidRDefault="00612A54" w:rsidP="00612A54">
      <w:pPr>
        <w:ind w:left="426"/>
      </w:pPr>
    </w:p>
    <w:p w:rsidR="005D70F9" w:rsidRPr="005F15DA" w:rsidRDefault="005D70F9" w:rsidP="00A312DD">
      <w:pPr>
        <w:pStyle w:val="berschrift6"/>
      </w:pPr>
      <w:r w:rsidRPr="005F15DA">
        <w:t>2.1.3.</w:t>
      </w:r>
      <w:r w:rsidRPr="005F15DA">
        <w:tab/>
        <w:t>Verfahren nach ZGB (Art. 499 – 504 ZGB)</w:t>
      </w:r>
    </w:p>
    <w:p w:rsidR="005D70F9" w:rsidRPr="005F15DA" w:rsidRDefault="005D70F9" w:rsidP="00A312DD">
      <w:pPr>
        <w:tabs>
          <w:tab w:val="left" w:pos="1276"/>
        </w:tabs>
        <w:ind w:left="993"/>
      </w:pPr>
      <w:r w:rsidRPr="005F15DA">
        <w:t>Das Bundesrecht überlässt die Vorschriften für die Beurkundung von Verfügungen von Todes wegen (letztwillige Verfügungen, Art. 498 ff. ZGB, Erbverträge, Art. 512 ff. ZGB) und von Verpfründungsverträgen (Art. 521 ff. OR) nicht den Kantonen, sondern erlässt dazu zwingende Formvorschriften. Die Kantone können nur noch bestimmen, wer als Urkundsperson die öffentliche Beurkundung vorzunehmen hat. Im Kanton Bern ist dafür ebenfalls der Notar zuständig.</w:t>
      </w:r>
    </w:p>
    <w:p w:rsidR="00C223AE" w:rsidRPr="005F15DA" w:rsidRDefault="00C223AE" w:rsidP="00A312DD">
      <w:pPr>
        <w:tabs>
          <w:tab w:val="left" w:pos="1276"/>
        </w:tabs>
        <w:ind w:left="993"/>
      </w:pPr>
    </w:p>
    <w:p w:rsidR="005D70F9" w:rsidRPr="005F15DA" w:rsidRDefault="005D70F9" w:rsidP="00A312DD">
      <w:pPr>
        <w:tabs>
          <w:tab w:val="left" w:pos="1276"/>
        </w:tabs>
        <w:ind w:left="993"/>
      </w:pPr>
      <w:r w:rsidRPr="005F15DA">
        <w:t xml:space="preserve">Verfügungen von </w:t>
      </w:r>
      <w:proofErr w:type="gramStart"/>
      <w:r w:rsidRPr="005F15DA">
        <w:t>Todes</w:t>
      </w:r>
      <w:proofErr w:type="gramEnd"/>
      <w:r w:rsidRPr="005F15DA">
        <w:t xml:space="preserve"> wegen (öffentliche Testamente und Erbverträge) sind grundsätzlich Willenserklärungen. Im Gegensatz zum kantonal bernischen Beu</w:t>
      </w:r>
      <w:r w:rsidRPr="005F15DA">
        <w:t>r</w:t>
      </w:r>
      <w:r w:rsidRPr="005F15DA">
        <w:t>kundungsverfahren ergeben sich beim Verfahren nach ZGB folgende wesentliche Unterschiede:</w:t>
      </w:r>
    </w:p>
    <w:p w:rsidR="005D70F9" w:rsidRPr="005F15DA" w:rsidRDefault="005D70F9" w:rsidP="00A312DD">
      <w:pPr>
        <w:tabs>
          <w:tab w:val="left" w:pos="1276"/>
        </w:tabs>
        <w:ind w:left="1276" w:hanging="283"/>
      </w:pPr>
      <w:r w:rsidRPr="005F15DA">
        <w:t>-</w:t>
      </w:r>
      <w:r w:rsidRPr="005F15DA">
        <w:tab/>
        <w:t>Die Vertragsschliessenden beim Erbvertrag haben dem Notar ihren Willen gleichzeitig kundzutun. Ein separates Hauptverfahren mit jeder Partei ist nicht möglich.</w:t>
      </w:r>
    </w:p>
    <w:p w:rsidR="005D70F9" w:rsidRPr="005F15DA" w:rsidRDefault="005D70F9" w:rsidP="00A312DD">
      <w:pPr>
        <w:tabs>
          <w:tab w:val="left" w:pos="1276"/>
        </w:tabs>
        <w:ind w:left="1276" w:hanging="283"/>
      </w:pPr>
      <w:r w:rsidRPr="005F15DA">
        <w:t>-</w:t>
      </w:r>
      <w:r w:rsidRPr="005F15DA">
        <w:tab/>
        <w:t xml:space="preserve">Die Vertragsschliessenden haben bei der </w:t>
      </w:r>
      <w:r w:rsidR="002C3802" w:rsidRPr="005F15DA">
        <w:t>Beurkundung</w:t>
      </w:r>
      <w:r w:rsidRPr="005F15DA">
        <w:t xml:space="preserve"> persönlich anwesend zu sein (keine Vertretung mittels Vollmacht).</w:t>
      </w:r>
    </w:p>
    <w:p w:rsidR="005D70F9" w:rsidRPr="005F15DA" w:rsidRDefault="005D70F9" w:rsidP="00A312DD">
      <w:pPr>
        <w:tabs>
          <w:tab w:val="left" w:pos="1276"/>
        </w:tabs>
        <w:ind w:left="1276" w:hanging="283"/>
      </w:pPr>
      <w:r w:rsidRPr="005F15DA">
        <w:t>-</w:t>
      </w:r>
      <w:r w:rsidRPr="005F15DA">
        <w:tab/>
        <w:t>Die Urschrift der Urkunde muss vom Notar eigenhändig datiert werden; dies muss aber nicht zwingend handschriftlich erfolgen.</w:t>
      </w:r>
    </w:p>
    <w:p w:rsidR="00C223AE" w:rsidRPr="005F15DA" w:rsidRDefault="00C223AE" w:rsidP="00A312DD">
      <w:pPr>
        <w:tabs>
          <w:tab w:val="left" w:pos="1276"/>
        </w:tabs>
        <w:ind w:left="993"/>
      </w:pPr>
    </w:p>
    <w:p w:rsidR="005D70F9" w:rsidRPr="005F15DA" w:rsidRDefault="005D70F9" w:rsidP="00A312DD">
      <w:pPr>
        <w:tabs>
          <w:tab w:val="left" w:pos="1276"/>
        </w:tabs>
        <w:ind w:left="993"/>
      </w:pPr>
      <w:r w:rsidRPr="005F15DA">
        <w:t>Es sind zwei Verfahren möglich, nämlich die Selbstlesung (ordentliches Verfahren) und die Vorlesung (ausserordentliches Verfahren). Den Beteiligten ist es freigestellt, welches Verfahren sie anwenden wollen.</w:t>
      </w:r>
    </w:p>
    <w:p w:rsidR="005D70F9" w:rsidRPr="005F15DA" w:rsidRDefault="005D70F9" w:rsidP="00A312DD">
      <w:pPr>
        <w:tabs>
          <w:tab w:val="left" w:pos="1276"/>
        </w:tabs>
        <w:ind w:left="1276" w:hanging="283"/>
      </w:pPr>
      <w:r w:rsidRPr="005F15DA">
        <w:t>-</w:t>
      </w:r>
      <w:r w:rsidRPr="005F15DA">
        <w:tab/>
        <w:t>Bei der Selbstlesung werden die beiden notwendigen Zeugen erst nach der Selbstlesung aber vor der Datierung und Unterzeichnung beigezogen;</w:t>
      </w:r>
    </w:p>
    <w:p w:rsidR="005D70F9" w:rsidRPr="005F15DA" w:rsidRDefault="005D70F9" w:rsidP="00A312DD">
      <w:pPr>
        <w:tabs>
          <w:tab w:val="left" w:pos="1276"/>
        </w:tabs>
        <w:ind w:left="1276" w:hanging="283"/>
      </w:pPr>
      <w:r w:rsidRPr="005F15DA">
        <w:tab/>
        <w:t>Bei der Vorlesung müssen die beiden Zeugen von Anfang an dabei sein.</w:t>
      </w:r>
    </w:p>
    <w:p w:rsidR="005D70F9" w:rsidRPr="005F15DA" w:rsidRDefault="005D70F9" w:rsidP="00A312DD">
      <w:pPr>
        <w:tabs>
          <w:tab w:val="left" w:pos="1276"/>
        </w:tabs>
        <w:ind w:left="1276" w:hanging="283"/>
      </w:pPr>
      <w:r w:rsidRPr="005F15DA">
        <w:t>-</w:t>
      </w:r>
      <w:r w:rsidRPr="005F15DA">
        <w:tab/>
        <w:t>Bei der Selbstlesung wird die Urkunde von den Parteien und dem Notar unte</w:t>
      </w:r>
      <w:r w:rsidRPr="005F15DA">
        <w:t>r</w:t>
      </w:r>
      <w:r w:rsidRPr="005F15DA">
        <w:t>zeichnet;</w:t>
      </w:r>
    </w:p>
    <w:p w:rsidR="005D70F9" w:rsidRPr="005F15DA" w:rsidRDefault="005D70F9" w:rsidP="00A312DD">
      <w:pPr>
        <w:tabs>
          <w:tab w:val="left" w:pos="1276"/>
        </w:tabs>
        <w:ind w:left="993"/>
      </w:pPr>
      <w:r w:rsidRPr="005F15DA">
        <w:tab/>
        <w:t>Bei der Vorlesung müssen die Parteien die Urkunde nicht selber unterzeichnen.</w:t>
      </w:r>
    </w:p>
    <w:p w:rsidR="005D70F9" w:rsidRPr="005F15DA" w:rsidRDefault="005D70F9" w:rsidP="00A312DD">
      <w:pPr>
        <w:tabs>
          <w:tab w:val="left" w:pos="1276"/>
        </w:tabs>
        <w:ind w:left="1276" w:hanging="283"/>
      </w:pPr>
      <w:r w:rsidRPr="005F15DA">
        <w:lastRenderedPageBreak/>
        <w:t>-</w:t>
      </w:r>
      <w:r w:rsidRPr="005F15DA">
        <w:tab/>
        <w:t>Bei der Selbstlesung erklären die Parteien den Zeugen (unmittelbar nach Dati</w:t>
      </w:r>
      <w:r w:rsidRPr="005F15DA">
        <w:t>e</w:t>
      </w:r>
      <w:r w:rsidRPr="005F15DA">
        <w:t>rung und Unterzeichnung der Urkunde und in Gegenwart des Notars), dass sie die Urkunde selber gelesen haben und diese ihr Testament bzw. ihren Erbve</w:t>
      </w:r>
      <w:r w:rsidRPr="005F15DA">
        <w:t>r</w:t>
      </w:r>
      <w:r w:rsidRPr="005F15DA">
        <w:t>trag enthalte. Die Zeugen bestätigen unterschriftlich, dass die Parteien diese E</w:t>
      </w:r>
      <w:r w:rsidRPr="005F15DA">
        <w:t>r</w:t>
      </w:r>
      <w:r w:rsidRPr="005F15DA">
        <w:t>klärung abgegeben haben; zudem bestätigen die Zeugen, dass sich die Urkun</w:t>
      </w:r>
      <w:r w:rsidRPr="005F15DA">
        <w:t>d</w:t>
      </w:r>
      <w:r w:rsidRPr="005F15DA">
        <w:t>sparteien ihrer Wahrnehmung nach im Zustande der Verfügungsfähigkeit befu</w:t>
      </w:r>
      <w:r w:rsidRPr="005F15DA">
        <w:t>n</w:t>
      </w:r>
      <w:r w:rsidRPr="005F15DA">
        <w:t>den haben;</w:t>
      </w:r>
    </w:p>
    <w:p w:rsidR="005D70F9" w:rsidRPr="005F15DA" w:rsidRDefault="005D70F9" w:rsidP="00C223AE">
      <w:pPr>
        <w:tabs>
          <w:tab w:val="left" w:pos="1276"/>
        </w:tabs>
        <w:ind w:left="1276" w:hanging="283"/>
      </w:pPr>
      <w:r w:rsidRPr="005F15DA">
        <w:tab/>
        <w:t>Bei der Vorlesung bestätigen die Zeugen zusätzlich, dass die Urkunde vom Notar in ihrer Gegenwart den Parteien vorgelesen wurde.</w:t>
      </w:r>
    </w:p>
    <w:p w:rsidR="00C223AE" w:rsidRPr="005F15DA" w:rsidRDefault="00C223AE" w:rsidP="00A312DD">
      <w:pPr>
        <w:tabs>
          <w:tab w:val="left" w:pos="1276"/>
        </w:tabs>
        <w:ind w:left="993"/>
      </w:pPr>
    </w:p>
    <w:p w:rsidR="005D70F9" w:rsidRPr="005F15DA" w:rsidRDefault="005D70F9" w:rsidP="00A312DD">
      <w:pPr>
        <w:tabs>
          <w:tab w:val="left" w:pos="1276"/>
        </w:tabs>
        <w:ind w:left="993"/>
      </w:pPr>
      <w:r w:rsidRPr="005F15DA">
        <w:t>Das Verfahren nach ZGB darf auch für die restlichen Beurkundungen von Willen</w:t>
      </w:r>
      <w:r w:rsidRPr="005F15DA">
        <w:t>s</w:t>
      </w:r>
      <w:r w:rsidRPr="005F15DA">
        <w:t xml:space="preserve">erklärungen (Kaufverträge, Eheverträge, Grundpfandverträge usw.) in Anspruch genommen werden (siehe </w:t>
      </w:r>
      <w:r w:rsidR="002C3802" w:rsidRPr="005F15DA">
        <w:t>hiervor</w:t>
      </w:r>
      <w:r w:rsidRPr="005F15DA">
        <w:t xml:space="preserve"> 2.1.2.4). Dank der Selbstlesung kann so das Vo</w:t>
      </w:r>
      <w:r w:rsidRPr="005F15DA">
        <w:t>r</w:t>
      </w:r>
      <w:r w:rsidRPr="005F15DA">
        <w:t>lesen von sehr komplexen Verträgen vermieden werden. Als Nachteil kann sich der Beizug von Zeugen erweisen.</w:t>
      </w:r>
    </w:p>
    <w:p w:rsidR="00612A54" w:rsidRPr="005F15DA" w:rsidRDefault="00612A54" w:rsidP="00612A54">
      <w:pPr>
        <w:ind w:left="426"/>
      </w:pPr>
    </w:p>
    <w:p w:rsidR="00612A54" w:rsidRPr="005F15DA" w:rsidRDefault="00612A54" w:rsidP="00612A54">
      <w:pPr>
        <w:ind w:left="426"/>
      </w:pPr>
    </w:p>
    <w:p w:rsidR="005D70F9" w:rsidRPr="005F15DA" w:rsidRDefault="005D70F9" w:rsidP="00C223AE">
      <w:pPr>
        <w:pStyle w:val="berschrift5"/>
        <w:ind w:left="993" w:hanging="567"/>
      </w:pPr>
      <w:r w:rsidRPr="005F15DA">
        <w:rPr>
          <w:spacing w:val="-6"/>
        </w:rPr>
        <w:t>2.2.</w:t>
      </w:r>
      <w:r w:rsidRPr="005F15DA">
        <w:tab/>
        <w:t>Sachbeurkundungen (Vorgänge und Zustände)</w:t>
      </w:r>
    </w:p>
    <w:p w:rsidR="00612A54" w:rsidRPr="005F15DA" w:rsidRDefault="00612A54" w:rsidP="00612A54">
      <w:pPr>
        <w:ind w:left="426"/>
      </w:pPr>
    </w:p>
    <w:p w:rsidR="005D70F9" w:rsidRPr="005F15DA" w:rsidRDefault="005D70F9" w:rsidP="00A312DD">
      <w:pPr>
        <w:pStyle w:val="berschrift6"/>
      </w:pPr>
      <w:r w:rsidRPr="005F15DA">
        <w:t>2.2.1.</w:t>
      </w:r>
      <w:r w:rsidRPr="005F15DA">
        <w:tab/>
        <w:t>Bernisches Verfahren (Art. 51 – 64 NV)</w:t>
      </w:r>
    </w:p>
    <w:p w:rsidR="005D70F9" w:rsidRPr="005F15DA" w:rsidRDefault="005D70F9" w:rsidP="00C223AE">
      <w:pPr>
        <w:tabs>
          <w:tab w:val="left" w:pos="1276"/>
        </w:tabs>
        <w:ind w:left="993"/>
      </w:pPr>
      <w:r w:rsidRPr="005F15DA">
        <w:t>Bei der Beurkundung von Vorgängen und Zuständen stehen nicht die Willenserkl</w:t>
      </w:r>
      <w:r w:rsidRPr="005F15DA">
        <w:t>ä</w:t>
      </w:r>
      <w:r w:rsidRPr="005F15DA">
        <w:t>rungen der Urkundsparteien, sondern vom Notar persönlich festgestellte Tatsachen im Vordergrund. Wesentlicher Unterschied zur Beurkundung von Willenserkläru</w:t>
      </w:r>
      <w:r w:rsidRPr="005F15DA">
        <w:t>n</w:t>
      </w:r>
      <w:r w:rsidRPr="005F15DA">
        <w:t>gen ist dabei, dass die Urkunde weder vorgelegt noch genehmigt werden muss. Den Grundsatz der Einheit des Aktes gibt es hier nicht.</w:t>
      </w:r>
    </w:p>
    <w:p w:rsidR="00C223AE" w:rsidRPr="005F15DA" w:rsidRDefault="00C223AE" w:rsidP="00C223AE">
      <w:pPr>
        <w:tabs>
          <w:tab w:val="left" w:pos="1276"/>
        </w:tabs>
        <w:ind w:left="993"/>
      </w:pPr>
    </w:p>
    <w:p w:rsidR="005D70F9" w:rsidRPr="005F15DA" w:rsidRDefault="005D70F9" w:rsidP="00C223AE">
      <w:pPr>
        <w:tabs>
          <w:tab w:val="left" w:pos="1276"/>
        </w:tabs>
        <w:ind w:left="993"/>
      </w:pPr>
      <w:r w:rsidRPr="005F15DA">
        <w:t>Einzig bei der Versteigerung von Grundstücken müssen Versteigerer und Ersteig</w:t>
      </w:r>
      <w:r w:rsidRPr="005F15DA">
        <w:t>e</w:t>
      </w:r>
      <w:r w:rsidRPr="005F15DA">
        <w:t>rer bzw. deren Vertreter, die Urkunde mit dem Notar unterzeichnen. Bei der Ve</w:t>
      </w:r>
      <w:r w:rsidRPr="005F15DA">
        <w:t>r</w:t>
      </w:r>
      <w:r w:rsidRPr="005F15DA">
        <w:t>steigerung von Fahrnis muss der Ausrufer die Urkunde mit dem Notar unterzeic</w:t>
      </w:r>
      <w:r w:rsidRPr="005F15DA">
        <w:t>h</w:t>
      </w:r>
      <w:r w:rsidRPr="005F15DA">
        <w:t>nen.</w:t>
      </w:r>
    </w:p>
    <w:p w:rsidR="00C223AE" w:rsidRPr="005F15DA" w:rsidRDefault="00C223AE" w:rsidP="00C223AE">
      <w:pPr>
        <w:tabs>
          <w:tab w:val="left" w:pos="1276"/>
        </w:tabs>
        <w:ind w:left="993"/>
      </w:pPr>
    </w:p>
    <w:p w:rsidR="005D70F9" w:rsidRPr="005F15DA" w:rsidRDefault="005D70F9" w:rsidP="00C223AE">
      <w:pPr>
        <w:tabs>
          <w:tab w:val="left" w:pos="1276"/>
        </w:tabs>
        <w:ind w:left="993"/>
      </w:pPr>
      <w:r w:rsidRPr="005F15DA">
        <w:t>Die Feststellungen des Notars und die Errichtung der Urkunde fallen normalerweise zeitlich auseinander. So wird das Steuerinventar regelmässig nicht unmittelbar nach der Inventaraufnahme abgeschlossen, sondern vom Notar erst in einem späteren Zeitpunkt beurkundet. Die persönliche Feststellung durch den Notar und die Erric</w:t>
      </w:r>
      <w:r w:rsidRPr="005F15DA">
        <w:t>h</w:t>
      </w:r>
      <w:r w:rsidRPr="005F15DA">
        <w:t>tung der öffentlichen Urkunde müssen innerhalb des Kantons Bern erfolgen.</w:t>
      </w:r>
    </w:p>
    <w:p w:rsidR="005D70F9" w:rsidRPr="005F15DA" w:rsidRDefault="005D70F9" w:rsidP="00C223AE">
      <w:pPr>
        <w:tabs>
          <w:tab w:val="left" w:pos="1276"/>
        </w:tabs>
        <w:ind w:left="993"/>
      </w:pPr>
      <w:r w:rsidRPr="005F15DA">
        <w:t>Beispiele: Urkunde über den Zustand eines Hauses, Erbenschein.</w:t>
      </w:r>
    </w:p>
    <w:p w:rsidR="00C223AE" w:rsidRPr="005F15DA" w:rsidRDefault="00C223AE" w:rsidP="00C223AE">
      <w:pPr>
        <w:tabs>
          <w:tab w:val="left" w:pos="1276"/>
        </w:tabs>
        <w:ind w:left="993"/>
      </w:pPr>
    </w:p>
    <w:p w:rsidR="005D70F9" w:rsidRPr="005F15DA" w:rsidRDefault="005D70F9" w:rsidP="00C223AE">
      <w:pPr>
        <w:tabs>
          <w:tab w:val="left" w:pos="1276"/>
        </w:tabs>
        <w:ind w:left="993"/>
      </w:pPr>
      <w:r w:rsidRPr="005F15DA">
        <w:t>Der Notar erstellt die Urkunde aufgrund seiner persönlichen Feststellungen. Die U</w:t>
      </w:r>
      <w:r w:rsidRPr="005F15DA">
        <w:t>r</w:t>
      </w:r>
      <w:r w:rsidRPr="005F15DA">
        <w:t>kunde enthält eine genaue Beschreibung des Vorganges oder Zustandes sowie Ort, Datum und, soweit nötig, die Tageszeit der Feststellung. In der Urkunde ist z</w:t>
      </w:r>
      <w:r w:rsidRPr="005F15DA">
        <w:t>u</w:t>
      </w:r>
      <w:r w:rsidRPr="005F15DA">
        <w:t>dem festzuhalten, wer den Notar rogiert hat.</w:t>
      </w:r>
    </w:p>
    <w:p w:rsidR="00C223AE" w:rsidRPr="005F15DA" w:rsidRDefault="00C223AE" w:rsidP="00C223AE">
      <w:pPr>
        <w:tabs>
          <w:tab w:val="left" w:pos="1276"/>
        </w:tabs>
        <w:ind w:left="993"/>
      </w:pPr>
    </w:p>
    <w:p w:rsidR="005D70F9" w:rsidRPr="005F15DA" w:rsidRDefault="005D70F9" w:rsidP="00C223AE">
      <w:pPr>
        <w:tabs>
          <w:tab w:val="left" w:pos="1276"/>
        </w:tabs>
        <w:ind w:left="993"/>
      </w:pPr>
      <w:r w:rsidRPr="005F15DA">
        <w:t>In der Notariatsverordnung sind die folgenden Verfahren speziell geregelt:</w:t>
      </w:r>
    </w:p>
    <w:p w:rsidR="005D70F9" w:rsidRPr="005F15DA" w:rsidRDefault="005D70F9" w:rsidP="00C223AE">
      <w:pPr>
        <w:tabs>
          <w:tab w:val="left" w:pos="1276"/>
        </w:tabs>
        <w:ind w:left="993"/>
      </w:pPr>
      <w:r w:rsidRPr="005F15DA">
        <w:t>-</w:t>
      </w:r>
      <w:r w:rsidRPr="005F15DA">
        <w:tab/>
        <w:t>Versammlungsbeschlüsse (Art. 54 NV),</w:t>
      </w:r>
    </w:p>
    <w:p w:rsidR="005D70F9" w:rsidRPr="005F15DA" w:rsidRDefault="005D70F9" w:rsidP="00C223AE">
      <w:pPr>
        <w:tabs>
          <w:tab w:val="left" w:pos="1276"/>
        </w:tabs>
        <w:ind w:left="993"/>
      </w:pPr>
      <w:r w:rsidRPr="005F15DA">
        <w:t>-</w:t>
      </w:r>
      <w:r w:rsidRPr="005F15DA">
        <w:tab/>
        <w:t>Inventar (Art. 55 NV und Verordnung über die Errichtung des Inventars),</w:t>
      </w:r>
    </w:p>
    <w:p w:rsidR="005D70F9" w:rsidRPr="005F15DA" w:rsidRDefault="005D70F9" w:rsidP="00C223AE">
      <w:pPr>
        <w:tabs>
          <w:tab w:val="left" w:pos="1276"/>
        </w:tabs>
        <w:ind w:left="993"/>
      </w:pPr>
      <w:r w:rsidRPr="005F15DA">
        <w:t>-</w:t>
      </w:r>
      <w:r w:rsidRPr="005F15DA">
        <w:tab/>
        <w:t>Eröffnung von Verfügungen von Todes wegen (Art. 56 – 58 NV),</w:t>
      </w:r>
    </w:p>
    <w:p w:rsidR="005D70F9" w:rsidRPr="005F15DA" w:rsidRDefault="005D70F9" w:rsidP="00C223AE">
      <w:pPr>
        <w:tabs>
          <w:tab w:val="left" w:pos="1276"/>
        </w:tabs>
        <w:ind w:left="993"/>
      </w:pPr>
      <w:r w:rsidRPr="005F15DA">
        <w:lastRenderedPageBreak/>
        <w:t>-</w:t>
      </w:r>
      <w:r w:rsidRPr="005F15DA">
        <w:tab/>
        <w:t>Versteigerungen (Art. 59 – 61 NV),</w:t>
      </w:r>
    </w:p>
    <w:p w:rsidR="005D70F9" w:rsidRPr="005F15DA" w:rsidRDefault="005D70F9" w:rsidP="00C223AE">
      <w:pPr>
        <w:tabs>
          <w:tab w:val="left" w:pos="1276"/>
        </w:tabs>
        <w:ind w:left="993"/>
      </w:pPr>
      <w:r w:rsidRPr="005F15DA">
        <w:t>-</w:t>
      </w:r>
      <w:r w:rsidRPr="005F15DA">
        <w:tab/>
        <w:t>Beglaubigungen (Art. 62 – 64 NV).</w:t>
      </w:r>
    </w:p>
    <w:p w:rsidR="00C223AE" w:rsidRPr="005F15DA" w:rsidRDefault="00C223AE" w:rsidP="00C223AE">
      <w:pPr>
        <w:tabs>
          <w:tab w:val="left" w:pos="1276"/>
        </w:tabs>
        <w:ind w:left="993"/>
      </w:pPr>
    </w:p>
    <w:p w:rsidR="005D70F9" w:rsidRPr="005F15DA" w:rsidRDefault="005D70F9" w:rsidP="00C223AE">
      <w:pPr>
        <w:tabs>
          <w:tab w:val="left" w:pos="1276"/>
        </w:tabs>
        <w:ind w:left="993"/>
      </w:pPr>
      <w:r w:rsidRPr="005F15DA">
        <w:t>Seit dem 1. Juli 2006 ist der bernische Notar neu auch für die Eröffnung von letz</w:t>
      </w:r>
      <w:r w:rsidRPr="005F15DA">
        <w:t>t</w:t>
      </w:r>
      <w:r w:rsidRPr="005F15DA">
        <w:t>willigen Verfügungen und die Ausstellung von Erbenscheinen für eingesetzte Erben zuständig, was bisher den Gemeinden vorbehalten war.</w:t>
      </w:r>
    </w:p>
    <w:p w:rsidR="00C223AE" w:rsidRPr="005F15DA" w:rsidRDefault="00C223AE" w:rsidP="00C223AE">
      <w:pPr>
        <w:tabs>
          <w:tab w:val="left" w:pos="1276"/>
        </w:tabs>
        <w:ind w:left="993"/>
      </w:pPr>
    </w:p>
    <w:p w:rsidR="005D70F9" w:rsidRPr="005F15DA" w:rsidRDefault="005D70F9" w:rsidP="00C223AE">
      <w:pPr>
        <w:tabs>
          <w:tab w:val="left" w:pos="1276"/>
        </w:tabs>
        <w:ind w:left="993"/>
      </w:pPr>
      <w:r w:rsidRPr="005F15DA">
        <w:t>Alle Erbverträge müssen eröffnet werden. Eheverträge können nicht mehr eröffnet werden.</w:t>
      </w:r>
    </w:p>
    <w:p w:rsidR="00612A54" w:rsidRPr="005F15DA" w:rsidRDefault="00612A54" w:rsidP="00612A54">
      <w:pPr>
        <w:ind w:left="426"/>
      </w:pPr>
    </w:p>
    <w:p w:rsidR="00612A54" w:rsidRPr="005F15DA" w:rsidRDefault="00612A54" w:rsidP="00612A54">
      <w:pPr>
        <w:ind w:left="426"/>
      </w:pPr>
    </w:p>
    <w:p w:rsidR="005D70F9" w:rsidRPr="005F15DA" w:rsidRDefault="005D70F9" w:rsidP="00A312DD">
      <w:pPr>
        <w:pStyle w:val="berschrift6"/>
      </w:pPr>
      <w:r w:rsidRPr="005F15DA">
        <w:t>2.2.2.</w:t>
      </w:r>
      <w:r w:rsidRPr="005F15DA">
        <w:tab/>
        <w:t>OR-Verfahren</w:t>
      </w:r>
    </w:p>
    <w:p w:rsidR="005D70F9" w:rsidRPr="005F15DA" w:rsidRDefault="005D70F9" w:rsidP="00C223AE">
      <w:pPr>
        <w:ind w:left="993"/>
      </w:pPr>
      <w:r w:rsidRPr="005F15DA">
        <w:t>Ähnlich dem ZGB enthält auch das OR bundesrechtliche Vorschriften für das Beu</w:t>
      </w:r>
      <w:r w:rsidRPr="005F15DA">
        <w:t>r</w:t>
      </w:r>
      <w:r w:rsidRPr="005F15DA">
        <w:t>kundungsverfahren. Dieses kommt ausschliesslich zur Aufnahme von Wechselpr</w:t>
      </w:r>
      <w:r w:rsidRPr="005F15DA">
        <w:t>o</w:t>
      </w:r>
      <w:r w:rsidRPr="005F15DA">
        <w:t>testen zur Anwendung. Der Gläubiger einer Wechselforderung muss dem Schul</w:t>
      </w:r>
      <w:r w:rsidRPr="005F15DA">
        <w:t>d</w:t>
      </w:r>
      <w:r w:rsidRPr="005F15DA">
        <w:t>ner den Wechsel zur Geltendmachung seiner Forderung präsentieren. Verweigert der Schuldner die Zahlung oder die Anerkennung des Wechsels, muss der Gläub</w:t>
      </w:r>
      <w:r w:rsidRPr="005F15DA">
        <w:t>i</w:t>
      </w:r>
      <w:r w:rsidRPr="005F15DA">
        <w:t>ger diesen Protest zu seiner Interessenwahrung öffentlich beurkunden lassen.</w:t>
      </w:r>
    </w:p>
    <w:p w:rsidR="00C223AE" w:rsidRPr="005F15DA" w:rsidRDefault="00C223AE" w:rsidP="00C223AE">
      <w:pPr>
        <w:ind w:left="993"/>
      </w:pPr>
    </w:p>
    <w:p w:rsidR="005D70F9" w:rsidRPr="005F15DA" w:rsidRDefault="005D70F9" w:rsidP="00C223AE">
      <w:pPr>
        <w:ind w:left="993"/>
      </w:pPr>
      <w:r w:rsidRPr="005F15DA">
        <w:t>Im Gegensatz zum bernischen Beurkundungsrecht verlangt das OR in diesem Fall nicht, dass der Notar die Tatsachen (Präsentation des Wechsels) persönlich fes</w:t>
      </w:r>
      <w:r w:rsidRPr="005F15DA">
        <w:t>t</w:t>
      </w:r>
      <w:r w:rsidRPr="005F15DA">
        <w:t>stellt. Die Urkunde über den Wechselprotest ist damit die einzige notarielle Urku</w:t>
      </w:r>
      <w:r w:rsidRPr="005F15DA">
        <w:t>n</w:t>
      </w:r>
      <w:r w:rsidRPr="005F15DA">
        <w:t>de, deren beurkundete Tatsache nicht vom Notar persönlich festgestellt werden muss. Es genügt, wenn ein Notariatsangestellter die Präsentation des Wechsels und die Zahlungs- oder Annahmeverweigerung feststellt.</w:t>
      </w:r>
    </w:p>
    <w:p w:rsidR="00612A54" w:rsidRPr="005F15DA" w:rsidRDefault="00612A54" w:rsidP="00612A54">
      <w:pPr>
        <w:ind w:left="426"/>
      </w:pPr>
    </w:p>
    <w:p w:rsidR="00C223AE" w:rsidRPr="005F15DA" w:rsidRDefault="00C223AE" w:rsidP="00612A54">
      <w:pPr>
        <w:ind w:left="426"/>
      </w:pPr>
    </w:p>
    <w:p w:rsidR="00612A54" w:rsidRPr="005F15DA" w:rsidRDefault="00612A54" w:rsidP="00612A54">
      <w:pPr>
        <w:ind w:left="426"/>
      </w:pPr>
    </w:p>
    <w:p w:rsidR="005D70F9" w:rsidRPr="005F15DA" w:rsidRDefault="009626A4" w:rsidP="005759BE">
      <w:pPr>
        <w:pStyle w:val="berschrift3"/>
        <w:rPr>
          <w:lang w:val="de-CH"/>
        </w:rPr>
      </w:pPr>
      <w:bookmarkStart w:id="15" w:name="_Toc432175543"/>
      <w:r w:rsidRPr="005F15DA">
        <w:rPr>
          <w:lang w:val="de-CH"/>
        </w:rPr>
        <w:t>C.</w:t>
      </w:r>
      <w:r w:rsidRPr="005F15DA">
        <w:rPr>
          <w:lang w:val="de-CH"/>
        </w:rPr>
        <w:tab/>
      </w:r>
      <w:r w:rsidR="005D70F9" w:rsidRPr="005F15DA">
        <w:rPr>
          <w:lang w:val="de-CH"/>
        </w:rPr>
        <w:t>Inhalt und Verarbeitung notarieller Urkunden</w:t>
      </w:r>
      <w:bookmarkEnd w:id="15"/>
    </w:p>
    <w:p w:rsidR="008525A0" w:rsidRDefault="008525A0" w:rsidP="008525A0">
      <w:pPr>
        <w:ind w:left="426"/>
      </w:pPr>
    </w:p>
    <w:p w:rsidR="004009FE" w:rsidRPr="005F15DA" w:rsidRDefault="004009FE" w:rsidP="008525A0">
      <w:pPr>
        <w:ind w:left="426"/>
      </w:pPr>
    </w:p>
    <w:p w:rsidR="005D70F9" w:rsidRPr="005F15DA" w:rsidRDefault="005D70F9" w:rsidP="008525A0">
      <w:pPr>
        <w:pStyle w:val="berschrift4"/>
      </w:pPr>
      <w:r w:rsidRPr="005F15DA">
        <w:rPr>
          <w:spacing w:val="-22"/>
        </w:rPr>
        <w:t>1.</w:t>
      </w:r>
      <w:r w:rsidRPr="005F15DA">
        <w:tab/>
        <w:t>Inhalt der öffentlichen Urkunde (Art. 34 NV</w:t>
      </w:r>
      <w:r w:rsidR="008525A0" w:rsidRPr="005F15DA">
        <w:t>, Art. 51 GBV, Art. 24b HRV</w:t>
      </w:r>
      <w:r w:rsidRPr="005F15DA">
        <w:t>)</w:t>
      </w:r>
    </w:p>
    <w:p w:rsidR="005D70F9" w:rsidRPr="005F15DA" w:rsidRDefault="005D70F9" w:rsidP="008525A0">
      <w:pPr>
        <w:tabs>
          <w:tab w:val="left" w:pos="709"/>
        </w:tabs>
        <w:ind w:left="426"/>
      </w:pPr>
      <w:r w:rsidRPr="005F15DA">
        <w:t>Die Urkunde hat ausser dem Beurkundungsgegenstand mindestens zu enthalten:</w:t>
      </w:r>
    </w:p>
    <w:p w:rsidR="005D70F9" w:rsidRPr="005F15DA" w:rsidRDefault="005D70F9" w:rsidP="008525A0">
      <w:pPr>
        <w:tabs>
          <w:tab w:val="left" w:pos="709"/>
        </w:tabs>
        <w:ind w:left="709" w:hanging="283"/>
      </w:pPr>
      <w:r w:rsidRPr="005F15DA">
        <w:t>-</w:t>
      </w:r>
      <w:r w:rsidRPr="005F15DA">
        <w:tab/>
        <w:t>Vorname, Familienname und Beruf des Notars, den Hinweis auf den Eintrag im Not</w:t>
      </w:r>
      <w:r w:rsidRPr="005F15DA">
        <w:t>a</w:t>
      </w:r>
      <w:r w:rsidRPr="005F15DA">
        <w:t>riatsregister, sowie den Ort seines Büros,</w:t>
      </w:r>
    </w:p>
    <w:p w:rsidR="005D70F9" w:rsidRPr="005F15DA" w:rsidRDefault="005D70F9" w:rsidP="008525A0">
      <w:pPr>
        <w:tabs>
          <w:tab w:val="left" w:pos="709"/>
        </w:tabs>
        <w:ind w:left="709" w:hanging="283"/>
      </w:pPr>
      <w:r w:rsidRPr="005F15DA">
        <w:t>-</w:t>
      </w:r>
      <w:r w:rsidRPr="005F15DA">
        <w:tab/>
        <w:t>Vorname</w:t>
      </w:r>
      <w:r w:rsidR="008525A0" w:rsidRPr="005F15DA">
        <w:t>n</w:t>
      </w:r>
      <w:r w:rsidRPr="005F15DA">
        <w:t>, Familienname, genaues Geburtsdatum, Heimatort oder Staatsangehöri</w:t>
      </w:r>
      <w:r w:rsidRPr="005F15DA">
        <w:t>g</w:t>
      </w:r>
      <w:r w:rsidRPr="005F15DA">
        <w:t>keit und Wohnort der Urkundsparteien und der von ihnen vertretenen Personen sowie der Nebenpersonen,</w:t>
      </w:r>
    </w:p>
    <w:p w:rsidR="005D70F9" w:rsidRPr="005F15DA" w:rsidRDefault="005D70F9" w:rsidP="008525A0">
      <w:pPr>
        <w:tabs>
          <w:tab w:val="left" w:pos="709"/>
        </w:tabs>
        <w:ind w:left="426"/>
      </w:pPr>
      <w:r w:rsidRPr="005F15DA">
        <w:t>-</w:t>
      </w:r>
      <w:r w:rsidRPr="005F15DA">
        <w:tab/>
        <w:t xml:space="preserve">bei Grundbuchgeschäften die Angabe </w:t>
      </w:r>
      <w:r w:rsidR="008525A0" w:rsidRPr="005F15DA">
        <w:t>Geschlechts und des Zivilstands</w:t>
      </w:r>
      <w:r w:rsidRPr="005F15DA">
        <w:t>,</w:t>
      </w:r>
    </w:p>
    <w:p w:rsidR="008525A0" w:rsidRPr="005F15DA" w:rsidRDefault="008525A0" w:rsidP="008525A0">
      <w:pPr>
        <w:tabs>
          <w:tab w:val="left" w:pos="709"/>
        </w:tabs>
        <w:ind w:left="709" w:hanging="283"/>
      </w:pPr>
      <w:r w:rsidRPr="005F15DA">
        <w:t>-</w:t>
      </w:r>
      <w:r w:rsidRPr="005F15DA">
        <w:tab/>
        <w:t>bei Geschäften für das Handelsregister die Art, Nummer und das Ausgabeland des vorgelegten Ausweises,</w:t>
      </w:r>
    </w:p>
    <w:p w:rsidR="005D70F9" w:rsidRPr="005F15DA" w:rsidRDefault="005D70F9" w:rsidP="008525A0">
      <w:pPr>
        <w:tabs>
          <w:tab w:val="left" w:pos="709"/>
        </w:tabs>
        <w:ind w:left="709" w:hanging="283"/>
      </w:pPr>
      <w:r w:rsidRPr="005F15DA">
        <w:t>-</w:t>
      </w:r>
      <w:r w:rsidRPr="005F15DA">
        <w:tab/>
        <w:t>die Feststellung, welche Förmlichkeiten des Beurkundungsverfahrens eingehalten worden sind (Schlussverbal),</w:t>
      </w:r>
    </w:p>
    <w:p w:rsidR="005D70F9" w:rsidRPr="005F15DA" w:rsidRDefault="005D70F9" w:rsidP="008525A0">
      <w:pPr>
        <w:tabs>
          <w:tab w:val="left" w:pos="709"/>
        </w:tabs>
        <w:ind w:left="426"/>
      </w:pPr>
      <w:r w:rsidRPr="005F15DA">
        <w:t>-</w:t>
      </w:r>
      <w:r w:rsidRPr="005F15DA">
        <w:tab/>
        <w:t>Angabe von Ort und Datum der Beurkundung,</w:t>
      </w:r>
    </w:p>
    <w:p w:rsidR="005D70F9" w:rsidRPr="005F15DA" w:rsidRDefault="005D70F9" w:rsidP="008525A0">
      <w:pPr>
        <w:tabs>
          <w:tab w:val="left" w:pos="709"/>
        </w:tabs>
        <w:ind w:left="709" w:hanging="283"/>
      </w:pPr>
      <w:r w:rsidRPr="005F15DA">
        <w:t>-</w:t>
      </w:r>
      <w:r w:rsidRPr="005F15DA">
        <w:tab/>
        <w:t>die Unterschriften des Notars, des Sachverständigen sowie des Übersetzers und bei der Beurkundung von Willenserklärungen die Unterschriften der Urkundsparteien,</w:t>
      </w:r>
    </w:p>
    <w:p w:rsidR="005D70F9" w:rsidRPr="005F15DA" w:rsidRDefault="005D70F9" w:rsidP="008525A0">
      <w:pPr>
        <w:tabs>
          <w:tab w:val="left" w:pos="709"/>
        </w:tabs>
        <w:ind w:left="709" w:hanging="283"/>
      </w:pPr>
      <w:r w:rsidRPr="005F15DA">
        <w:lastRenderedPageBreak/>
        <w:t>-</w:t>
      </w:r>
      <w:r w:rsidRPr="005F15DA">
        <w:tab/>
        <w:t>bei Personengesellschaften und juristischen Personen sind Firma bzw. der Name, der Sitz, die Rechtsform wenn diese nicht aus der Firma oder dem Namen hervorgeht, sowie Name, Vorname, Heimatort oder Staatsangehörigkeit, Wohnort und die Art der Zeichnung der für sie handelnden Personen anzugeben,</w:t>
      </w:r>
    </w:p>
    <w:p w:rsidR="005D70F9" w:rsidRPr="005F15DA" w:rsidRDefault="005D70F9" w:rsidP="008525A0">
      <w:pPr>
        <w:tabs>
          <w:tab w:val="left" w:pos="709"/>
        </w:tabs>
        <w:ind w:left="709" w:hanging="283"/>
      </w:pPr>
      <w:r w:rsidRPr="005F15DA">
        <w:t>-</w:t>
      </w:r>
      <w:r w:rsidRPr="005F15DA">
        <w:tab/>
        <w:t>es ist anzugeben, wie die Identität der Nebenpersonen und, bei der Beurkundung von Willenserklärungen, jene der Urkundspersonen festgestellt worden sind,</w:t>
      </w:r>
    </w:p>
    <w:p w:rsidR="005D70F9" w:rsidRPr="005F15DA" w:rsidRDefault="005D70F9" w:rsidP="008525A0">
      <w:pPr>
        <w:tabs>
          <w:tab w:val="left" w:pos="709"/>
        </w:tabs>
        <w:ind w:left="709" w:hanging="283"/>
      </w:pPr>
      <w:r w:rsidRPr="005F15DA">
        <w:t>-</w:t>
      </w:r>
      <w:r w:rsidRPr="005F15DA">
        <w:tab/>
        <w:t>in der Urkunde ist auf Ausweise von Vertreterinnen und Vertretern sowie auf alle and</w:t>
      </w:r>
      <w:r w:rsidRPr="005F15DA">
        <w:t>e</w:t>
      </w:r>
      <w:r w:rsidRPr="005F15DA">
        <w:t>ren Beilagen zu verweisen,</w:t>
      </w:r>
    </w:p>
    <w:p w:rsidR="005D70F9" w:rsidRPr="005F15DA" w:rsidRDefault="005D70F9" w:rsidP="008525A0">
      <w:pPr>
        <w:tabs>
          <w:tab w:val="left" w:pos="709"/>
        </w:tabs>
        <w:ind w:left="709" w:hanging="283"/>
      </w:pPr>
      <w:r w:rsidRPr="005F15DA">
        <w:t>-</w:t>
      </w:r>
      <w:r w:rsidRPr="005F15DA">
        <w:tab/>
        <w:t>Urkunden, die sich auf Grundstücke beziehen, müssen diese genau bezeichnen und bei deren Übertragung die ganze grundbuchliche Beschreibung enthalten, ausser bei Vermögensübertragungen gemäss BG über Fusion, Spaltung, Umwandlung und Ve</w:t>
      </w:r>
      <w:r w:rsidRPr="005F15DA">
        <w:t>r</w:t>
      </w:r>
      <w:r w:rsidRPr="005F15DA">
        <w:t>mögensübertragung, wo eine genaue Bezeichnung reicht.</w:t>
      </w:r>
    </w:p>
    <w:p w:rsidR="008525A0" w:rsidRPr="005F15DA" w:rsidRDefault="008525A0" w:rsidP="008525A0">
      <w:pPr>
        <w:ind w:left="426"/>
      </w:pPr>
    </w:p>
    <w:p w:rsidR="008525A0" w:rsidRPr="005F15DA" w:rsidRDefault="008525A0" w:rsidP="008525A0">
      <w:pPr>
        <w:ind w:left="426"/>
      </w:pPr>
    </w:p>
    <w:p w:rsidR="005D70F9" w:rsidRPr="005F15DA" w:rsidRDefault="005D70F9" w:rsidP="008525A0">
      <w:pPr>
        <w:pStyle w:val="berschrift4"/>
      </w:pPr>
      <w:r w:rsidRPr="005F15DA">
        <w:rPr>
          <w:spacing w:val="-9"/>
        </w:rPr>
        <w:t>2.</w:t>
      </w:r>
      <w:r w:rsidRPr="005F15DA">
        <w:tab/>
        <w:t>Formelle Anforderungen an die Urkunden (Art. 35 – 37, 39 und 40 NV)</w:t>
      </w:r>
    </w:p>
    <w:p w:rsidR="005D70F9" w:rsidRPr="005F15DA" w:rsidRDefault="005D70F9" w:rsidP="008525A0">
      <w:pPr>
        <w:ind w:left="426"/>
      </w:pPr>
      <w:r w:rsidRPr="005F15DA">
        <w:t>Die Urkunde ist in lesbarer, alterungsbeständiger und dokumentenechter Schrift abzufa</w:t>
      </w:r>
      <w:r w:rsidRPr="005F15DA">
        <w:t>s</w:t>
      </w:r>
      <w:r w:rsidRPr="005F15DA">
        <w:t>sen; die verwendeten Drucksysteme (Drucker und Papier) sollten diesbezüglich überprüft werden.</w:t>
      </w:r>
    </w:p>
    <w:p w:rsidR="008525A0" w:rsidRPr="005F15DA" w:rsidRDefault="008525A0" w:rsidP="008525A0">
      <w:pPr>
        <w:ind w:left="426"/>
      </w:pPr>
    </w:p>
    <w:p w:rsidR="005D70F9" w:rsidRPr="005F15DA" w:rsidRDefault="005D70F9" w:rsidP="008525A0">
      <w:pPr>
        <w:ind w:left="426"/>
      </w:pPr>
      <w:r w:rsidRPr="005F15DA">
        <w:t>Leere Stellen sind auszustreichen.</w:t>
      </w:r>
    </w:p>
    <w:p w:rsidR="008525A0" w:rsidRPr="005F15DA" w:rsidRDefault="008525A0" w:rsidP="008525A0">
      <w:pPr>
        <w:ind w:left="426"/>
      </w:pPr>
    </w:p>
    <w:p w:rsidR="005D70F9" w:rsidRPr="005F15DA" w:rsidRDefault="005D70F9" w:rsidP="008525A0">
      <w:pPr>
        <w:ind w:left="426"/>
      </w:pPr>
      <w:r w:rsidRPr="005F15DA">
        <w:t>Es dürfen keine Abkürzungen verwendet werden, die nicht allgemein bekannt sind.</w:t>
      </w:r>
    </w:p>
    <w:p w:rsidR="005D70F9" w:rsidRPr="005F15DA" w:rsidRDefault="005D70F9" w:rsidP="008525A0">
      <w:pPr>
        <w:ind w:left="426"/>
      </w:pPr>
      <w:r w:rsidRPr="005F15DA">
        <w:t>Für die Angabe von Summen, Massen und Gewichten sind die gesetzlich vorgesehenen Bezeichnungen zu verwenden.</w:t>
      </w:r>
    </w:p>
    <w:p w:rsidR="008525A0" w:rsidRPr="005F15DA" w:rsidRDefault="008525A0" w:rsidP="008525A0">
      <w:pPr>
        <w:ind w:left="426"/>
      </w:pPr>
    </w:p>
    <w:p w:rsidR="005D70F9" w:rsidRPr="005F15DA" w:rsidRDefault="005D70F9" w:rsidP="008525A0">
      <w:pPr>
        <w:ind w:left="426"/>
      </w:pPr>
      <w:r w:rsidRPr="005F15DA">
        <w:t>Endsummen und das Datum der Beurkundung sind in Ziffern und in Worten zu schreiben.</w:t>
      </w:r>
    </w:p>
    <w:p w:rsidR="008525A0" w:rsidRPr="005F15DA" w:rsidRDefault="008525A0" w:rsidP="008525A0">
      <w:pPr>
        <w:ind w:left="426"/>
      </w:pPr>
    </w:p>
    <w:p w:rsidR="005D70F9" w:rsidRPr="005F15DA" w:rsidRDefault="005D70F9" w:rsidP="008525A0">
      <w:pPr>
        <w:ind w:left="426"/>
      </w:pPr>
      <w:r w:rsidRPr="005F15DA">
        <w:t>Bei Änderungen in der Urkunde darf nicht radiert werden. Gestrichene Textteile müssen leserlich bleiben. Beifügungen sind in der Urkunde vorzunehmen. Der Notar hat die Ä</w:t>
      </w:r>
      <w:r w:rsidRPr="005F15DA">
        <w:t>n</w:t>
      </w:r>
      <w:r w:rsidRPr="005F15DA">
        <w:t>derungen in der Urkunde unter Angabe der Anzahl der gestrichenen oder eingefügten Wörter, Ziffern oder Zeichen zu bescheinigen. Bezieht sich die Änderung auf eine Wi</w:t>
      </w:r>
      <w:r w:rsidRPr="005F15DA">
        <w:t>l</w:t>
      </w:r>
      <w:r w:rsidRPr="005F15DA">
        <w:t>lenserklärung, ist die Bescheinigung auch von den Urkundsparteien zu unterzeichnen. Sinnändernde Streichungen oder Beifügungen, die nicht unterschriftlich anerkannt sind, gelten als nicht erfolgt.</w:t>
      </w:r>
    </w:p>
    <w:p w:rsidR="008525A0" w:rsidRPr="005F15DA" w:rsidRDefault="008525A0" w:rsidP="008525A0">
      <w:pPr>
        <w:ind w:left="426"/>
      </w:pPr>
    </w:p>
    <w:p w:rsidR="005D70F9" w:rsidRPr="005F15DA" w:rsidRDefault="005D70F9" w:rsidP="008525A0">
      <w:pPr>
        <w:ind w:left="426"/>
      </w:pPr>
      <w:r w:rsidRPr="005F15DA">
        <w:t>Sowohl für Urschriften als auch für die Ausfertigungen ist Papier von guter und alterung</w:t>
      </w:r>
      <w:r w:rsidRPr="005F15DA">
        <w:t>s</w:t>
      </w:r>
      <w:r w:rsidRPr="005F15DA">
        <w:t>beständiger Qualität (ISO-Norm 9706) im Format DIN A4 zu verwenden, ausser für Grundbuchbelege, für welche das von der Staatskanzlei gelieferte Papier zu verwenden ist.</w:t>
      </w:r>
    </w:p>
    <w:p w:rsidR="008525A0" w:rsidRPr="005F15DA" w:rsidRDefault="008525A0" w:rsidP="008525A0">
      <w:pPr>
        <w:ind w:left="426"/>
      </w:pPr>
    </w:p>
    <w:p w:rsidR="005D70F9" w:rsidRPr="005F15DA" w:rsidRDefault="005D70F9" w:rsidP="008525A0">
      <w:pPr>
        <w:ind w:left="426"/>
      </w:pPr>
      <w:r w:rsidRPr="005F15DA">
        <w:t>Die Ausweise von Vertreterinnen oder Vertretern und alle anderen Beilagen sind der U</w:t>
      </w:r>
      <w:r w:rsidRPr="005F15DA">
        <w:t>r</w:t>
      </w:r>
      <w:r w:rsidRPr="005F15DA">
        <w:t>schrift im Original oder in beglaubigter Kopie beizulegen; die Beilagen sind zudem zu nummerieren und mit einem Zeugnis des Notars über ihre Zugehörigkeit zu der betre</w:t>
      </w:r>
      <w:r w:rsidRPr="005F15DA">
        <w:t>f</w:t>
      </w:r>
      <w:r w:rsidRPr="005F15DA">
        <w:t>fenden Urschrift zu versehen.</w:t>
      </w:r>
    </w:p>
    <w:p w:rsidR="008525A0" w:rsidRPr="005F15DA" w:rsidRDefault="008525A0" w:rsidP="008525A0">
      <w:pPr>
        <w:ind w:left="426"/>
      </w:pPr>
    </w:p>
    <w:p w:rsidR="005D70F9" w:rsidRPr="005F15DA" w:rsidRDefault="005D70F9" w:rsidP="008525A0">
      <w:pPr>
        <w:ind w:left="426"/>
      </w:pPr>
      <w:r w:rsidRPr="005F15DA">
        <w:t>Die zu registrierenden Urschriften sind chronologisch zu nummerieren.</w:t>
      </w:r>
    </w:p>
    <w:p w:rsidR="005D70F9" w:rsidRPr="005F15DA" w:rsidRDefault="005D70F9" w:rsidP="008525A0">
      <w:pPr>
        <w:pStyle w:val="berschrift4"/>
      </w:pPr>
      <w:r w:rsidRPr="005F15DA">
        <w:rPr>
          <w:spacing w:val="-9"/>
        </w:rPr>
        <w:lastRenderedPageBreak/>
        <w:t>3.</w:t>
      </w:r>
      <w:r w:rsidRPr="005F15DA">
        <w:tab/>
        <w:t>Urschrift</w:t>
      </w:r>
    </w:p>
    <w:p w:rsidR="005D70F9" w:rsidRPr="005F15DA" w:rsidRDefault="005D70F9" w:rsidP="008525A0">
      <w:pPr>
        <w:ind w:left="426"/>
      </w:pPr>
      <w:r w:rsidRPr="005F15DA">
        <w:t>Die im Beurkundungsverfahren erstellte Urkunde nennt man Urschrift. Sie verbleibt no</w:t>
      </w:r>
      <w:r w:rsidRPr="005F15DA">
        <w:t>r</w:t>
      </w:r>
      <w:r w:rsidRPr="005F15DA">
        <w:t>malerweise in Verwahrung des Notars.</w:t>
      </w:r>
    </w:p>
    <w:p w:rsidR="008525A0" w:rsidRPr="005F15DA" w:rsidRDefault="008525A0" w:rsidP="008525A0">
      <w:pPr>
        <w:ind w:left="426"/>
      </w:pPr>
    </w:p>
    <w:p w:rsidR="008525A0" w:rsidRPr="005F15DA" w:rsidRDefault="008525A0" w:rsidP="008525A0">
      <w:pPr>
        <w:ind w:left="426"/>
      </w:pPr>
    </w:p>
    <w:p w:rsidR="005D70F9" w:rsidRPr="005F15DA" w:rsidRDefault="005D70F9" w:rsidP="008525A0">
      <w:pPr>
        <w:pStyle w:val="berschrift4"/>
      </w:pPr>
      <w:r w:rsidRPr="005F15DA">
        <w:rPr>
          <w:spacing w:val="-9"/>
        </w:rPr>
        <w:t>4.</w:t>
      </w:r>
      <w:r w:rsidRPr="005F15DA">
        <w:tab/>
        <w:t>Aufbewahrung der Urschriften (Art. 40 – 42 NV) und Akten (Art. 16 NV)</w:t>
      </w:r>
    </w:p>
    <w:p w:rsidR="005D70F9" w:rsidRPr="005F15DA" w:rsidRDefault="005D70F9" w:rsidP="007F76B1">
      <w:pPr>
        <w:tabs>
          <w:tab w:val="left" w:pos="709"/>
        </w:tabs>
        <w:ind w:left="426"/>
      </w:pPr>
      <w:r w:rsidRPr="005F15DA">
        <w:t>Die Urschriften bleiben normalerweise in Verwahrung des Notars und sind zusammen mit den Beilagen in der Reihenfolge ihrer Nummerierung in der Urschriftensammlung zweckmässig aufzubewahren.</w:t>
      </w:r>
    </w:p>
    <w:p w:rsidR="007F76B1" w:rsidRPr="005F15DA" w:rsidRDefault="007F76B1" w:rsidP="007F76B1">
      <w:pPr>
        <w:tabs>
          <w:tab w:val="left" w:pos="709"/>
        </w:tabs>
        <w:ind w:left="426"/>
      </w:pPr>
    </w:p>
    <w:p w:rsidR="005D70F9" w:rsidRPr="005F15DA" w:rsidRDefault="005D70F9" w:rsidP="007F76B1">
      <w:pPr>
        <w:tabs>
          <w:tab w:val="left" w:pos="709"/>
        </w:tabs>
        <w:ind w:left="426"/>
      </w:pPr>
      <w:r w:rsidRPr="005F15DA">
        <w:t>Der Notar darf die von ihm verwahrte Urschrift nur gestützt auf eine Verfügung der Justiz- Gemeinde- und Kirchendirektion, einer Richterin oder eines Richters vorübergehend di</w:t>
      </w:r>
      <w:r w:rsidRPr="005F15DA">
        <w:t>e</w:t>
      </w:r>
      <w:r w:rsidRPr="005F15DA">
        <w:t>sen Behörden vorlegen, sofern eine Auskunftspflicht besteht. Die Geheimhaltungspflicht geht vor!</w:t>
      </w:r>
    </w:p>
    <w:p w:rsidR="007F76B1" w:rsidRPr="005F15DA" w:rsidRDefault="007F76B1" w:rsidP="007F76B1">
      <w:pPr>
        <w:tabs>
          <w:tab w:val="left" w:pos="709"/>
        </w:tabs>
        <w:ind w:left="426"/>
      </w:pPr>
    </w:p>
    <w:p w:rsidR="005D70F9" w:rsidRPr="005F15DA" w:rsidRDefault="005D70F9" w:rsidP="007F76B1">
      <w:pPr>
        <w:tabs>
          <w:tab w:val="left" w:pos="709"/>
        </w:tabs>
        <w:ind w:left="426"/>
      </w:pPr>
      <w:r w:rsidRPr="005F15DA">
        <w:t>Wird eine vom Notar verwahrte Urschrift herausgegeben, muss der Notar vorgängig eine Ausfertigung erstellen und auf dieser bescheinigen, wann und an wen er die Urschrift herausgegeben hat. Diese Ausfertigung bleibt während der Dauer der Herausgabe in der Urschriftensammlung; anschliessend ist sie zu vernichten.</w:t>
      </w:r>
    </w:p>
    <w:p w:rsidR="007F76B1" w:rsidRPr="005F15DA" w:rsidRDefault="007F76B1" w:rsidP="007F76B1">
      <w:pPr>
        <w:tabs>
          <w:tab w:val="left" w:pos="709"/>
        </w:tabs>
        <w:ind w:left="426"/>
      </w:pPr>
    </w:p>
    <w:p w:rsidR="005D70F9" w:rsidRPr="005F15DA" w:rsidRDefault="005D70F9" w:rsidP="007F76B1">
      <w:pPr>
        <w:tabs>
          <w:tab w:val="left" w:pos="709"/>
        </w:tabs>
        <w:ind w:left="426"/>
      </w:pPr>
      <w:r w:rsidRPr="005F15DA">
        <w:t>Die sogenannten unselbständigen Urkunden, d.h. Urkunden, welche einem anderen D</w:t>
      </w:r>
      <w:r w:rsidRPr="005F15DA">
        <w:t>o</w:t>
      </w:r>
      <w:r w:rsidRPr="005F15DA">
        <w:t>kument nachgetragen oder mit einem solchen verbunden werden (z.B. Beglaubigungen, Bescheinigungen, Bürgschaftsurkunden, Wechselproteste, Eidesstattliche Erklärungen und Gelübde) sind den Berechtigten auszuhändigen. Die Urschrift und das Dokument, dem die unselbständigen Urkunden nachgetragen oder mit dem sie verbunden sind, sind auf jedem Blatt zu siegeln.</w:t>
      </w:r>
    </w:p>
    <w:p w:rsidR="007F76B1" w:rsidRPr="005F15DA" w:rsidRDefault="007F76B1" w:rsidP="007F76B1">
      <w:pPr>
        <w:tabs>
          <w:tab w:val="left" w:pos="709"/>
        </w:tabs>
        <w:ind w:left="426"/>
      </w:pPr>
    </w:p>
    <w:p w:rsidR="005D70F9" w:rsidRPr="005F15DA" w:rsidRDefault="005D70F9" w:rsidP="007F76B1">
      <w:pPr>
        <w:tabs>
          <w:tab w:val="left" w:pos="709"/>
        </w:tabs>
        <w:ind w:left="426"/>
      </w:pPr>
      <w:r w:rsidRPr="005F15DA">
        <w:t>Zudem dürfen Erbenscheine, soweit sie nicht Grundstücke betreffen, selbständige Bür</w:t>
      </w:r>
      <w:r w:rsidRPr="005F15DA">
        <w:t>g</w:t>
      </w:r>
      <w:r w:rsidRPr="005F15DA">
        <w:t>schaftsurkunden und selbständige Urkunden gemäss Art. 11 Abs. 3 IPRG zur Recht</w:t>
      </w:r>
      <w:r w:rsidRPr="005F15DA">
        <w:t>s</w:t>
      </w:r>
      <w:r w:rsidRPr="005F15DA">
        <w:t>wahrung im Ausland den Berechtigten auf ihr Verlangen ausgehändigt werden, wobei diese Urschriften auf jedem Blatt zu siegeln sind.</w:t>
      </w:r>
    </w:p>
    <w:p w:rsidR="007F76B1" w:rsidRPr="005F15DA" w:rsidRDefault="007F76B1" w:rsidP="007F76B1">
      <w:pPr>
        <w:tabs>
          <w:tab w:val="left" w:pos="709"/>
        </w:tabs>
        <w:ind w:left="426"/>
      </w:pPr>
    </w:p>
    <w:p w:rsidR="005D70F9" w:rsidRPr="005F15DA" w:rsidRDefault="005D70F9" w:rsidP="007F76B1">
      <w:pPr>
        <w:tabs>
          <w:tab w:val="left" w:pos="709"/>
        </w:tabs>
        <w:ind w:left="426"/>
      </w:pPr>
      <w:r w:rsidRPr="005F15DA">
        <w:t>Auf Verlangen der Berechtigten hat der Notar eine Kopie der ausgehändigten Urschrift in der Urschriftensammlung aufzubewahren.</w:t>
      </w:r>
    </w:p>
    <w:p w:rsidR="007F76B1" w:rsidRPr="005F15DA" w:rsidRDefault="007F76B1" w:rsidP="007F76B1">
      <w:pPr>
        <w:tabs>
          <w:tab w:val="left" w:pos="709"/>
        </w:tabs>
        <w:ind w:left="426"/>
      </w:pPr>
    </w:p>
    <w:p w:rsidR="005D70F9" w:rsidRPr="005F15DA" w:rsidRDefault="005D70F9" w:rsidP="007F76B1">
      <w:pPr>
        <w:tabs>
          <w:tab w:val="left" w:pos="709"/>
        </w:tabs>
        <w:ind w:left="426"/>
      </w:pPr>
      <w:r w:rsidRPr="005F15DA">
        <w:t xml:space="preserve">Die Urschriften von Verfügungen von Todes wegen sind auf Verlangen dem Testator </w:t>
      </w:r>
      <w:r w:rsidRPr="005F15DA">
        <w:t>o</w:t>
      </w:r>
      <w:r w:rsidRPr="005F15DA">
        <w:t>der den Vertragsparteien zum Zwecke der Vernichtung auszuhändigen. In diesem Fall muss der Notar über die Herausgabe der Urschrift ein Verbal erstellen, welches anstelle der ausgehändigten Urschrift in der Urschriftensammlung aufbewahrt wird.</w:t>
      </w:r>
    </w:p>
    <w:p w:rsidR="007F76B1" w:rsidRPr="005F15DA" w:rsidRDefault="007F76B1" w:rsidP="007F76B1">
      <w:pPr>
        <w:tabs>
          <w:tab w:val="left" w:pos="709"/>
        </w:tabs>
        <w:ind w:left="426"/>
      </w:pPr>
    </w:p>
    <w:p w:rsidR="005D70F9" w:rsidRPr="005F15DA" w:rsidRDefault="005D70F9" w:rsidP="007F76B1">
      <w:pPr>
        <w:tabs>
          <w:tab w:val="left" w:pos="709"/>
        </w:tabs>
        <w:ind w:left="426"/>
      </w:pPr>
      <w:r w:rsidRPr="005F15DA">
        <w:t>Sämtliche Akten sind vom Notar während 10 Jahren aufzubewahren (Allgemeine Aufb</w:t>
      </w:r>
      <w:r w:rsidRPr="005F15DA">
        <w:t>e</w:t>
      </w:r>
      <w:r w:rsidRPr="005F15DA">
        <w:t>wahrungspflicht, Art. 16 NV).</w:t>
      </w:r>
    </w:p>
    <w:p w:rsidR="008525A0" w:rsidRPr="005F15DA" w:rsidRDefault="008525A0" w:rsidP="008525A0">
      <w:pPr>
        <w:ind w:left="426"/>
      </w:pPr>
    </w:p>
    <w:p w:rsidR="008525A0" w:rsidRPr="005F15DA" w:rsidRDefault="008525A0" w:rsidP="008525A0">
      <w:pPr>
        <w:ind w:left="426"/>
      </w:pPr>
    </w:p>
    <w:p w:rsidR="005D70F9" w:rsidRPr="005F15DA" w:rsidRDefault="005D70F9" w:rsidP="008525A0">
      <w:pPr>
        <w:pStyle w:val="berschrift4"/>
      </w:pPr>
      <w:r w:rsidRPr="005F15DA">
        <w:rPr>
          <w:spacing w:val="-6"/>
        </w:rPr>
        <w:t>5.</w:t>
      </w:r>
      <w:r w:rsidRPr="005F15DA">
        <w:tab/>
        <w:t>Ausfertigungen</w:t>
      </w:r>
    </w:p>
    <w:p w:rsidR="005D70F9" w:rsidRPr="005F15DA" w:rsidRDefault="005D70F9" w:rsidP="007F76B1">
      <w:pPr>
        <w:tabs>
          <w:tab w:val="left" w:pos="709"/>
        </w:tabs>
        <w:ind w:left="426"/>
      </w:pPr>
      <w:r w:rsidRPr="005F15DA">
        <w:t>Die Ausfertigungen vertreten die Urschrift im Rechtsverkehr. Sie sind ebenfalls öffentliche Urkunden.</w:t>
      </w:r>
    </w:p>
    <w:p w:rsidR="005D70F9" w:rsidRPr="005F15DA" w:rsidRDefault="005D70F9" w:rsidP="007F76B1">
      <w:pPr>
        <w:tabs>
          <w:tab w:val="left" w:pos="709"/>
        </w:tabs>
        <w:ind w:left="426"/>
      </w:pPr>
      <w:r w:rsidRPr="005F15DA">
        <w:lastRenderedPageBreak/>
        <w:t>Der Notar erstellt von Urschriften, welche in seiner Verwahrung bleiben, auf Verlangen für jeden Beteiligten eine Ausfertigung als Beweismittel aus. Soll die Urkunde in einem ö</w:t>
      </w:r>
      <w:r w:rsidRPr="005F15DA">
        <w:t>f</w:t>
      </w:r>
      <w:r w:rsidRPr="005F15DA">
        <w:t xml:space="preserve">fentlichen Register (Grundbuch, Handelsregister) eingetragen werden, erstellt der Notar zusätzlich eine Ausfertigung als Rechtsgrundausweis für diese Eintragung. </w:t>
      </w:r>
    </w:p>
    <w:p w:rsidR="007F76B1" w:rsidRPr="005F15DA" w:rsidRDefault="007F76B1" w:rsidP="007F76B1">
      <w:pPr>
        <w:tabs>
          <w:tab w:val="left" w:pos="709"/>
        </w:tabs>
        <w:ind w:left="426"/>
      </w:pPr>
    </w:p>
    <w:p w:rsidR="005D70F9" w:rsidRPr="005F15DA" w:rsidRDefault="005D70F9" w:rsidP="007F76B1">
      <w:pPr>
        <w:tabs>
          <w:tab w:val="left" w:pos="709"/>
        </w:tabs>
        <w:ind w:left="426"/>
      </w:pPr>
      <w:r w:rsidRPr="005F15DA">
        <w:t>Die Anzahl der zu erstellenden Ausfertigungen ist in der Urschrift anzugeben; sofern es sich um die Beurkundung einer Willenserklärung handelt, stellt dies eine Willensäuss</w:t>
      </w:r>
      <w:r w:rsidRPr="005F15DA">
        <w:t>e</w:t>
      </w:r>
      <w:r w:rsidRPr="005F15DA">
        <w:t>rung der Parteien dar.</w:t>
      </w:r>
    </w:p>
    <w:p w:rsidR="007F76B1" w:rsidRPr="005F15DA" w:rsidRDefault="007F76B1" w:rsidP="007F76B1">
      <w:pPr>
        <w:tabs>
          <w:tab w:val="left" w:pos="709"/>
        </w:tabs>
        <w:ind w:left="426"/>
      </w:pPr>
    </w:p>
    <w:p w:rsidR="005D70F9" w:rsidRPr="005F15DA" w:rsidRDefault="005D70F9" w:rsidP="007F76B1">
      <w:pPr>
        <w:tabs>
          <w:tab w:val="left" w:pos="709"/>
        </w:tabs>
        <w:ind w:left="426"/>
      </w:pPr>
      <w:r w:rsidRPr="005F15DA">
        <w:t>Weitere Ausfertigungen darf der Notar nur ausstellen, wenn ein schutzwürdiges Interesse glaubhaft gemacht wird und kein Missbrauch zu befürchten ist.</w:t>
      </w:r>
    </w:p>
    <w:p w:rsidR="007F76B1" w:rsidRPr="005F15DA" w:rsidRDefault="007F76B1" w:rsidP="007F76B1">
      <w:pPr>
        <w:tabs>
          <w:tab w:val="left" w:pos="709"/>
        </w:tabs>
        <w:ind w:left="426"/>
      </w:pPr>
    </w:p>
    <w:p w:rsidR="005D70F9" w:rsidRPr="005F15DA" w:rsidRDefault="005D70F9" w:rsidP="007F76B1">
      <w:pPr>
        <w:tabs>
          <w:tab w:val="left" w:pos="709"/>
        </w:tabs>
        <w:ind w:left="426"/>
      </w:pPr>
      <w:r w:rsidRPr="005F15DA">
        <w:t>Bei schadhaften Ausfertigungen ist auf Verlangen des Eigentümers eine Neuausfertigung zu erstellen; die beschädigte Ausfertigung ist vom Notar zu vernichten, was auf der U</w:t>
      </w:r>
      <w:r w:rsidRPr="005F15DA">
        <w:t>r</w:t>
      </w:r>
      <w:r w:rsidRPr="005F15DA">
        <w:t>schrift zu vermerken ist.</w:t>
      </w:r>
    </w:p>
    <w:p w:rsidR="007F76B1" w:rsidRPr="005F15DA" w:rsidRDefault="007F76B1" w:rsidP="007F76B1">
      <w:pPr>
        <w:tabs>
          <w:tab w:val="left" w:pos="709"/>
        </w:tabs>
        <w:ind w:left="426"/>
      </w:pPr>
    </w:p>
    <w:p w:rsidR="005D70F9" w:rsidRPr="005F15DA" w:rsidRDefault="005D70F9" w:rsidP="007F76B1">
      <w:pPr>
        <w:tabs>
          <w:tab w:val="left" w:pos="709"/>
        </w:tabs>
        <w:ind w:left="426"/>
      </w:pPr>
      <w:r w:rsidRPr="005F15DA">
        <w:t>Gibt eine Ausfertigung nur einen Teil der Urkunde wieder (z.B. Protokoll der Generalve</w:t>
      </w:r>
      <w:r w:rsidRPr="005F15DA">
        <w:t>r</w:t>
      </w:r>
      <w:r w:rsidRPr="005F15DA">
        <w:t>sammlung einer AG, von dem nur die publikationspflichtigen Beschlüsse ausgefertigt werden sollen), ist ausdrücklich zu erwähnen, dass es sich um eine Teilausfertigung ha</w:t>
      </w:r>
      <w:r w:rsidRPr="005F15DA">
        <w:t>n</w:t>
      </w:r>
      <w:r w:rsidRPr="005F15DA">
        <w:t>delt.</w:t>
      </w:r>
    </w:p>
    <w:p w:rsidR="007F76B1" w:rsidRPr="005F15DA" w:rsidRDefault="007F76B1" w:rsidP="007F76B1">
      <w:pPr>
        <w:tabs>
          <w:tab w:val="left" w:pos="709"/>
        </w:tabs>
        <w:ind w:left="426"/>
      </w:pPr>
    </w:p>
    <w:p w:rsidR="005D70F9" w:rsidRPr="005F15DA" w:rsidRDefault="005D70F9" w:rsidP="007F76B1">
      <w:pPr>
        <w:tabs>
          <w:tab w:val="left" w:pos="709"/>
        </w:tabs>
        <w:ind w:left="426"/>
      </w:pPr>
      <w:r w:rsidRPr="005F15DA">
        <w:t>Beilagen sind, soweit notwendig, ebenfalls mit auszufertigen. Sowohl für das Grundbuc</w:t>
      </w:r>
      <w:r w:rsidRPr="005F15DA">
        <w:t>h</w:t>
      </w:r>
      <w:r w:rsidRPr="005F15DA">
        <w:t>amt als auch für das Handelsregisteramt müssen allfällige Vollmachten nicht ausgefertigt werden.</w:t>
      </w:r>
    </w:p>
    <w:p w:rsidR="007F76B1" w:rsidRPr="005F15DA" w:rsidRDefault="007F76B1" w:rsidP="007F76B1">
      <w:pPr>
        <w:tabs>
          <w:tab w:val="left" w:pos="709"/>
        </w:tabs>
        <w:ind w:left="426"/>
      </w:pPr>
    </w:p>
    <w:p w:rsidR="005D70F9" w:rsidRPr="005F15DA" w:rsidRDefault="005D70F9" w:rsidP="007F76B1">
      <w:pPr>
        <w:tabs>
          <w:tab w:val="left" w:pos="709"/>
        </w:tabs>
        <w:ind w:left="426"/>
      </w:pPr>
      <w:r w:rsidRPr="005F15DA">
        <w:t>Auf der Ausfertigung ist ein Ausfertigungsverbal mit folgendem Inhalt anzubringen:</w:t>
      </w:r>
    </w:p>
    <w:p w:rsidR="005D70F9" w:rsidRPr="005F15DA" w:rsidRDefault="005D70F9" w:rsidP="007F76B1">
      <w:pPr>
        <w:tabs>
          <w:tab w:val="left" w:pos="709"/>
        </w:tabs>
        <w:ind w:left="426"/>
      </w:pPr>
      <w:r w:rsidRPr="005F15DA">
        <w:t>-</w:t>
      </w:r>
      <w:r w:rsidRPr="005F15DA">
        <w:tab/>
        <w:t>die Registernummer der Urschrift,</w:t>
      </w:r>
    </w:p>
    <w:p w:rsidR="005D70F9" w:rsidRPr="005F15DA" w:rsidRDefault="005D70F9" w:rsidP="007F76B1">
      <w:pPr>
        <w:tabs>
          <w:tab w:val="left" w:pos="709"/>
        </w:tabs>
        <w:ind w:left="426"/>
      </w:pPr>
      <w:r w:rsidRPr="005F15DA">
        <w:t>-</w:t>
      </w:r>
      <w:r w:rsidRPr="005F15DA">
        <w:tab/>
        <w:t>die Bezeichnung als erste, weitere oder neue Ausfertigung,</w:t>
      </w:r>
    </w:p>
    <w:p w:rsidR="005D70F9" w:rsidRPr="005F15DA" w:rsidRDefault="005D70F9" w:rsidP="007F76B1">
      <w:pPr>
        <w:tabs>
          <w:tab w:val="left" w:pos="709"/>
        </w:tabs>
        <w:ind w:left="426"/>
      </w:pPr>
      <w:r w:rsidRPr="005F15DA">
        <w:t>-</w:t>
      </w:r>
      <w:r w:rsidRPr="005F15DA">
        <w:tab/>
        <w:t>die Bezeichnung der Person oder Behörde, für welche die Ausfertigung bestimmt ist,</w:t>
      </w:r>
    </w:p>
    <w:p w:rsidR="005D70F9" w:rsidRPr="005F15DA" w:rsidRDefault="005D70F9" w:rsidP="007F76B1">
      <w:pPr>
        <w:tabs>
          <w:tab w:val="left" w:pos="709"/>
        </w:tabs>
        <w:ind w:left="709" w:hanging="283"/>
      </w:pPr>
      <w:r w:rsidRPr="005F15DA">
        <w:t>-</w:t>
      </w:r>
      <w:r w:rsidRPr="005F15DA">
        <w:tab/>
        <w:t>die Bescheinigung des Notars, dass die Ausfertigung mit der Urschrift genau überei</w:t>
      </w:r>
      <w:r w:rsidRPr="005F15DA">
        <w:t>n</w:t>
      </w:r>
      <w:r w:rsidRPr="005F15DA">
        <w:t>stimmt,</w:t>
      </w:r>
    </w:p>
    <w:p w:rsidR="005D70F9" w:rsidRPr="005F15DA" w:rsidRDefault="005D70F9" w:rsidP="007F76B1">
      <w:pPr>
        <w:tabs>
          <w:tab w:val="left" w:pos="709"/>
        </w:tabs>
        <w:ind w:left="426"/>
      </w:pPr>
      <w:r w:rsidRPr="005F15DA">
        <w:t>-</w:t>
      </w:r>
      <w:r w:rsidRPr="005F15DA">
        <w:tab/>
        <w:t>das Siegel des Notars auf jedem Blatt,</w:t>
      </w:r>
    </w:p>
    <w:p w:rsidR="005D70F9" w:rsidRPr="005F15DA" w:rsidRDefault="005D70F9" w:rsidP="007F76B1">
      <w:pPr>
        <w:tabs>
          <w:tab w:val="left" w:pos="709"/>
        </w:tabs>
        <w:ind w:left="426"/>
      </w:pPr>
      <w:r w:rsidRPr="005F15DA">
        <w:t>-</w:t>
      </w:r>
      <w:r w:rsidRPr="005F15DA">
        <w:tab/>
        <w:t>die Unterschrift des Notars.</w:t>
      </w:r>
    </w:p>
    <w:p w:rsidR="008525A0" w:rsidRPr="005F15DA" w:rsidRDefault="008525A0" w:rsidP="008525A0">
      <w:pPr>
        <w:ind w:left="426"/>
      </w:pPr>
    </w:p>
    <w:p w:rsidR="008525A0" w:rsidRPr="005F15DA" w:rsidRDefault="008525A0" w:rsidP="008525A0">
      <w:pPr>
        <w:ind w:left="426"/>
      </w:pPr>
    </w:p>
    <w:p w:rsidR="005D70F9" w:rsidRPr="005F15DA" w:rsidRDefault="005D70F9" w:rsidP="008525A0">
      <w:pPr>
        <w:pStyle w:val="berschrift4"/>
      </w:pPr>
      <w:r w:rsidRPr="005F15DA">
        <w:rPr>
          <w:spacing w:val="-8"/>
        </w:rPr>
        <w:t>6.</w:t>
      </w:r>
      <w:r w:rsidRPr="005F15DA">
        <w:tab/>
        <w:t>Registrierung der Urschriften (Art. 69 – 71 NV)</w:t>
      </w:r>
    </w:p>
    <w:p w:rsidR="005D70F9" w:rsidRPr="005F15DA" w:rsidRDefault="005D70F9" w:rsidP="007F76B1">
      <w:pPr>
        <w:tabs>
          <w:tab w:val="left" w:pos="709"/>
        </w:tabs>
        <w:ind w:left="426"/>
      </w:pPr>
      <w:r w:rsidRPr="005F15DA">
        <w:t>Seit 1. Juli 2006 gibt es für alle Urschriften nur noch ein Register; die bisherigen Register A, B und C waren auf dieses Datum hin zu schliessen.</w:t>
      </w:r>
    </w:p>
    <w:p w:rsidR="007F76B1" w:rsidRPr="005F15DA" w:rsidRDefault="007F76B1" w:rsidP="007F76B1">
      <w:pPr>
        <w:tabs>
          <w:tab w:val="left" w:pos="709"/>
        </w:tabs>
        <w:ind w:left="426"/>
      </w:pPr>
    </w:p>
    <w:p w:rsidR="005D70F9" w:rsidRPr="005F15DA" w:rsidRDefault="005D70F9" w:rsidP="007F76B1">
      <w:pPr>
        <w:tabs>
          <w:tab w:val="left" w:pos="709"/>
        </w:tabs>
        <w:ind w:left="426"/>
      </w:pPr>
      <w:r w:rsidRPr="005F15DA">
        <w:t>Mit Ausnahme der Beglaubigungen sind alle notariellen Urkunden unmittelbar nach der Beurkundung in das Urschriftenregister einzutragen.</w:t>
      </w:r>
    </w:p>
    <w:p w:rsidR="007F76B1" w:rsidRPr="005F15DA" w:rsidRDefault="007F76B1" w:rsidP="007F76B1">
      <w:pPr>
        <w:tabs>
          <w:tab w:val="left" w:pos="709"/>
        </w:tabs>
        <w:ind w:left="426"/>
      </w:pPr>
    </w:p>
    <w:p w:rsidR="005D70F9" w:rsidRPr="005F15DA" w:rsidRDefault="005D70F9" w:rsidP="007F76B1">
      <w:pPr>
        <w:tabs>
          <w:tab w:val="left" w:pos="709"/>
        </w:tabs>
        <w:ind w:left="426"/>
      </w:pPr>
      <w:r w:rsidRPr="005F15DA">
        <w:t>Das Urschriftenregister kann wie bisher in Form eines gebundenen Buches (bisheriges Register A) oder neu im Loseblattsystem geführt werden. Wird ein Loseblattsystem g</w:t>
      </w:r>
      <w:r w:rsidRPr="005F15DA">
        <w:t>e</w:t>
      </w:r>
      <w:r w:rsidRPr="005F15DA">
        <w:t xml:space="preserve">führt, darf das Urschriftenregister auf dem Computer erstellt werden. In diesem Fall ist monatlich ein Ausdruck zu erstellen, der auf die seit dem vorangegangenen Ausdruck </w:t>
      </w:r>
      <w:r w:rsidRPr="005F15DA">
        <w:lastRenderedPageBreak/>
        <w:t>hinzugefügten Daten beschränkt werden darf. Vom Inhaltsverzeichnis ist mindestens einmal jährlich ein Ausdruck zu erstellen. Die Loseblätter sind zu siegeln.</w:t>
      </w:r>
    </w:p>
    <w:p w:rsidR="007F76B1" w:rsidRPr="005F15DA" w:rsidRDefault="007F76B1" w:rsidP="007F76B1">
      <w:pPr>
        <w:tabs>
          <w:tab w:val="left" w:pos="709"/>
        </w:tabs>
        <w:ind w:left="426"/>
      </w:pPr>
    </w:p>
    <w:p w:rsidR="005D70F9" w:rsidRPr="005F15DA" w:rsidRDefault="005D70F9" w:rsidP="007F76B1">
      <w:pPr>
        <w:tabs>
          <w:tab w:val="left" w:pos="709"/>
        </w:tabs>
        <w:ind w:left="426"/>
      </w:pPr>
      <w:r w:rsidRPr="005F15DA">
        <w:t>Das Urschriftenregister enthält:</w:t>
      </w:r>
    </w:p>
    <w:p w:rsidR="005D70F9" w:rsidRPr="005F15DA" w:rsidRDefault="005D70F9" w:rsidP="007F76B1">
      <w:pPr>
        <w:tabs>
          <w:tab w:val="left" w:pos="709"/>
        </w:tabs>
        <w:ind w:left="426"/>
      </w:pPr>
      <w:r w:rsidRPr="005F15DA">
        <w:t>-</w:t>
      </w:r>
      <w:r w:rsidRPr="005F15DA">
        <w:tab/>
        <w:t>die Ordnungsnummer der Urschrift in chronologischer Reihenfolge,</w:t>
      </w:r>
    </w:p>
    <w:p w:rsidR="005D70F9" w:rsidRPr="005F15DA" w:rsidRDefault="005D70F9" w:rsidP="007F76B1">
      <w:pPr>
        <w:tabs>
          <w:tab w:val="left" w:pos="709"/>
        </w:tabs>
        <w:ind w:left="709" w:hanging="283"/>
      </w:pPr>
      <w:r w:rsidRPr="005F15DA">
        <w:t>-</w:t>
      </w:r>
      <w:r w:rsidRPr="005F15DA">
        <w:tab/>
        <w:t>Name und Vorname der Urkunds- oder Vertragsparteien, bei juristischen Personen und Personengesellschaften die Firma oder den Namen,</w:t>
      </w:r>
    </w:p>
    <w:p w:rsidR="005D70F9" w:rsidRPr="005F15DA" w:rsidRDefault="005D70F9" w:rsidP="007F76B1">
      <w:pPr>
        <w:tabs>
          <w:tab w:val="left" w:pos="709"/>
        </w:tabs>
        <w:ind w:left="426"/>
      </w:pPr>
      <w:r w:rsidRPr="005F15DA">
        <w:t>-</w:t>
      </w:r>
      <w:r w:rsidRPr="005F15DA">
        <w:tab/>
        <w:t>eine kurze Bezeichnung des Gegenstandes der Beurkundung,</w:t>
      </w:r>
    </w:p>
    <w:p w:rsidR="005D70F9" w:rsidRPr="005F15DA" w:rsidRDefault="005D70F9" w:rsidP="007F76B1">
      <w:pPr>
        <w:tabs>
          <w:tab w:val="left" w:pos="709"/>
        </w:tabs>
        <w:ind w:left="426"/>
      </w:pPr>
      <w:r w:rsidRPr="005F15DA">
        <w:t>-</w:t>
      </w:r>
      <w:r w:rsidRPr="005F15DA">
        <w:tab/>
        <w:t>das Datum der Beurkundung,</w:t>
      </w:r>
    </w:p>
    <w:p w:rsidR="005D70F9" w:rsidRPr="005F15DA" w:rsidRDefault="005D70F9" w:rsidP="007F76B1">
      <w:pPr>
        <w:tabs>
          <w:tab w:val="left" w:pos="709"/>
        </w:tabs>
        <w:ind w:left="709" w:hanging="283"/>
      </w:pPr>
      <w:r w:rsidRPr="005F15DA">
        <w:t>-</w:t>
      </w:r>
      <w:r w:rsidRPr="005F15DA">
        <w:tab/>
        <w:t>das Datum der Herausgabe der Urschrift, der Ausfertigung oder der Schuldbriefe und deren Empfänger,</w:t>
      </w:r>
    </w:p>
    <w:p w:rsidR="005D70F9" w:rsidRPr="005F15DA" w:rsidRDefault="005D70F9" w:rsidP="007F76B1">
      <w:pPr>
        <w:tabs>
          <w:tab w:val="left" w:pos="709"/>
        </w:tabs>
        <w:ind w:left="709" w:hanging="283"/>
      </w:pPr>
      <w:r w:rsidRPr="005F15DA">
        <w:t>-</w:t>
      </w:r>
      <w:r w:rsidRPr="005F15DA">
        <w:tab/>
        <w:t>ein nach Namen oder Firma der Urkunds- oder Vertragsparteien alphabetisch gefüh</w:t>
      </w:r>
      <w:r w:rsidRPr="005F15DA">
        <w:t>r</w:t>
      </w:r>
      <w:r w:rsidRPr="005F15DA">
        <w:t>tes Inhaltsverzeichnis.</w:t>
      </w:r>
    </w:p>
    <w:p w:rsidR="007F76B1" w:rsidRPr="005F15DA" w:rsidRDefault="007F76B1" w:rsidP="007F76B1">
      <w:pPr>
        <w:tabs>
          <w:tab w:val="left" w:pos="709"/>
        </w:tabs>
        <w:ind w:left="709" w:hanging="283"/>
      </w:pPr>
    </w:p>
    <w:p w:rsidR="005D70F9" w:rsidRPr="005F15DA" w:rsidRDefault="005D70F9" w:rsidP="007F76B1">
      <w:pPr>
        <w:tabs>
          <w:tab w:val="left" w:pos="709"/>
        </w:tabs>
        <w:ind w:left="426"/>
      </w:pPr>
      <w:r w:rsidRPr="005F15DA">
        <w:t>Sofern das bisherige Register A weitergeführt wird, ist dieses nach wie vor gemäss dem Vordruck auszufüllen.</w:t>
      </w:r>
    </w:p>
    <w:p w:rsidR="008525A0" w:rsidRPr="005F15DA" w:rsidRDefault="008525A0" w:rsidP="008525A0">
      <w:pPr>
        <w:ind w:left="426"/>
      </w:pPr>
    </w:p>
    <w:p w:rsidR="008525A0" w:rsidRPr="005F15DA" w:rsidRDefault="008525A0" w:rsidP="008525A0">
      <w:pPr>
        <w:ind w:left="426"/>
      </w:pPr>
    </w:p>
    <w:p w:rsidR="005D70F9" w:rsidRPr="005F15DA" w:rsidRDefault="005D70F9" w:rsidP="008525A0">
      <w:pPr>
        <w:pStyle w:val="berschrift4"/>
      </w:pPr>
      <w:r w:rsidRPr="005F15DA">
        <w:t>7.</w:t>
      </w:r>
      <w:r w:rsidRPr="005F15DA">
        <w:tab/>
        <w:t>Testamentenregister (Art. 17 NV)</w:t>
      </w:r>
    </w:p>
    <w:p w:rsidR="005D70F9" w:rsidRPr="005F15DA" w:rsidRDefault="005D70F9" w:rsidP="007F76B1">
      <w:pPr>
        <w:tabs>
          <w:tab w:val="left" w:pos="709"/>
        </w:tabs>
        <w:ind w:left="426"/>
      </w:pPr>
      <w:r w:rsidRPr="005F15DA">
        <w:t>Wie bisher sind die dem Notar zur Aufbewahrung übergegebenen Verfügungen von T</w:t>
      </w:r>
      <w:r w:rsidRPr="005F15DA">
        <w:t>o</w:t>
      </w:r>
      <w:r w:rsidRPr="005F15DA">
        <w:t>des wegen chronologisch aufzubewahren und im Testamentenregister einzutragen. Über die Aufbewahrung ist der verfügenden Person eine Bescheinigung auszustellen. Der Wohnsitzgemeinde der verfügenden Person ist die Aufbewahrung mitzuteilen.</w:t>
      </w:r>
    </w:p>
    <w:p w:rsidR="007F76B1" w:rsidRPr="005F15DA" w:rsidRDefault="007F76B1" w:rsidP="007F76B1">
      <w:pPr>
        <w:tabs>
          <w:tab w:val="left" w:pos="709"/>
        </w:tabs>
        <w:ind w:left="426"/>
      </w:pPr>
    </w:p>
    <w:p w:rsidR="005D70F9" w:rsidRPr="005F15DA" w:rsidRDefault="005D70F9" w:rsidP="007F76B1">
      <w:pPr>
        <w:tabs>
          <w:tab w:val="left" w:pos="709"/>
        </w:tabs>
        <w:ind w:left="426"/>
      </w:pPr>
      <w:r w:rsidRPr="005F15DA">
        <w:t>Neu sind auch alle dem Notar zur Eröffnung übergebenen Verfügungen von Todes w</w:t>
      </w:r>
      <w:r w:rsidRPr="005F15DA">
        <w:t>e</w:t>
      </w:r>
      <w:r w:rsidRPr="005F15DA">
        <w:t>gen im Testamentenregister einzutragen.</w:t>
      </w:r>
    </w:p>
    <w:p w:rsidR="007F76B1" w:rsidRPr="005F15DA" w:rsidRDefault="007F76B1" w:rsidP="007F76B1">
      <w:pPr>
        <w:tabs>
          <w:tab w:val="left" w:pos="709"/>
        </w:tabs>
        <w:ind w:left="426"/>
      </w:pPr>
    </w:p>
    <w:p w:rsidR="005D70F9" w:rsidRPr="005F15DA" w:rsidRDefault="005D70F9" w:rsidP="007F76B1">
      <w:pPr>
        <w:tabs>
          <w:tab w:val="left" w:pos="709"/>
        </w:tabs>
        <w:ind w:left="426"/>
      </w:pPr>
      <w:r w:rsidRPr="005F15DA">
        <w:t>Das Testamentenregister ist auf die gleiche Art wie das Urschriftenregister zu führen, a</w:t>
      </w:r>
      <w:r w:rsidRPr="005F15DA">
        <w:t>l</w:t>
      </w:r>
      <w:r w:rsidRPr="005F15DA">
        <w:t>so in Buchform oder Loseblattsystem (siehe vorstehend).</w:t>
      </w:r>
    </w:p>
    <w:p w:rsidR="007F76B1" w:rsidRPr="005F15DA" w:rsidRDefault="007F76B1" w:rsidP="007F76B1">
      <w:pPr>
        <w:tabs>
          <w:tab w:val="left" w:pos="709"/>
        </w:tabs>
        <w:ind w:left="426"/>
      </w:pPr>
    </w:p>
    <w:p w:rsidR="005D70F9" w:rsidRPr="005F15DA" w:rsidRDefault="005D70F9" w:rsidP="007F76B1">
      <w:pPr>
        <w:tabs>
          <w:tab w:val="left" w:pos="709"/>
        </w:tabs>
        <w:ind w:left="426"/>
      </w:pPr>
      <w:r w:rsidRPr="005F15DA">
        <w:t>Das Testamentenregister enthält:</w:t>
      </w:r>
    </w:p>
    <w:p w:rsidR="005D70F9" w:rsidRPr="005F15DA" w:rsidRDefault="005D70F9" w:rsidP="007F76B1">
      <w:pPr>
        <w:tabs>
          <w:tab w:val="left" w:pos="709"/>
        </w:tabs>
        <w:ind w:left="426"/>
      </w:pPr>
      <w:r w:rsidRPr="005F15DA">
        <w:t>-</w:t>
      </w:r>
      <w:r w:rsidRPr="005F15DA">
        <w:tab/>
        <w:t>eine fortlaufende Ordnungsnummer,</w:t>
      </w:r>
    </w:p>
    <w:p w:rsidR="005D70F9" w:rsidRPr="005F15DA" w:rsidRDefault="005D70F9" w:rsidP="007F76B1">
      <w:pPr>
        <w:tabs>
          <w:tab w:val="left" w:pos="709"/>
        </w:tabs>
        <w:ind w:left="426"/>
      </w:pPr>
      <w:r w:rsidRPr="005F15DA">
        <w:t>-</w:t>
      </w:r>
      <w:r w:rsidRPr="005F15DA">
        <w:tab/>
        <w:t>den Namen und den Vornamen der verfügenden Person,</w:t>
      </w:r>
    </w:p>
    <w:p w:rsidR="005D70F9" w:rsidRPr="005F15DA" w:rsidRDefault="005D70F9" w:rsidP="007F76B1">
      <w:pPr>
        <w:tabs>
          <w:tab w:val="left" w:pos="709"/>
        </w:tabs>
        <w:ind w:left="426"/>
      </w:pPr>
      <w:r w:rsidRPr="005F15DA">
        <w:t>-</w:t>
      </w:r>
      <w:r w:rsidRPr="005F15DA">
        <w:tab/>
        <w:t>den Namen und den Vornamen der einliefernden Person,</w:t>
      </w:r>
    </w:p>
    <w:p w:rsidR="005D70F9" w:rsidRPr="005F15DA" w:rsidRDefault="005D70F9" w:rsidP="007F76B1">
      <w:pPr>
        <w:tabs>
          <w:tab w:val="left" w:pos="709"/>
        </w:tabs>
        <w:ind w:left="426"/>
      </w:pPr>
      <w:r w:rsidRPr="005F15DA">
        <w:t>-</w:t>
      </w:r>
      <w:r w:rsidRPr="005F15DA">
        <w:tab/>
        <w:t>die Art und das Datum der Verfügung von Todes wegen,</w:t>
      </w:r>
    </w:p>
    <w:p w:rsidR="005D70F9" w:rsidRPr="005F15DA" w:rsidRDefault="005D70F9" w:rsidP="007F76B1">
      <w:pPr>
        <w:tabs>
          <w:tab w:val="left" w:pos="709"/>
        </w:tabs>
        <w:ind w:left="426"/>
      </w:pPr>
      <w:r w:rsidRPr="005F15DA">
        <w:t>-</w:t>
      </w:r>
      <w:r w:rsidRPr="005F15DA">
        <w:tab/>
        <w:t>das Datum der Annahme,</w:t>
      </w:r>
    </w:p>
    <w:p w:rsidR="005D70F9" w:rsidRPr="005F15DA" w:rsidRDefault="005D70F9" w:rsidP="007F76B1">
      <w:pPr>
        <w:tabs>
          <w:tab w:val="left" w:pos="709"/>
        </w:tabs>
        <w:ind w:left="426"/>
      </w:pPr>
      <w:r w:rsidRPr="005F15DA">
        <w:t>-</w:t>
      </w:r>
      <w:r w:rsidRPr="005F15DA">
        <w:tab/>
        <w:t>das Datum der Herausgabe und die Empfängerin oder den Empfänger,</w:t>
      </w:r>
    </w:p>
    <w:p w:rsidR="005D70F9" w:rsidRPr="005F15DA" w:rsidRDefault="005D70F9" w:rsidP="007F76B1">
      <w:pPr>
        <w:tabs>
          <w:tab w:val="left" w:pos="709"/>
        </w:tabs>
        <w:ind w:left="426"/>
      </w:pPr>
      <w:r w:rsidRPr="005F15DA">
        <w:t>-</w:t>
      </w:r>
      <w:r w:rsidRPr="005F15DA">
        <w:tab/>
        <w:t>das Datum der Eröffnung, sofern diese durch den Notar erfolgt,</w:t>
      </w:r>
    </w:p>
    <w:p w:rsidR="005D70F9" w:rsidRPr="005F15DA" w:rsidRDefault="005D70F9" w:rsidP="007F76B1">
      <w:pPr>
        <w:tabs>
          <w:tab w:val="left" w:pos="709"/>
        </w:tabs>
        <w:ind w:left="426"/>
      </w:pPr>
      <w:r w:rsidRPr="005F15DA">
        <w:t>-</w:t>
      </w:r>
      <w:r w:rsidRPr="005F15DA">
        <w:tab/>
        <w:t>ein nach Namen alphabetisch geführtes Inhaltsverzeichnis.</w:t>
      </w:r>
    </w:p>
    <w:p w:rsidR="008525A0" w:rsidRPr="005F15DA" w:rsidRDefault="008525A0" w:rsidP="008525A0">
      <w:pPr>
        <w:ind w:left="426"/>
      </w:pPr>
    </w:p>
    <w:p w:rsidR="008525A0" w:rsidRPr="005F15DA" w:rsidRDefault="008525A0" w:rsidP="008525A0">
      <w:pPr>
        <w:ind w:left="426"/>
      </w:pPr>
    </w:p>
    <w:p w:rsidR="005D70F9" w:rsidRPr="005F15DA" w:rsidRDefault="005D70F9" w:rsidP="007F76B1">
      <w:pPr>
        <w:pStyle w:val="berschrift4"/>
      </w:pPr>
      <w:r w:rsidRPr="005F15DA">
        <w:t>8.</w:t>
      </w:r>
      <w:r w:rsidRPr="005F15DA">
        <w:tab/>
        <w:t>Eintrag von Urkunden in öffentliche Register (Grundbuch/ Handelsregister)</w:t>
      </w:r>
    </w:p>
    <w:p w:rsidR="008525A0" w:rsidRPr="005F15DA" w:rsidRDefault="008525A0" w:rsidP="008525A0">
      <w:pPr>
        <w:ind w:left="426"/>
      </w:pPr>
    </w:p>
    <w:p w:rsidR="005D70F9" w:rsidRPr="005F15DA" w:rsidRDefault="005D70F9" w:rsidP="007F76B1">
      <w:pPr>
        <w:pStyle w:val="berschrift5"/>
      </w:pPr>
      <w:r w:rsidRPr="005F15DA">
        <w:rPr>
          <w:spacing w:val="-10"/>
        </w:rPr>
        <w:t>8.1.</w:t>
      </w:r>
      <w:r w:rsidRPr="005F15DA">
        <w:tab/>
        <w:t>Grundbuch</w:t>
      </w:r>
    </w:p>
    <w:p w:rsidR="005D70F9" w:rsidRPr="005F15DA" w:rsidRDefault="005D70F9" w:rsidP="007F76B1">
      <w:pPr>
        <w:ind w:left="851"/>
      </w:pPr>
      <w:r w:rsidRPr="005F15DA">
        <w:t>Der Grundbuchverwalter darf grundsätzlich Eintragungen ins Grundbuch nur vo</w:t>
      </w:r>
      <w:r w:rsidRPr="005F15DA">
        <w:t>r</w:t>
      </w:r>
      <w:r w:rsidRPr="005F15DA">
        <w:t xml:space="preserve">nehmen, wenn die entsprechende Eintragungsbewilligung des Berechtigten vorliegt. Der Notar hat die von ihm beurkundeten Geschäfte von Amtes wegen zur Eintragung </w:t>
      </w:r>
      <w:r w:rsidRPr="005F15DA">
        <w:lastRenderedPageBreak/>
        <w:t xml:space="preserve">ins Grundbuch anzumelden. Er muss deshalb in der öffentlichen Urkunde nicht noch speziell dazu ermächtigt werden. </w:t>
      </w:r>
    </w:p>
    <w:p w:rsidR="007F76B1" w:rsidRPr="005F15DA" w:rsidRDefault="007F76B1" w:rsidP="007F76B1">
      <w:pPr>
        <w:ind w:left="851"/>
      </w:pPr>
    </w:p>
    <w:p w:rsidR="005D70F9" w:rsidRPr="005F15DA" w:rsidRDefault="005D70F9" w:rsidP="007F76B1">
      <w:pPr>
        <w:ind w:left="851"/>
      </w:pPr>
      <w:r w:rsidRPr="005F15DA">
        <w:t>Bei einfach-schriftlichen Verträgen ist allerdings eine Vollmacht zugunsten des N</w:t>
      </w:r>
      <w:r w:rsidRPr="005F15DA">
        <w:t>o</w:t>
      </w:r>
      <w:r w:rsidRPr="005F15DA">
        <w:t>tars ausdrücklich erforderlich. Einfach-schriftliche Rechtsgeschäfte sind aus Bewei</w:t>
      </w:r>
      <w:r w:rsidRPr="005F15DA">
        <w:t>s</w:t>
      </w:r>
      <w:r w:rsidRPr="005F15DA">
        <w:t>gründen dem Grundbuchamt mit den Original-Unterschriften, welche zu beglaubigen sind, einzureichen.</w:t>
      </w:r>
    </w:p>
    <w:p w:rsidR="007F76B1" w:rsidRPr="005F15DA" w:rsidRDefault="007F76B1" w:rsidP="007F76B1">
      <w:pPr>
        <w:ind w:left="851"/>
      </w:pPr>
    </w:p>
    <w:p w:rsidR="005D70F9" w:rsidRPr="005F15DA" w:rsidRDefault="005D70F9" w:rsidP="007F76B1">
      <w:pPr>
        <w:ind w:left="851"/>
      </w:pPr>
      <w:r w:rsidRPr="005F15DA">
        <w:t>Für den Verkehr mit dem Grundbuchamt sind die im Kanton vereinheitlichten Form</w:t>
      </w:r>
      <w:r w:rsidRPr="005F15DA">
        <w:t>u</w:t>
      </w:r>
      <w:r w:rsidRPr="005F15DA">
        <w:t>lare (Grundbuchanmeldung, Löschungsbewilligung usw.) bzw. für die Grundbuchb</w:t>
      </w:r>
      <w:r w:rsidRPr="005F15DA">
        <w:t>e</w:t>
      </w:r>
      <w:r w:rsidRPr="005F15DA">
        <w:t>lege spezielles Papier zu verwenden. Die Beschriftung hat beidseitig mit Maschine</w:t>
      </w:r>
      <w:r w:rsidRPr="005F15DA">
        <w:t>n</w:t>
      </w:r>
      <w:r w:rsidRPr="005F15DA">
        <w:t>schrift oder dokumentenechter maschineller Vervielfältigung zu erfolgen. Die notarie</w:t>
      </w:r>
      <w:r w:rsidRPr="005F15DA">
        <w:t>l</w:t>
      </w:r>
      <w:r w:rsidRPr="005F15DA">
        <w:t>le Ausfertigung ist auf jedem Blatt zu siegeln.</w:t>
      </w:r>
    </w:p>
    <w:p w:rsidR="008525A0" w:rsidRPr="005F15DA" w:rsidRDefault="008525A0" w:rsidP="008525A0">
      <w:pPr>
        <w:ind w:left="426"/>
      </w:pPr>
    </w:p>
    <w:p w:rsidR="008525A0" w:rsidRPr="005F15DA" w:rsidRDefault="008525A0" w:rsidP="008525A0">
      <w:pPr>
        <w:ind w:left="426"/>
      </w:pPr>
    </w:p>
    <w:p w:rsidR="005D70F9" w:rsidRPr="005F15DA" w:rsidRDefault="005D70F9" w:rsidP="007F76B1">
      <w:pPr>
        <w:pStyle w:val="berschrift5"/>
      </w:pPr>
      <w:r w:rsidRPr="005F15DA">
        <w:rPr>
          <w:spacing w:val="-7"/>
        </w:rPr>
        <w:t>8.2.</w:t>
      </w:r>
      <w:r w:rsidRPr="005F15DA">
        <w:tab/>
        <w:t>Handelsregister</w:t>
      </w:r>
    </w:p>
    <w:p w:rsidR="005D70F9" w:rsidRPr="005F15DA" w:rsidRDefault="005D70F9" w:rsidP="007F76B1">
      <w:pPr>
        <w:ind w:left="851"/>
      </w:pPr>
      <w:r w:rsidRPr="005F15DA">
        <w:t>Das Gesetz bestimmt, wem die Handelsregisteranmeldung obliegt. Bei juristischen Personen erfolgt diese durch die Verwaltung. Alle Unterschriften auf einer Anme</w:t>
      </w:r>
      <w:r w:rsidRPr="005F15DA">
        <w:t>l</w:t>
      </w:r>
      <w:r w:rsidRPr="005F15DA">
        <w:t>dung an das Handelsregisteramt sind zu beglaubigen, sofern die Unterschrift nicht schon früher für die gleiche Firma beglaubigt hinterlegt worden ist. Sämtliche die Anmeldung begleitenden Belege sind entweder im Original oder in beglaubigter K</w:t>
      </w:r>
      <w:r w:rsidRPr="005F15DA">
        <w:t>o</w:t>
      </w:r>
      <w:r w:rsidRPr="005F15DA">
        <w:t>pie einzureichen.</w:t>
      </w:r>
    </w:p>
    <w:p w:rsidR="008525A0" w:rsidRPr="005F15DA" w:rsidRDefault="008525A0" w:rsidP="008525A0">
      <w:pPr>
        <w:ind w:left="426"/>
      </w:pPr>
    </w:p>
    <w:p w:rsidR="007F76B1" w:rsidRPr="005F15DA" w:rsidRDefault="007F76B1" w:rsidP="008525A0">
      <w:pPr>
        <w:ind w:left="426"/>
      </w:pPr>
    </w:p>
    <w:p w:rsidR="00561ABB" w:rsidRPr="005F15DA" w:rsidRDefault="00561ABB" w:rsidP="008525A0">
      <w:pPr>
        <w:ind w:left="426"/>
      </w:pPr>
    </w:p>
    <w:p w:rsidR="008525A0" w:rsidRPr="005F15DA" w:rsidRDefault="008525A0" w:rsidP="008525A0">
      <w:pPr>
        <w:ind w:left="426"/>
      </w:pPr>
    </w:p>
    <w:p w:rsidR="005D70F9" w:rsidRPr="005F15DA" w:rsidRDefault="005D70F9" w:rsidP="00E36E8F">
      <w:pPr>
        <w:pStyle w:val="berschrift2"/>
      </w:pPr>
      <w:bookmarkStart w:id="16" w:name="_Toc432175544"/>
      <w:r w:rsidRPr="005F15DA">
        <w:t>III. Rechnungswesen</w:t>
      </w:r>
      <w:bookmarkEnd w:id="16"/>
    </w:p>
    <w:p w:rsidR="006A1D52" w:rsidRPr="005F15DA" w:rsidRDefault="006A1D52" w:rsidP="00AD2C6A">
      <w:r w:rsidRPr="005F15DA">
        <w:t>________</w:t>
      </w:r>
      <w:r w:rsidR="002F185C" w:rsidRPr="005F15DA">
        <w:t>_____________</w:t>
      </w:r>
      <w:r w:rsidR="00AD2C6A">
        <w:t>_____</w:t>
      </w:r>
    </w:p>
    <w:p w:rsidR="00D24DD7" w:rsidRPr="005F15DA" w:rsidRDefault="00D24DD7" w:rsidP="00D24DD7">
      <w:pPr>
        <w:ind w:left="426"/>
      </w:pPr>
    </w:p>
    <w:p w:rsidR="005D70F9" w:rsidRPr="005F15DA" w:rsidRDefault="005D70F9" w:rsidP="002F185C">
      <w:pPr>
        <w:tabs>
          <w:tab w:val="left" w:pos="426"/>
        </w:tabs>
      </w:pPr>
      <w:r w:rsidRPr="005F15DA">
        <w:t>-</w:t>
      </w:r>
      <w:r w:rsidRPr="005F15DA">
        <w:tab/>
        <w:t>Buchführung</w:t>
      </w:r>
    </w:p>
    <w:p w:rsidR="005D70F9" w:rsidRPr="005F15DA" w:rsidRDefault="005D70F9" w:rsidP="002F185C">
      <w:pPr>
        <w:tabs>
          <w:tab w:val="left" w:pos="426"/>
        </w:tabs>
      </w:pPr>
      <w:r w:rsidRPr="005F15DA">
        <w:t>-</w:t>
      </w:r>
      <w:r w:rsidRPr="005F15DA">
        <w:tab/>
        <w:t>Gebühren und Honorare</w:t>
      </w:r>
    </w:p>
    <w:p w:rsidR="00C06114" w:rsidRPr="005F15DA" w:rsidRDefault="00C06114" w:rsidP="00C06114">
      <w:pPr>
        <w:ind w:left="426"/>
      </w:pPr>
    </w:p>
    <w:p w:rsidR="00C06114" w:rsidRPr="005F15DA" w:rsidRDefault="00C06114" w:rsidP="00C06114">
      <w:pPr>
        <w:ind w:left="426"/>
      </w:pPr>
    </w:p>
    <w:p w:rsidR="005D70F9" w:rsidRPr="005F15DA" w:rsidRDefault="005D70F9" w:rsidP="005759BE">
      <w:pPr>
        <w:pStyle w:val="berschrift3"/>
        <w:rPr>
          <w:lang w:val="de-CH"/>
        </w:rPr>
      </w:pPr>
      <w:bookmarkStart w:id="17" w:name="_Toc432175545"/>
      <w:r w:rsidRPr="005F15DA">
        <w:rPr>
          <w:lang w:val="de-CH"/>
        </w:rPr>
        <w:t>A.</w:t>
      </w:r>
      <w:r w:rsidRPr="005F15DA">
        <w:rPr>
          <w:lang w:val="de-CH"/>
        </w:rPr>
        <w:tab/>
        <w:t>Buchführung (Art. 23 – 30 NV)</w:t>
      </w:r>
      <w:bookmarkEnd w:id="17"/>
    </w:p>
    <w:p w:rsidR="00495F0A" w:rsidRPr="005F15DA" w:rsidRDefault="00495F0A" w:rsidP="00495F0A">
      <w:pPr>
        <w:tabs>
          <w:tab w:val="left" w:pos="426"/>
        </w:tabs>
      </w:pPr>
    </w:p>
    <w:p w:rsidR="005D70F9" w:rsidRPr="005F15DA" w:rsidRDefault="005D70F9" w:rsidP="00495F0A">
      <w:pPr>
        <w:tabs>
          <w:tab w:val="left" w:pos="426"/>
        </w:tabs>
      </w:pPr>
      <w:r w:rsidRPr="005F15DA">
        <w:t>Der Notar ist buchführungspflichtig und er hat als Ausweis für seine Zahlungsbereitschaft eine von ihm unterzeichnete Saldobilanz zu erstellen.</w:t>
      </w:r>
    </w:p>
    <w:p w:rsidR="00495F0A" w:rsidRPr="005F15DA" w:rsidRDefault="00495F0A" w:rsidP="00495F0A">
      <w:pPr>
        <w:tabs>
          <w:tab w:val="left" w:pos="426"/>
        </w:tabs>
      </w:pPr>
    </w:p>
    <w:p w:rsidR="005D70F9" w:rsidRPr="005F15DA" w:rsidRDefault="005D70F9" w:rsidP="00495F0A">
      <w:pPr>
        <w:tabs>
          <w:tab w:val="left" w:pos="426"/>
        </w:tabs>
      </w:pPr>
      <w:r w:rsidRPr="005F15DA">
        <w:t>Zusätzlich zur Buchhaltung sind folgende Kontrollen zu führen:</w:t>
      </w:r>
    </w:p>
    <w:p w:rsidR="005D70F9" w:rsidRPr="005F15DA" w:rsidRDefault="005D70F9" w:rsidP="00495F0A">
      <w:pPr>
        <w:tabs>
          <w:tab w:val="left" w:pos="426"/>
        </w:tabs>
      </w:pPr>
      <w:r w:rsidRPr="005F15DA">
        <w:t>-</w:t>
      </w:r>
      <w:r w:rsidRPr="005F15DA">
        <w:tab/>
        <w:t>eine nach Klient geführte Leistungserfassung über Gebühren, Honorare und Auslagen,</w:t>
      </w:r>
    </w:p>
    <w:p w:rsidR="005D70F9" w:rsidRPr="005F15DA" w:rsidRDefault="005D70F9" w:rsidP="00495F0A">
      <w:pPr>
        <w:tabs>
          <w:tab w:val="left" w:pos="426"/>
        </w:tabs>
      </w:pPr>
      <w:r w:rsidRPr="005F15DA">
        <w:t>-</w:t>
      </w:r>
      <w:r w:rsidRPr="005F15DA">
        <w:tab/>
        <w:t>eine nach Klient geführte Wertschriftenkontrolle mit separatem alphabetischem Register,</w:t>
      </w:r>
    </w:p>
    <w:p w:rsidR="005D70F9" w:rsidRPr="005F15DA" w:rsidRDefault="005D70F9" w:rsidP="00495F0A">
      <w:pPr>
        <w:tabs>
          <w:tab w:val="left" w:pos="426"/>
        </w:tabs>
        <w:ind w:left="426" w:hanging="426"/>
      </w:pPr>
      <w:r w:rsidRPr="005F15DA">
        <w:t>-</w:t>
      </w:r>
      <w:r w:rsidRPr="005F15DA">
        <w:tab/>
        <w:t>eine Klientengelderkontrolle, soweit separate Klientengelder nicht in der Buchhaltung geführt werden.</w:t>
      </w:r>
    </w:p>
    <w:p w:rsidR="00495F0A" w:rsidRPr="005F15DA" w:rsidRDefault="00495F0A" w:rsidP="00495F0A">
      <w:pPr>
        <w:tabs>
          <w:tab w:val="left" w:pos="426"/>
        </w:tabs>
      </w:pPr>
    </w:p>
    <w:p w:rsidR="005D70F9" w:rsidRPr="005F15DA" w:rsidRDefault="005D70F9" w:rsidP="00495F0A">
      <w:pPr>
        <w:tabs>
          <w:tab w:val="left" w:pos="426"/>
        </w:tabs>
      </w:pPr>
      <w:r w:rsidRPr="005F15DA">
        <w:t xml:space="preserve">Der Notar ist verpflichtet, die ihm anvertrauten oder ihm aus irgendeinem Grund kraft seiner beruflichen Tätigkeit zugeflossenen Gelder und Vermögenswerte seiner Klienten oder von </w:t>
      </w:r>
      <w:r w:rsidRPr="005F15DA">
        <w:lastRenderedPageBreak/>
        <w:t>Drittpersonen von seinem Privatvermögen getrennt zu halten. Er darf diese Gelder unter ke</w:t>
      </w:r>
      <w:r w:rsidRPr="005F15DA">
        <w:t>i</w:t>
      </w:r>
      <w:r w:rsidRPr="005F15DA">
        <w:t>nen Umständen, auch nicht vorübergehend, für eigene Zwecke verwenden oder mit seinem Privatvermögen vermengen.</w:t>
      </w:r>
    </w:p>
    <w:p w:rsidR="00495F0A" w:rsidRPr="005F15DA" w:rsidRDefault="00495F0A" w:rsidP="00495F0A">
      <w:pPr>
        <w:tabs>
          <w:tab w:val="left" w:pos="426"/>
        </w:tabs>
      </w:pPr>
    </w:p>
    <w:p w:rsidR="005D70F9" w:rsidRPr="005F15DA" w:rsidRDefault="005D70F9" w:rsidP="00495F0A">
      <w:pPr>
        <w:tabs>
          <w:tab w:val="left" w:pos="426"/>
        </w:tabs>
      </w:pPr>
      <w:r w:rsidRPr="005F15DA">
        <w:t>Gelder sind den Klienten abzuliefern oder bei einer Schweizer Bank anzulegen, wobei Guth</w:t>
      </w:r>
      <w:r w:rsidRPr="005F15DA">
        <w:t>a</w:t>
      </w:r>
      <w:r w:rsidRPr="005F15DA">
        <w:t>ben verschiedener Klienten auf einem als Klientengelderkonto bezeichneten Sammelkonto angelegt werden dürfen. Wenn die anvertrauten Gelder eines einzelnen Klienten den Betrag von Fr. 20'000</w:t>
      </w:r>
      <w:proofErr w:type="gramStart"/>
      <w:r w:rsidRPr="005F15DA">
        <w:t>.—</w:t>
      </w:r>
      <w:proofErr w:type="gramEnd"/>
      <w:r w:rsidRPr="005F15DA">
        <w:t xml:space="preserve"> übersteigen, sind sie auf einem separaten, auf den Namen des Berechti</w:t>
      </w:r>
      <w:r w:rsidRPr="005F15DA">
        <w:t>g</w:t>
      </w:r>
      <w:r w:rsidRPr="005F15DA">
        <w:t>ten lautenden Konto bei einer Schweizer Bank anzulegen.</w:t>
      </w:r>
    </w:p>
    <w:p w:rsidR="00495F0A" w:rsidRPr="005F15DA" w:rsidRDefault="00495F0A" w:rsidP="00495F0A">
      <w:pPr>
        <w:tabs>
          <w:tab w:val="left" w:pos="426"/>
        </w:tabs>
      </w:pPr>
    </w:p>
    <w:p w:rsidR="005D70F9" w:rsidRPr="005F15DA" w:rsidRDefault="005D70F9" w:rsidP="00495F0A">
      <w:pPr>
        <w:tabs>
          <w:tab w:val="left" w:pos="426"/>
        </w:tabs>
      </w:pPr>
      <w:r w:rsidRPr="005F15DA">
        <w:t xml:space="preserve">Anvertraute Wertschriften sind in der Wertschriftenkontrolle chronologisch, unter Angabe des Eingangs- und Ausgangsdatums, einzutragen. </w:t>
      </w:r>
    </w:p>
    <w:p w:rsidR="00495F0A" w:rsidRPr="005F15DA" w:rsidRDefault="00495F0A" w:rsidP="00495F0A">
      <w:pPr>
        <w:tabs>
          <w:tab w:val="left" w:pos="426"/>
        </w:tabs>
      </w:pPr>
    </w:p>
    <w:p w:rsidR="005D70F9" w:rsidRPr="005F15DA" w:rsidRDefault="005D70F9" w:rsidP="00495F0A">
      <w:pPr>
        <w:tabs>
          <w:tab w:val="left" w:pos="426"/>
        </w:tabs>
      </w:pPr>
      <w:r w:rsidRPr="005F15DA">
        <w:t>Der Notar muss schliesslich jederzeit in der Lage sein, alle anvertrauten Gelder und Wer</w:t>
      </w:r>
      <w:r w:rsidRPr="005F15DA">
        <w:t>t</w:t>
      </w:r>
      <w:r w:rsidRPr="005F15DA">
        <w:t>schriften den Berechtigten auszuhändigen (= Zahlungsbereitschaft).</w:t>
      </w:r>
    </w:p>
    <w:p w:rsidR="00495F0A" w:rsidRPr="005F15DA" w:rsidRDefault="00495F0A" w:rsidP="00495F0A">
      <w:pPr>
        <w:tabs>
          <w:tab w:val="left" w:pos="426"/>
        </w:tabs>
      </w:pPr>
    </w:p>
    <w:p w:rsidR="005D70F9" w:rsidRPr="005F15DA" w:rsidRDefault="005D70F9" w:rsidP="00495F0A">
      <w:pPr>
        <w:tabs>
          <w:tab w:val="left" w:pos="426"/>
        </w:tabs>
      </w:pPr>
      <w:r w:rsidRPr="005F15DA">
        <w:t>Nach Erledigung eines Geschäftes hat der Notar dem Klienten spätestens innert 60 Tagen eine Abrechnung über den Geldverkehr zuzustellen. Bei länger dauernden Geschäften hat der Notar der Klientschaft mindestens einmal jährlich abzurechnen.</w:t>
      </w:r>
    </w:p>
    <w:p w:rsidR="00495F0A" w:rsidRPr="005F15DA" w:rsidRDefault="00495F0A" w:rsidP="00495F0A">
      <w:pPr>
        <w:tabs>
          <w:tab w:val="left" w:pos="426"/>
        </w:tabs>
      </w:pPr>
    </w:p>
    <w:p w:rsidR="005D70F9" w:rsidRPr="005F15DA" w:rsidRDefault="005D70F9" w:rsidP="00495F0A">
      <w:pPr>
        <w:tabs>
          <w:tab w:val="left" w:pos="426"/>
        </w:tabs>
      </w:pPr>
      <w:r w:rsidRPr="005F15DA">
        <w:t>Die Buchhaltung verbleibt im Büro des Notars und ist laufend nachzuführen. Sie und die Wertschriftenkontrolle sowie die Belege sind mindestens 10 Jahre aufzubewahren.</w:t>
      </w:r>
    </w:p>
    <w:p w:rsidR="00495F0A" w:rsidRPr="005F15DA" w:rsidRDefault="00495F0A" w:rsidP="00495F0A">
      <w:pPr>
        <w:tabs>
          <w:tab w:val="left" w:pos="426"/>
        </w:tabs>
      </w:pPr>
    </w:p>
    <w:p w:rsidR="00495F0A" w:rsidRPr="005F15DA" w:rsidRDefault="00495F0A" w:rsidP="00495F0A">
      <w:pPr>
        <w:tabs>
          <w:tab w:val="left" w:pos="426"/>
        </w:tabs>
      </w:pPr>
    </w:p>
    <w:p w:rsidR="00495F0A" w:rsidRPr="005F15DA" w:rsidRDefault="00495F0A" w:rsidP="00495F0A">
      <w:pPr>
        <w:tabs>
          <w:tab w:val="left" w:pos="426"/>
        </w:tabs>
      </w:pPr>
    </w:p>
    <w:p w:rsidR="005D70F9" w:rsidRPr="005F15DA" w:rsidRDefault="005D70F9" w:rsidP="005759BE">
      <w:pPr>
        <w:pStyle w:val="berschrift3"/>
        <w:rPr>
          <w:lang w:val="de-CH"/>
        </w:rPr>
      </w:pPr>
      <w:bookmarkStart w:id="18" w:name="_Toc432175546"/>
      <w:r w:rsidRPr="005F15DA">
        <w:rPr>
          <w:lang w:val="de-CH"/>
        </w:rPr>
        <w:t>B.</w:t>
      </w:r>
      <w:r w:rsidRPr="005F15DA">
        <w:rPr>
          <w:lang w:val="de-CH"/>
        </w:rPr>
        <w:tab/>
        <w:t>Gebühren und Honorare</w:t>
      </w:r>
      <w:bookmarkEnd w:id="18"/>
    </w:p>
    <w:p w:rsidR="00495F0A" w:rsidRPr="005F15DA" w:rsidRDefault="00495F0A" w:rsidP="00495F0A">
      <w:pPr>
        <w:tabs>
          <w:tab w:val="left" w:pos="426"/>
        </w:tabs>
      </w:pPr>
    </w:p>
    <w:p w:rsidR="005D70F9" w:rsidRPr="005F15DA" w:rsidRDefault="005D70F9" w:rsidP="00495F0A">
      <w:pPr>
        <w:tabs>
          <w:tab w:val="left" w:pos="426"/>
        </w:tabs>
      </w:pPr>
      <w:r w:rsidRPr="005F15DA">
        <w:t>Für seine hauptberufliche Tätigkeit hat der Notar Anspruch auf eine Gebühr und für seine nebenberufliche Tätigkeit bezieht er ein Honorar. Zusätzlich zur Gebühr bzw. zum Honorar kann er vollen Ersatz für seine Auslagen verlangen.</w:t>
      </w:r>
    </w:p>
    <w:p w:rsidR="00495F0A" w:rsidRPr="005F15DA" w:rsidRDefault="00495F0A" w:rsidP="00495F0A">
      <w:pPr>
        <w:tabs>
          <w:tab w:val="left" w:pos="426"/>
        </w:tabs>
      </w:pPr>
    </w:p>
    <w:p w:rsidR="00495F0A" w:rsidRPr="005F15DA" w:rsidRDefault="00495F0A" w:rsidP="00495F0A">
      <w:pPr>
        <w:tabs>
          <w:tab w:val="left" w:pos="426"/>
        </w:tabs>
      </w:pPr>
    </w:p>
    <w:p w:rsidR="005D70F9" w:rsidRPr="005F15DA" w:rsidRDefault="005D70F9" w:rsidP="00495F0A">
      <w:pPr>
        <w:pStyle w:val="berschrift4"/>
      </w:pPr>
      <w:r w:rsidRPr="005F15DA">
        <w:rPr>
          <w:spacing w:val="-22"/>
        </w:rPr>
        <w:t>1.</w:t>
      </w:r>
      <w:r w:rsidRPr="005F15DA">
        <w:tab/>
        <w:t>Hauptberufliche Tätigkeit</w:t>
      </w:r>
    </w:p>
    <w:p w:rsidR="005D70F9" w:rsidRPr="005F15DA" w:rsidRDefault="005D70F9" w:rsidP="00495F0A">
      <w:pPr>
        <w:ind w:left="426"/>
      </w:pPr>
      <w:r w:rsidRPr="005F15DA">
        <w:t>Der Gebührenanspruch beruht unmittelbar auf dem Gesetz. Sie ist eine öffentlich-rechtliche Gebühr, die durch die Verordnung über die Notariatsgebühren (GebVN) festg</w:t>
      </w:r>
      <w:r w:rsidRPr="005F15DA">
        <w:t>e</w:t>
      </w:r>
      <w:r w:rsidRPr="005F15DA">
        <w:t>legt wird.</w:t>
      </w:r>
    </w:p>
    <w:p w:rsidR="00495F0A" w:rsidRPr="005F15DA" w:rsidRDefault="00495F0A" w:rsidP="00495F0A">
      <w:pPr>
        <w:ind w:left="426"/>
      </w:pPr>
    </w:p>
    <w:p w:rsidR="005D70F9" w:rsidRPr="005F15DA" w:rsidRDefault="005D70F9" w:rsidP="00495F0A">
      <w:pPr>
        <w:ind w:left="426"/>
      </w:pPr>
      <w:r w:rsidRPr="005F15DA">
        <w:t>Der Notar hat bei der Entgegennahme der Rogation die Klientschaft über die Grundsätze der Gebührenordnung sowie über die voraussichtliche Gebühr zu orientieren.</w:t>
      </w:r>
    </w:p>
    <w:p w:rsidR="00495F0A" w:rsidRPr="005F15DA" w:rsidRDefault="00495F0A" w:rsidP="00495F0A">
      <w:pPr>
        <w:ind w:left="426"/>
      </w:pPr>
    </w:p>
    <w:p w:rsidR="005D70F9" w:rsidRPr="005F15DA" w:rsidRDefault="005D70F9" w:rsidP="00495F0A">
      <w:pPr>
        <w:ind w:left="426"/>
      </w:pPr>
      <w:r w:rsidRPr="005F15DA">
        <w:t>Anspruch auf die Gebühr hat der rogierte Notar; Gebührenschuldner ist der entspreche</w:t>
      </w:r>
      <w:r w:rsidRPr="005F15DA">
        <w:t>n</w:t>
      </w:r>
      <w:r w:rsidRPr="005F15DA">
        <w:t>de Klient. Ist der Notar auf Begehren mehrere Personen tätig geworden, haften diese s</w:t>
      </w:r>
      <w:r w:rsidRPr="005F15DA">
        <w:t>o</w:t>
      </w:r>
      <w:r w:rsidRPr="005F15DA">
        <w:t>lidarisch für Gebühren und Auslagen.</w:t>
      </w:r>
    </w:p>
    <w:p w:rsidR="00495F0A" w:rsidRPr="005F15DA" w:rsidRDefault="00495F0A" w:rsidP="00495F0A">
      <w:pPr>
        <w:ind w:left="426"/>
      </w:pPr>
    </w:p>
    <w:p w:rsidR="00495F0A" w:rsidRPr="005F15DA" w:rsidRDefault="00495F0A" w:rsidP="00495F0A">
      <w:pPr>
        <w:ind w:left="426"/>
      </w:pPr>
    </w:p>
    <w:p w:rsidR="005D70F9" w:rsidRPr="005F15DA" w:rsidRDefault="005D70F9" w:rsidP="00495F0A">
      <w:pPr>
        <w:pStyle w:val="berschrift4"/>
      </w:pPr>
      <w:r w:rsidRPr="005F15DA">
        <w:rPr>
          <w:spacing w:val="-9"/>
        </w:rPr>
        <w:lastRenderedPageBreak/>
        <w:t>2.</w:t>
      </w:r>
      <w:r w:rsidRPr="005F15DA">
        <w:tab/>
        <w:t>Nebenberufliche Tätigkeit</w:t>
      </w:r>
    </w:p>
    <w:p w:rsidR="005D70F9" w:rsidRPr="005F15DA" w:rsidRDefault="005D70F9" w:rsidP="00495F0A">
      <w:pPr>
        <w:ind w:left="426"/>
      </w:pPr>
      <w:r w:rsidRPr="005F15DA">
        <w:t>Für seine nebenberufliche Tätigkeit hat der Notar Anspruch auf ein Honorar, welches auf einem privatrechtlichen Vertrag gemäss OR basiert; es handelt sich regelmässig um e</w:t>
      </w:r>
      <w:r w:rsidRPr="005F15DA">
        <w:t>i</w:t>
      </w:r>
      <w:r w:rsidRPr="005F15DA">
        <w:t>nen Auftrag.</w:t>
      </w:r>
    </w:p>
    <w:p w:rsidR="00495F0A" w:rsidRPr="005F15DA" w:rsidRDefault="00495F0A" w:rsidP="00495F0A">
      <w:pPr>
        <w:ind w:left="426"/>
      </w:pPr>
    </w:p>
    <w:p w:rsidR="005D70F9" w:rsidRPr="005F15DA" w:rsidRDefault="005D70F9" w:rsidP="00495F0A">
      <w:pPr>
        <w:ind w:left="426"/>
      </w:pPr>
      <w:r w:rsidRPr="005F15DA">
        <w:t>Die Höhe des Honorars richtet sich nach der zwischen Notar und Klient abgeschlossenen Vereinbarung.</w:t>
      </w:r>
    </w:p>
    <w:p w:rsidR="00495F0A" w:rsidRPr="005F15DA" w:rsidRDefault="00495F0A" w:rsidP="00495F0A">
      <w:pPr>
        <w:ind w:left="426"/>
      </w:pPr>
    </w:p>
    <w:p w:rsidR="005D70F9" w:rsidRPr="005F15DA" w:rsidRDefault="005D70F9" w:rsidP="00495F0A">
      <w:pPr>
        <w:ind w:left="426"/>
      </w:pPr>
      <w:r w:rsidRPr="005F15DA">
        <w:t>Die Überprüfung des Honorars aus nebenberuflicher Tätigkeit unterliegt dem Zivilrecht.</w:t>
      </w:r>
    </w:p>
    <w:p w:rsidR="00495F0A" w:rsidRPr="005F15DA" w:rsidRDefault="00495F0A" w:rsidP="00495F0A">
      <w:pPr>
        <w:ind w:left="426"/>
      </w:pPr>
    </w:p>
    <w:p w:rsidR="00495F0A" w:rsidRPr="005F15DA" w:rsidRDefault="00495F0A" w:rsidP="00495F0A">
      <w:pPr>
        <w:ind w:left="426"/>
      </w:pPr>
    </w:p>
    <w:p w:rsidR="005D70F9" w:rsidRPr="005F15DA" w:rsidRDefault="005D70F9" w:rsidP="00495F0A">
      <w:pPr>
        <w:pStyle w:val="berschrift4"/>
      </w:pPr>
      <w:r w:rsidRPr="005F15DA">
        <w:rPr>
          <w:spacing w:val="-9"/>
        </w:rPr>
        <w:t>3.</w:t>
      </w:r>
      <w:r w:rsidRPr="005F15DA">
        <w:tab/>
        <w:t>Auslagen</w:t>
      </w:r>
    </w:p>
    <w:p w:rsidR="005D70F9" w:rsidRPr="005F15DA" w:rsidRDefault="005D70F9" w:rsidP="00495F0A">
      <w:pPr>
        <w:ind w:left="426"/>
      </w:pPr>
      <w:r w:rsidRPr="005F15DA">
        <w:t>Zusätzlich zur Gebühr bzw. zum Honorar kann der Notar vollen Ersatz für seine Auslagen verlangen.</w:t>
      </w:r>
    </w:p>
    <w:p w:rsidR="00495F0A" w:rsidRPr="005F15DA" w:rsidRDefault="00495F0A" w:rsidP="00495F0A">
      <w:pPr>
        <w:ind w:left="426"/>
      </w:pPr>
    </w:p>
    <w:p w:rsidR="00495F0A" w:rsidRPr="005F15DA" w:rsidRDefault="00495F0A" w:rsidP="00495F0A">
      <w:pPr>
        <w:ind w:left="426"/>
      </w:pPr>
    </w:p>
    <w:p w:rsidR="005D70F9" w:rsidRPr="005F15DA" w:rsidRDefault="005D70F9" w:rsidP="00495F0A">
      <w:pPr>
        <w:pStyle w:val="berschrift4"/>
      </w:pPr>
      <w:r w:rsidRPr="005F15DA">
        <w:rPr>
          <w:spacing w:val="-9"/>
        </w:rPr>
        <w:t>4.</w:t>
      </w:r>
      <w:r w:rsidRPr="005F15DA">
        <w:tab/>
        <w:t>Moderationsverfahren</w:t>
      </w:r>
    </w:p>
    <w:p w:rsidR="005D70F9" w:rsidRPr="005F15DA" w:rsidRDefault="005D70F9" w:rsidP="00495F0A">
      <w:pPr>
        <w:ind w:left="426"/>
      </w:pPr>
      <w:r w:rsidRPr="005F15DA">
        <w:t xml:space="preserve">Bestreitet der Klient die Höhe der Rechnung aus hauptberuflicher Tätigkeit des Notars, kann der Notar oder der Klient die Justiz-, Gemeinde- und Kirchendirektion um amtliche Festsetzung von Gebühren und Auslagen ersuchen (Moderationsverfahren). </w:t>
      </w:r>
    </w:p>
    <w:p w:rsidR="00495F0A" w:rsidRPr="005F15DA" w:rsidRDefault="00495F0A" w:rsidP="00495F0A">
      <w:pPr>
        <w:ind w:left="426"/>
      </w:pPr>
    </w:p>
    <w:p w:rsidR="005D70F9" w:rsidRPr="005F15DA" w:rsidRDefault="005D70F9" w:rsidP="00495F0A">
      <w:pPr>
        <w:ind w:left="426"/>
      </w:pPr>
      <w:r w:rsidRPr="005F15DA">
        <w:t>Bestreitet der Klient indessen die Schuldpflicht, weil er beispielsweise die Verjährung ge</w:t>
      </w:r>
      <w:r w:rsidRPr="005F15DA">
        <w:t>l</w:t>
      </w:r>
      <w:r w:rsidRPr="005F15DA">
        <w:t>tend macht, muss der Notar Klage beim Zivilrichter einreichen.</w:t>
      </w:r>
    </w:p>
    <w:p w:rsidR="005D70F9" w:rsidRPr="005F15DA" w:rsidRDefault="005D70F9" w:rsidP="00495F0A">
      <w:pPr>
        <w:ind w:left="426"/>
      </w:pPr>
    </w:p>
    <w:p w:rsidR="005D70F9" w:rsidRPr="005F15DA" w:rsidRDefault="005D70F9" w:rsidP="00495F0A">
      <w:pPr>
        <w:ind w:left="426"/>
      </w:pPr>
      <w:r w:rsidRPr="005F15DA">
        <w:rPr>
          <w:sz w:val="26"/>
          <w:szCs w:val="26"/>
        </w:rPr>
        <w:br w:type="page"/>
      </w:r>
    </w:p>
    <w:p w:rsidR="005D70F9" w:rsidRPr="005F15DA" w:rsidRDefault="005D70F9" w:rsidP="001F15CC">
      <w:pPr>
        <w:pStyle w:val="berschrift1"/>
        <w:spacing w:before="0"/>
      </w:pPr>
      <w:bookmarkStart w:id="19" w:name="_Toc432175547"/>
      <w:r w:rsidRPr="005F15DA">
        <w:rPr>
          <w:w w:val="114"/>
        </w:rPr>
        <w:lastRenderedPageBreak/>
        <w:t>Personenrecht</w:t>
      </w:r>
      <w:bookmarkEnd w:id="19"/>
    </w:p>
    <w:p w:rsidR="004D6703" w:rsidRPr="005F15DA" w:rsidRDefault="004D6703" w:rsidP="00AD2C6A">
      <w:r w:rsidRPr="005F15DA">
        <w:t>__________________________________________________________</w:t>
      </w:r>
      <w:r w:rsidR="00AD2C6A">
        <w:t>________________</w:t>
      </w:r>
    </w:p>
    <w:p w:rsidR="004F29CE" w:rsidRPr="005F15DA" w:rsidRDefault="004F29CE" w:rsidP="004F29CE">
      <w:pPr>
        <w:ind w:left="426"/>
      </w:pPr>
    </w:p>
    <w:p w:rsidR="004F29CE" w:rsidRPr="005F15DA" w:rsidRDefault="004F29CE" w:rsidP="004F29CE">
      <w:pPr>
        <w:ind w:left="426"/>
      </w:pPr>
    </w:p>
    <w:p w:rsidR="005D70F9" w:rsidRPr="005F15DA" w:rsidRDefault="005D70F9" w:rsidP="00E36E8F">
      <w:pPr>
        <w:pStyle w:val="berschrift2"/>
      </w:pPr>
      <w:bookmarkStart w:id="20" w:name="_Toc432175548"/>
      <w:r w:rsidRPr="005F15DA">
        <w:t>I. Natürliche Personen (Menschen)</w:t>
      </w:r>
      <w:bookmarkEnd w:id="20"/>
    </w:p>
    <w:p w:rsidR="00B11D0F" w:rsidRPr="005F15DA" w:rsidRDefault="00B11D0F" w:rsidP="004009FE">
      <w:r w:rsidRPr="005F15DA">
        <w:t>________</w:t>
      </w:r>
      <w:r w:rsidR="00BC554F" w:rsidRPr="005F15DA">
        <w:t>__________________________</w:t>
      </w:r>
      <w:r w:rsidR="004009FE">
        <w:t>_________</w:t>
      </w:r>
    </w:p>
    <w:p w:rsidR="004F29CE" w:rsidRPr="005F15DA" w:rsidRDefault="004F29CE" w:rsidP="004F29CE">
      <w:pPr>
        <w:ind w:left="426"/>
      </w:pPr>
    </w:p>
    <w:p w:rsidR="004F29CE" w:rsidRPr="005F15DA" w:rsidRDefault="004F29CE" w:rsidP="004F29CE">
      <w:pPr>
        <w:ind w:left="426"/>
      </w:pPr>
    </w:p>
    <w:p w:rsidR="005D70F9" w:rsidRPr="005F15DA" w:rsidRDefault="005D70F9" w:rsidP="00BC554F">
      <w:pPr>
        <w:tabs>
          <w:tab w:val="left" w:pos="426"/>
        </w:tabs>
      </w:pPr>
      <w:r w:rsidRPr="005F15DA">
        <w:t>-</w:t>
      </w:r>
      <w:r w:rsidRPr="005F15DA">
        <w:tab/>
        <w:t>Was versteht man bei natürlichen Personen unter</w:t>
      </w:r>
    </w:p>
    <w:p w:rsidR="005D70F9" w:rsidRPr="005F15DA" w:rsidRDefault="00BC554F" w:rsidP="00BC554F">
      <w:pPr>
        <w:tabs>
          <w:tab w:val="left" w:pos="426"/>
          <w:tab w:val="left" w:pos="709"/>
        </w:tabs>
        <w:ind w:left="426"/>
      </w:pPr>
      <w:r w:rsidRPr="005F15DA">
        <w:rPr>
          <w:spacing w:val="-2"/>
        </w:rPr>
        <w:t>-</w:t>
      </w:r>
      <w:r w:rsidRPr="005F15DA">
        <w:rPr>
          <w:spacing w:val="-2"/>
        </w:rPr>
        <w:tab/>
      </w:r>
      <w:r w:rsidR="005D70F9" w:rsidRPr="005F15DA">
        <w:rPr>
          <w:spacing w:val="-2"/>
        </w:rPr>
        <w:t>Rechtsfähigkeit</w:t>
      </w:r>
    </w:p>
    <w:p w:rsidR="005D70F9" w:rsidRPr="005F15DA" w:rsidRDefault="00BC554F" w:rsidP="00BC554F">
      <w:pPr>
        <w:tabs>
          <w:tab w:val="left" w:pos="426"/>
          <w:tab w:val="left" w:pos="709"/>
        </w:tabs>
        <w:ind w:left="426"/>
      </w:pPr>
      <w:r w:rsidRPr="005F15DA">
        <w:rPr>
          <w:spacing w:val="-1"/>
        </w:rPr>
        <w:t>-</w:t>
      </w:r>
      <w:r w:rsidRPr="005F15DA">
        <w:rPr>
          <w:spacing w:val="-1"/>
        </w:rPr>
        <w:tab/>
      </w:r>
      <w:r w:rsidR="005D70F9" w:rsidRPr="005F15DA">
        <w:rPr>
          <w:spacing w:val="-1"/>
        </w:rPr>
        <w:t>Handlungsfähigkeit</w:t>
      </w:r>
    </w:p>
    <w:p w:rsidR="005D70F9" w:rsidRPr="005F15DA" w:rsidRDefault="00BC554F" w:rsidP="00BC554F">
      <w:pPr>
        <w:tabs>
          <w:tab w:val="left" w:pos="426"/>
        </w:tabs>
        <w:ind w:left="426" w:hanging="426"/>
      </w:pPr>
      <w:r w:rsidRPr="005F15DA">
        <w:rPr>
          <w:spacing w:val="-4"/>
        </w:rPr>
        <w:t>-</w:t>
      </w:r>
      <w:r w:rsidRPr="005F15DA">
        <w:rPr>
          <w:spacing w:val="-4"/>
        </w:rPr>
        <w:tab/>
      </w:r>
      <w:r w:rsidR="005D70F9" w:rsidRPr="005F15DA">
        <w:rPr>
          <w:spacing w:val="-4"/>
        </w:rPr>
        <w:t>Welche Prüfungspflichten treffen den Notar im Zusammenhang mit der Rechts- und Han</w:t>
      </w:r>
      <w:r w:rsidR="005D70F9" w:rsidRPr="005F15DA">
        <w:rPr>
          <w:spacing w:val="-4"/>
        </w:rPr>
        <w:t>d</w:t>
      </w:r>
      <w:r w:rsidR="005D70F9" w:rsidRPr="005F15DA">
        <w:rPr>
          <w:spacing w:val="-4"/>
        </w:rPr>
        <w:t>lungsfähigkeit?</w:t>
      </w:r>
    </w:p>
    <w:p w:rsidR="005D70F9" w:rsidRPr="005F15DA" w:rsidRDefault="005D70F9" w:rsidP="00BC554F">
      <w:pPr>
        <w:tabs>
          <w:tab w:val="left" w:pos="426"/>
        </w:tabs>
      </w:pPr>
      <w:r w:rsidRPr="005F15DA">
        <w:rPr>
          <w:spacing w:val="-2"/>
        </w:rPr>
        <w:t>-</w:t>
      </w:r>
      <w:r w:rsidRPr="005F15DA">
        <w:rPr>
          <w:spacing w:val="-2"/>
        </w:rPr>
        <w:tab/>
        <w:t>Welche Aufgaben erfüllt das Zivilstandswesen?</w:t>
      </w:r>
    </w:p>
    <w:p w:rsidR="004F29CE" w:rsidRDefault="004F29CE" w:rsidP="004F29CE">
      <w:pPr>
        <w:ind w:left="426"/>
      </w:pPr>
    </w:p>
    <w:p w:rsidR="00226CA4" w:rsidRPr="005F15DA" w:rsidRDefault="00226CA4" w:rsidP="004F29CE">
      <w:pPr>
        <w:ind w:left="426"/>
      </w:pPr>
    </w:p>
    <w:p w:rsidR="004F29CE" w:rsidRPr="005F15DA" w:rsidRDefault="004F29CE" w:rsidP="004F29CE">
      <w:pPr>
        <w:ind w:left="426"/>
      </w:pPr>
    </w:p>
    <w:p w:rsidR="005D70F9" w:rsidRPr="005F15DA" w:rsidRDefault="005D70F9" w:rsidP="005759BE">
      <w:pPr>
        <w:pStyle w:val="berschrift3"/>
        <w:rPr>
          <w:lang w:val="de-CH"/>
        </w:rPr>
      </w:pPr>
      <w:bookmarkStart w:id="21" w:name="_Toc432175549"/>
      <w:r w:rsidRPr="005F15DA">
        <w:rPr>
          <w:lang w:val="de-CH"/>
        </w:rPr>
        <w:t>A.</w:t>
      </w:r>
      <w:r w:rsidRPr="005F15DA">
        <w:rPr>
          <w:lang w:val="de-CH"/>
        </w:rPr>
        <w:tab/>
        <w:t>Rechtsfähigkeit und Handlungsfähigkeit natürlicher Personen</w:t>
      </w:r>
      <w:bookmarkEnd w:id="21"/>
    </w:p>
    <w:p w:rsidR="004F29CE" w:rsidRPr="005F15DA" w:rsidRDefault="004F29CE" w:rsidP="004F29CE">
      <w:pPr>
        <w:ind w:left="426"/>
      </w:pPr>
    </w:p>
    <w:p w:rsidR="005D70F9" w:rsidRPr="005F15DA" w:rsidRDefault="005D70F9" w:rsidP="004F29CE">
      <w:pPr>
        <w:pStyle w:val="berschrift4"/>
      </w:pPr>
      <w:r w:rsidRPr="005F15DA">
        <w:rPr>
          <w:spacing w:val="-22"/>
        </w:rPr>
        <w:t>1.</w:t>
      </w:r>
      <w:r w:rsidRPr="005F15DA">
        <w:tab/>
        <w:t>Rechtsfähigkeit (Art. 11 ZGB)</w:t>
      </w:r>
    </w:p>
    <w:p w:rsidR="005D70F9" w:rsidRPr="005F15DA" w:rsidRDefault="005D70F9" w:rsidP="00BC554F">
      <w:pPr>
        <w:ind w:left="426"/>
      </w:pPr>
      <w:r w:rsidRPr="005F15DA">
        <w:t>Alle Menschen sind, unabhängig von Alter, Geschlecht oder Rasse, rechtsfähig. Diese Rechtsfähigkeit beinhaltet die Fähigkeit, Träger von Rechten und Pflichten zu sein. D</w:t>
      </w:r>
      <w:r w:rsidRPr="005F15DA">
        <w:t>a</w:t>
      </w:r>
      <w:r w:rsidRPr="005F15DA">
        <w:t>rum spricht man in diesem Zusammenhang auch etwa von Rechtssubjekten. Dass alle Menschen rechtsfähig sind, war nicht immer selbstverständlich. Sklaven und Leibeigene früherer Zeiten besassen diese Fähigkeit nicht. Sie waren somit nicht Rechtssubjekte, sondern Rechtsobjekte. Unter Rechtsobjekten versteht man Gegenstände, über die man verfügt wie Immobilien, Autos, Tiere oder Einkommen.</w:t>
      </w:r>
    </w:p>
    <w:p w:rsidR="00BC554F" w:rsidRPr="005F15DA" w:rsidRDefault="00BC554F" w:rsidP="00BC554F">
      <w:pPr>
        <w:ind w:left="426"/>
      </w:pPr>
    </w:p>
    <w:p w:rsidR="005D70F9" w:rsidRPr="005F15DA" w:rsidRDefault="005D70F9" w:rsidP="00BC554F">
      <w:pPr>
        <w:ind w:left="426"/>
      </w:pPr>
      <w:r w:rsidRPr="005F15DA">
        <w:t xml:space="preserve">Die Rechtsfähigkeit beginnt mit der vollendeten Geburt und endet mit dem Tod. </w:t>
      </w:r>
    </w:p>
    <w:p w:rsidR="00BC554F" w:rsidRPr="005F15DA" w:rsidRDefault="00BC554F" w:rsidP="00BC554F">
      <w:pPr>
        <w:ind w:left="426"/>
      </w:pPr>
    </w:p>
    <w:p w:rsidR="005D70F9" w:rsidRPr="005F15DA" w:rsidRDefault="005D70F9" w:rsidP="00BC554F">
      <w:pPr>
        <w:ind w:left="426"/>
      </w:pPr>
      <w:r w:rsidRPr="005F15DA">
        <w:t>Unter Umständen besitzt auch das gezeugte, aber noch nicht geborene Kind die Recht</w:t>
      </w:r>
      <w:r w:rsidRPr="005F15DA">
        <w:t>s</w:t>
      </w:r>
      <w:r w:rsidRPr="005F15DA">
        <w:t>fähigkeit, allerdings unter dem Vorbehalt, dass es lebend geboren wird (Art. 31 ZGB). Das Gesetz denkt dabei vornehmlich an den Fall, dass ein ungeborenes Kind z.B. Erbe seines vor der Geburt verstorbenen Vaters werden kann.</w:t>
      </w:r>
    </w:p>
    <w:p w:rsidR="00BC554F" w:rsidRPr="005F15DA" w:rsidRDefault="00BC554F" w:rsidP="00BC554F">
      <w:pPr>
        <w:ind w:left="426"/>
      </w:pPr>
    </w:p>
    <w:p w:rsidR="005D70F9" w:rsidRPr="005F15DA" w:rsidRDefault="005D70F9" w:rsidP="00BC554F">
      <w:pPr>
        <w:ind w:left="426"/>
      </w:pPr>
      <w:r w:rsidRPr="005F15DA">
        <w:t>In zivilrechtlicher Hinsicht gilt ein Kind als lebend geboren, wenn es vollständig aus dem Mutterleib ausgetreten ist und Lebenszeichen (Atmung, Herzschlag) aufweist.</w:t>
      </w:r>
    </w:p>
    <w:p w:rsidR="004F29CE" w:rsidRPr="005F15DA" w:rsidRDefault="004F29CE" w:rsidP="00BC554F">
      <w:pPr>
        <w:ind w:left="426"/>
      </w:pPr>
    </w:p>
    <w:p w:rsidR="004F29CE" w:rsidRPr="005F15DA" w:rsidRDefault="004F29CE" w:rsidP="00226CA4"/>
    <w:p w:rsidR="005D70F9" w:rsidRPr="005F15DA" w:rsidRDefault="005D70F9" w:rsidP="004F29CE">
      <w:pPr>
        <w:pStyle w:val="berschrift4"/>
      </w:pPr>
      <w:r w:rsidRPr="005F15DA">
        <w:rPr>
          <w:spacing w:val="-11"/>
        </w:rPr>
        <w:t>2.</w:t>
      </w:r>
      <w:r w:rsidRPr="005F15DA">
        <w:tab/>
        <w:t>Handlungsfähigkeit (Art. 12 – 19 ZGB)</w:t>
      </w:r>
    </w:p>
    <w:p w:rsidR="005D70F9" w:rsidRPr="005F15DA" w:rsidRDefault="005D70F9" w:rsidP="00BC554F">
      <w:pPr>
        <w:ind w:left="426"/>
      </w:pPr>
      <w:r w:rsidRPr="005F15DA">
        <w:t>Unter der Handlungsfähigkeit versteht man die Fähigkeit, durch seine Handlungen, rech</w:t>
      </w:r>
      <w:r w:rsidRPr="005F15DA">
        <w:t>t</w:t>
      </w:r>
      <w:r w:rsidRPr="005F15DA">
        <w:t>liche Wirkungen zu erzielen. Dies bedeutet, dass so neue Rechte und Pflichten begrü</w:t>
      </w:r>
      <w:r w:rsidRPr="005F15DA">
        <w:t>n</w:t>
      </w:r>
      <w:r w:rsidRPr="005F15DA">
        <w:t>det, bestehende Rechte abgeändert oder aufgehoben werden können.</w:t>
      </w:r>
    </w:p>
    <w:p w:rsidR="00BC554F" w:rsidRPr="005F15DA" w:rsidRDefault="00BC554F" w:rsidP="00BC554F">
      <w:pPr>
        <w:ind w:left="426"/>
      </w:pPr>
    </w:p>
    <w:p w:rsidR="001019E0" w:rsidRPr="005F15DA" w:rsidRDefault="001019E0">
      <w:pPr>
        <w:spacing w:after="200"/>
      </w:pPr>
    </w:p>
    <w:p w:rsidR="005D70F9" w:rsidRPr="005F15DA" w:rsidRDefault="005D70F9" w:rsidP="00BC554F">
      <w:pPr>
        <w:ind w:left="426"/>
      </w:pPr>
      <w:r w:rsidRPr="005F15DA">
        <w:lastRenderedPageBreak/>
        <w:t>Die volle Handlungsfähigkeit besitzt, wer urteilsfähig</w:t>
      </w:r>
      <w:r w:rsidR="000D03D8">
        <w:t xml:space="preserve"> ist</w:t>
      </w:r>
      <w:r w:rsidRPr="005F15DA">
        <w:t xml:space="preserve"> und </w:t>
      </w:r>
      <w:r w:rsidR="000D03D8">
        <w:t>das 18. Lebensjahr zurüc</w:t>
      </w:r>
      <w:r w:rsidR="000D03D8">
        <w:t>k</w:t>
      </w:r>
      <w:r w:rsidR="000D03D8">
        <w:t>gelegt hat</w:t>
      </w:r>
      <w:r w:rsidRPr="005F15DA">
        <w:t>:</w:t>
      </w:r>
    </w:p>
    <w:p w:rsidR="005D70F9" w:rsidRPr="005F15DA" w:rsidRDefault="005D70F9" w:rsidP="005D70F9">
      <w:pPr>
        <w:spacing w:before="240"/>
        <w:ind w:left="425"/>
        <w:jc w:val="both"/>
        <w:rPr>
          <w:spacing w:val="-3"/>
          <w:szCs w:val="22"/>
        </w:rPr>
      </w:pPr>
      <w:r w:rsidRPr="005F15DA">
        <w:rPr>
          <w:noProof/>
          <w:spacing w:val="-3"/>
          <w:szCs w:val="22"/>
          <w:lang w:eastAsia="de-CH"/>
        </w:rPr>
        <mc:AlternateContent>
          <mc:Choice Requires="wps">
            <w:drawing>
              <wp:anchor distT="0" distB="0" distL="114300" distR="114300" simplePos="0" relativeHeight="251725824" behindDoc="0" locked="0" layoutInCell="1" allowOverlap="1" wp14:anchorId="0F855638" wp14:editId="094949C2">
                <wp:simplePos x="0" y="0"/>
                <wp:positionH relativeFrom="column">
                  <wp:posOffset>1271270</wp:posOffset>
                </wp:positionH>
                <wp:positionV relativeFrom="paragraph">
                  <wp:posOffset>197485</wp:posOffset>
                </wp:positionV>
                <wp:extent cx="3096260" cy="306705"/>
                <wp:effectExtent l="0" t="0" r="0" b="0"/>
                <wp:wrapNone/>
                <wp:docPr id="44" name="Rectangle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6260" cy="306705"/>
                        </a:xfrm>
                        <a:prstGeom prst="rect">
                          <a:avLst/>
                        </a:prstGeom>
                        <a:solidFill>
                          <a:srgbClr val="FFFFFF"/>
                        </a:solidFill>
                        <a:ln w="9525">
                          <a:solidFill>
                            <a:srgbClr val="000000"/>
                          </a:solidFill>
                          <a:miter lim="800000"/>
                          <a:headEnd/>
                          <a:tailEnd/>
                        </a:ln>
                      </wps:spPr>
                      <wps:txbx>
                        <w:txbxContent>
                          <w:p w:rsidR="007371BD" w:rsidRPr="00A97884" w:rsidRDefault="007371BD" w:rsidP="005D70F9">
                            <w:pPr>
                              <w:jc w:val="center"/>
                            </w:pPr>
                            <w:r>
                              <w:t>Voraussetzungen der Handlungsfähigkeit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9" o:spid="_x0000_s1038" style="position:absolute;left:0;text-align:left;margin-left:100.1pt;margin-top:15.55pt;width:243.8pt;height:24.1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">
                <v:textbox>
                  <w:txbxContent>
                    <w:p w:rsidR="007371BD" w:rsidRPr="00A97884" w:rsidRDefault="007371BD" w:rsidP="005D70F9">
                      <w:pPr>
                        <w:jc w:val="center"/>
                      </w:pPr>
                      <w:r>
                        <w:t>Voraussetzungen der Handlungsfähigkeit</w:t>
                      </w:r>
                    </w:p>
                  </w:txbxContent>
                </v:textbox>
              </v:rect>
            </w:pict>
          </mc:Fallback>
        </mc:AlternateContent>
      </w:r>
    </w:p>
    <w:p w:rsidR="005D70F9" w:rsidRPr="005F15DA" w:rsidRDefault="005D70F9" w:rsidP="005D70F9">
      <w:pPr>
        <w:spacing w:before="240"/>
        <w:ind w:left="425"/>
        <w:jc w:val="both"/>
        <w:rPr>
          <w:spacing w:val="-3"/>
          <w:szCs w:val="22"/>
        </w:rPr>
      </w:pPr>
      <w:r w:rsidRPr="005F15DA">
        <w:rPr>
          <w:noProof/>
          <w:spacing w:val="-3"/>
          <w:szCs w:val="22"/>
          <w:lang w:eastAsia="de-CH"/>
        </w:rPr>
        <mc:AlternateContent>
          <mc:Choice Requires="wps">
            <w:drawing>
              <wp:anchor distT="0" distB="0" distL="114300" distR="114300" simplePos="0" relativeHeight="251727872" behindDoc="0" locked="0" layoutInCell="1" allowOverlap="1" wp14:anchorId="5B9F5FC8" wp14:editId="0C2A605D">
                <wp:simplePos x="0" y="0"/>
                <wp:positionH relativeFrom="column">
                  <wp:posOffset>2005330</wp:posOffset>
                </wp:positionH>
                <wp:positionV relativeFrom="paragraph">
                  <wp:posOffset>226695</wp:posOffset>
                </wp:positionV>
                <wp:extent cx="685800" cy="228600"/>
                <wp:effectExtent l="0" t="0" r="0" b="0"/>
                <wp:wrapNone/>
                <wp:docPr id="43" name="Line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580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4" o:spid="_x0000_s1026" style="position:absolute;flip:x;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7.9pt,17.85pt" to="211.9pt,3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">
                <v:stroke endarrow="block"/>
              </v:line>
            </w:pict>
          </mc:Fallback>
        </mc:AlternateContent>
      </w:r>
      <w:r w:rsidRPr="005F15DA">
        <w:rPr>
          <w:noProof/>
          <w:spacing w:val="-3"/>
          <w:szCs w:val="22"/>
          <w:lang w:eastAsia="de-CH"/>
        </w:rPr>
        <mc:AlternateContent>
          <mc:Choice Requires="wps">
            <w:drawing>
              <wp:anchor distT="0" distB="0" distL="114300" distR="114300" simplePos="0" relativeHeight="251726848" behindDoc="0" locked="0" layoutInCell="1" allowOverlap="1" wp14:anchorId="50BF880E" wp14:editId="5ED36ABC">
                <wp:simplePos x="0" y="0"/>
                <wp:positionH relativeFrom="column">
                  <wp:posOffset>2797175</wp:posOffset>
                </wp:positionH>
                <wp:positionV relativeFrom="paragraph">
                  <wp:posOffset>226695</wp:posOffset>
                </wp:positionV>
                <wp:extent cx="762000" cy="228600"/>
                <wp:effectExtent l="0" t="0" r="0" b="0"/>
                <wp:wrapNone/>
                <wp:docPr id="42" name="Line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0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3" o:spid="_x0000_s1026" style="position:absolute;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25pt,17.85pt" to="280.25pt,3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">
                <v:stroke endarrow="block"/>
              </v:line>
            </w:pict>
          </mc:Fallback>
        </mc:AlternateContent>
      </w:r>
    </w:p>
    <w:p w:rsidR="005D70F9" w:rsidRPr="005F15DA" w:rsidRDefault="00BC554F" w:rsidP="005D70F9">
      <w:pPr>
        <w:tabs>
          <w:tab w:val="left" w:pos="6158"/>
        </w:tabs>
        <w:spacing w:before="120"/>
        <w:ind w:left="425"/>
        <w:jc w:val="both"/>
        <w:rPr>
          <w:spacing w:val="-3"/>
          <w:szCs w:val="22"/>
        </w:rPr>
      </w:pPr>
      <w:r w:rsidRPr="005F15DA">
        <w:rPr>
          <w:noProof/>
          <w:spacing w:val="-3"/>
          <w:szCs w:val="22"/>
          <w:lang w:eastAsia="de-CH"/>
        </w:rPr>
        <mc:AlternateContent>
          <mc:Choice Requires="wps">
            <w:drawing>
              <wp:anchor distT="0" distB="0" distL="114300" distR="114300" simplePos="0" relativeHeight="251724800" behindDoc="0" locked="0" layoutInCell="1" allowOverlap="1" wp14:anchorId="6FB28C7B" wp14:editId="2FC430E3">
                <wp:simplePos x="0" y="0"/>
                <wp:positionH relativeFrom="column">
                  <wp:posOffset>357062</wp:posOffset>
                </wp:positionH>
                <wp:positionV relativeFrom="paragraph">
                  <wp:posOffset>187857</wp:posOffset>
                </wp:positionV>
                <wp:extent cx="2286000" cy="620395"/>
                <wp:effectExtent l="0" t="0" r="19050" b="27305"/>
                <wp:wrapNone/>
                <wp:docPr id="40" name="Rectangle 2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620395"/>
                        </a:xfrm>
                        <a:prstGeom prst="rect">
                          <a:avLst/>
                        </a:prstGeom>
                        <a:solidFill>
                          <a:srgbClr val="FFFFFF"/>
                        </a:solidFill>
                        <a:ln w="9525">
                          <a:solidFill>
                            <a:srgbClr val="000000"/>
                          </a:solidFill>
                          <a:miter lim="800000"/>
                          <a:headEnd/>
                          <a:tailEnd/>
                        </a:ln>
                      </wps:spPr>
                      <wps:txbx>
                        <w:txbxContent>
                          <w:p w:rsidR="007371BD" w:rsidRPr="00A97884" w:rsidRDefault="007371BD" w:rsidP="005D70F9">
                            <w:r>
                              <w:t>Zurücklegung des 18. Leben</w:t>
                            </w:r>
                            <w:r>
                              <w:t>s</w:t>
                            </w:r>
                            <w:r>
                              <w:t>jahrs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8" o:spid="_x0000_s1039" style="position:absolute;left:0;text-align:left;margin-left:28.1pt;margin-top:14.8pt;width:180pt;height:48.8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">
                <v:textbox>
                  <w:txbxContent>
                    <w:p w:rsidR="007371BD" w:rsidRPr="00A97884" w:rsidRDefault="007371BD" w:rsidP="005D70F9">
                      <w:r>
                        <w:t>Zurücklegung des 18. Leben</w:t>
                      </w:r>
                      <w:r>
                        <w:t>s</w:t>
                      </w:r>
                      <w:r>
                        <w:t>jahrs</w:t>
                      </w:r>
                    </w:p>
                  </w:txbxContent>
                </v:textbox>
              </v:rect>
            </w:pict>
          </mc:Fallback>
        </mc:AlternateContent>
      </w:r>
      <w:r w:rsidR="005D70F9" w:rsidRPr="005F15DA">
        <w:rPr>
          <w:noProof/>
          <w:spacing w:val="-3"/>
          <w:szCs w:val="22"/>
          <w:lang w:eastAsia="de-CH"/>
        </w:rPr>
        <mc:AlternateContent>
          <mc:Choice Requires="wps">
            <w:drawing>
              <wp:anchor distT="0" distB="0" distL="114300" distR="114300" simplePos="0" relativeHeight="251723776" behindDoc="0" locked="0" layoutInCell="1" allowOverlap="1" wp14:anchorId="14944504" wp14:editId="1728680C">
                <wp:simplePos x="0" y="0"/>
                <wp:positionH relativeFrom="column">
                  <wp:posOffset>3061985</wp:posOffset>
                </wp:positionH>
                <wp:positionV relativeFrom="paragraph">
                  <wp:posOffset>187856</wp:posOffset>
                </wp:positionV>
                <wp:extent cx="2286000" cy="620941"/>
                <wp:effectExtent l="0" t="0" r="19050" b="27305"/>
                <wp:wrapNone/>
                <wp:docPr id="41" name="Rectangle 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620941"/>
                        </a:xfrm>
                        <a:prstGeom prst="rect">
                          <a:avLst/>
                        </a:prstGeom>
                        <a:solidFill>
                          <a:srgbClr val="FFFFFF"/>
                        </a:solidFill>
                        <a:ln w="9525">
                          <a:solidFill>
                            <a:srgbClr val="000000"/>
                          </a:solidFill>
                          <a:miter lim="800000"/>
                          <a:headEnd/>
                          <a:tailEnd/>
                        </a:ln>
                      </wps:spPr>
                      <wps:txbx>
                        <w:txbxContent>
                          <w:p w:rsidR="007371BD" w:rsidRDefault="007371BD" w:rsidP="005D70F9">
                            <w:r>
                              <w:t>Urteilsfähigkeit</w:t>
                            </w:r>
                          </w:p>
                          <w:p w:rsidR="007371BD" w:rsidRPr="00A97884" w:rsidRDefault="007371BD" w:rsidP="005D70F9">
                            <w:r>
                              <w:t>Urteilsfähig ist, wer fähig ist, ve</w:t>
                            </w:r>
                            <w:r>
                              <w:t>r</w:t>
                            </w:r>
                            <w:r>
                              <w:t>nunftgemäss zu handeln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7" o:spid="_x0000_s1040" style="position:absolute;left:0;text-align:left;margin-left:241.1pt;margin-top:14.8pt;width:180pt;height:48.9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">
                <v:textbox>
                  <w:txbxContent>
                    <w:p w:rsidR="007371BD" w:rsidRDefault="007371BD" w:rsidP="005D70F9">
                      <w:r>
                        <w:t>Urteilsfähigkeit</w:t>
                      </w:r>
                    </w:p>
                    <w:p w:rsidR="007371BD" w:rsidRPr="00A97884" w:rsidRDefault="007371BD" w:rsidP="005D70F9">
                      <w:r>
                        <w:t>Urteilsfähig ist, wer fähig ist, ve</w:t>
                      </w:r>
                      <w:r>
                        <w:t>r</w:t>
                      </w:r>
                      <w:r>
                        <w:t>nunftgemäss zu handeln</w:t>
                      </w:r>
                    </w:p>
                  </w:txbxContent>
                </v:textbox>
              </v:rect>
            </w:pict>
          </mc:Fallback>
        </mc:AlternateContent>
      </w:r>
    </w:p>
    <w:p w:rsidR="005D70F9" w:rsidRPr="005F15DA" w:rsidRDefault="005D70F9" w:rsidP="005D70F9">
      <w:pPr>
        <w:tabs>
          <w:tab w:val="left" w:pos="6158"/>
        </w:tabs>
        <w:spacing w:before="120"/>
        <w:ind w:left="425"/>
        <w:jc w:val="both"/>
        <w:rPr>
          <w:spacing w:val="-3"/>
          <w:szCs w:val="22"/>
        </w:rPr>
      </w:pPr>
    </w:p>
    <w:p w:rsidR="00F001AD" w:rsidRPr="005F15DA" w:rsidRDefault="00F001AD" w:rsidP="005D70F9">
      <w:pPr>
        <w:ind w:left="425"/>
        <w:jc w:val="both"/>
        <w:rPr>
          <w:spacing w:val="-2"/>
          <w:szCs w:val="22"/>
        </w:rPr>
      </w:pPr>
    </w:p>
    <w:p w:rsidR="00BC554F" w:rsidRPr="005F15DA" w:rsidRDefault="00BC554F" w:rsidP="005D70F9">
      <w:pPr>
        <w:ind w:left="425"/>
        <w:jc w:val="both"/>
        <w:rPr>
          <w:spacing w:val="-2"/>
          <w:szCs w:val="22"/>
        </w:rPr>
      </w:pPr>
    </w:p>
    <w:p w:rsidR="00BC554F" w:rsidRPr="005F15DA" w:rsidRDefault="00BC554F" w:rsidP="005D70F9">
      <w:pPr>
        <w:ind w:left="425"/>
        <w:jc w:val="both"/>
        <w:rPr>
          <w:spacing w:val="-2"/>
          <w:szCs w:val="22"/>
        </w:rPr>
      </w:pPr>
    </w:p>
    <w:p w:rsidR="005D70F9" w:rsidRPr="005F15DA" w:rsidRDefault="005D70F9" w:rsidP="00BC554F">
      <w:pPr>
        <w:ind w:left="426"/>
      </w:pPr>
      <w:r w:rsidRPr="005F15DA">
        <w:t>Urteilsfähig ist jeder, dem nicht wegen seines Kindesalters oder infolge von Geiste</w:t>
      </w:r>
      <w:r w:rsidRPr="005F15DA">
        <w:t>s</w:t>
      </w:r>
      <w:r w:rsidRPr="005F15DA">
        <w:t>krankheit, Geistesschwäche, Trunkenheit oder ähnlichen Zuständen die Fähigkeit ma</w:t>
      </w:r>
      <w:r w:rsidRPr="005F15DA">
        <w:t>n</w:t>
      </w:r>
      <w:r w:rsidRPr="005F15DA">
        <w:t>gelt, vernunftgemäss zu handeln. Die genannten „Zustände“ und die daraus fliessende Unfähigkeit, vernunftgemäss zu handeln, müssen kumulativ gegeben sein; so kann z.B. eine geisteskranke Person bei einer Regression der Krankheit durchaus wieder vorübe</w:t>
      </w:r>
      <w:r w:rsidRPr="005F15DA">
        <w:t>r</w:t>
      </w:r>
      <w:r w:rsidRPr="005F15DA">
        <w:t>gehend handlungsfähig werden.</w:t>
      </w:r>
    </w:p>
    <w:p w:rsidR="00BC554F" w:rsidRPr="005F15DA" w:rsidRDefault="00BC554F" w:rsidP="00BC554F">
      <w:pPr>
        <w:ind w:left="426"/>
      </w:pPr>
    </w:p>
    <w:p w:rsidR="005D70F9" w:rsidRPr="005F15DA" w:rsidRDefault="005D70F9" w:rsidP="00BC554F">
      <w:pPr>
        <w:ind w:left="426"/>
      </w:pPr>
      <w:r w:rsidRPr="005F15DA">
        <w:t xml:space="preserve">Fehlt die Urteilsfähigkeit oder </w:t>
      </w:r>
      <w:r w:rsidR="000D03D8">
        <w:t>hat</w:t>
      </w:r>
      <w:r w:rsidRPr="005F15DA">
        <w:t xml:space="preserve"> eine Person noch nicht </w:t>
      </w:r>
      <w:r w:rsidR="000D03D8">
        <w:t>das 18. Lebensjahr zurückg</w:t>
      </w:r>
      <w:r w:rsidR="000D03D8">
        <w:t>e</w:t>
      </w:r>
      <w:r w:rsidR="000D03D8">
        <w:t>legt</w:t>
      </w:r>
      <w:r w:rsidRPr="005F15DA">
        <w:t xml:space="preserve"> oder </w:t>
      </w:r>
      <w:r w:rsidR="000D03D8">
        <w:t>steht sie unter umfassender Beistandschaft</w:t>
      </w:r>
      <w:r w:rsidR="00976655" w:rsidRPr="005F15DA">
        <w:t xml:space="preserve"> (Erwachsenenschutz)</w:t>
      </w:r>
      <w:r w:rsidRPr="005F15DA">
        <w:t>, so ist sie handlungsunfähig, d.h. sie kann mit ihrem eigenen Handeln keine Rechte und Pflichten begründen, ausser es liegt eine gesetzliche Ausnahme vor.</w:t>
      </w:r>
    </w:p>
    <w:p w:rsidR="00BC554F" w:rsidRPr="005F15DA" w:rsidRDefault="00BC554F" w:rsidP="00BC554F">
      <w:pPr>
        <w:ind w:left="426"/>
      </w:pPr>
    </w:p>
    <w:p w:rsidR="005D70F9" w:rsidRPr="005F15DA" w:rsidRDefault="005D70F9" w:rsidP="00BC554F">
      <w:pPr>
        <w:ind w:left="426"/>
      </w:pPr>
      <w:r w:rsidRPr="005F15DA">
        <w:t>Urteilsfähige</w:t>
      </w:r>
      <w:r w:rsidR="000D03D8">
        <w:t xml:space="preserve"> Personen</w:t>
      </w:r>
      <w:r w:rsidRPr="005F15DA">
        <w:t xml:space="preserve">, </w:t>
      </w:r>
      <w:r w:rsidR="000D03D8">
        <w:t>die jedoch das 18. Lebensjahr noch nicht zurückgelegt haben oder unter umfassender Beistandschaft stehen</w:t>
      </w:r>
      <w:r w:rsidRPr="005F15DA">
        <w:t xml:space="preserve"> können sich grundsätzlich nur mit Z</w:t>
      </w:r>
      <w:r w:rsidRPr="005F15DA">
        <w:t>u</w:t>
      </w:r>
      <w:r w:rsidRPr="005F15DA">
        <w:t xml:space="preserve">stimmung ihres gesetzlichen Vertreters (Eltern oder </w:t>
      </w:r>
      <w:r w:rsidR="00976655" w:rsidRPr="005F15DA">
        <w:t>Beistand</w:t>
      </w:r>
      <w:r w:rsidRPr="005F15DA">
        <w:t>) verpflichten. Man spricht dann von der beschränkten Handlungsunfähigkeit. Ohne diese Zustimmung können sie Vorteile erlangen, die unentgeltlich sind (z.B. Schenkungen) und Rechte ausüben, die ihnen um ihrer Persönlichkeit willen zustehen, sogenannte höchstpersönliche Rechte.</w:t>
      </w:r>
    </w:p>
    <w:p w:rsidR="004F29CE" w:rsidRPr="005F15DA" w:rsidRDefault="004F29CE" w:rsidP="004F29CE">
      <w:pPr>
        <w:ind w:left="426"/>
      </w:pPr>
    </w:p>
    <w:p w:rsidR="00BC554F" w:rsidRPr="005F15DA" w:rsidRDefault="00BC554F" w:rsidP="004F29CE">
      <w:pPr>
        <w:ind w:left="426"/>
      </w:pPr>
    </w:p>
    <w:p w:rsidR="004F29CE" w:rsidRPr="005F15DA" w:rsidRDefault="004F29CE" w:rsidP="004F29CE">
      <w:pPr>
        <w:ind w:left="426"/>
      </w:pPr>
    </w:p>
    <w:p w:rsidR="005D70F9" w:rsidRPr="005F15DA" w:rsidRDefault="005D70F9" w:rsidP="005759BE">
      <w:pPr>
        <w:pStyle w:val="berschrift3"/>
        <w:rPr>
          <w:lang w:val="de-CH"/>
        </w:rPr>
      </w:pPr>
      <w:bookmarkStart w:id="22" w:name="_Toc432175550"/>
      <w:r w:rsidRPr="005F15DA">
        <w:rPr>
          <w:spacing w:val="-24"/>
          <w:lang w:val="de-CH"/>
        </w:rPr>
        <w:t>B.</w:t>
      </w:r>
      <w:r w:rsidRPr="005F15DA">
        <w:rPr>
          <w:lang w:val="de-CH"/>
        </w:rPr>
        <w:tab/>
        <w:t>Prüfungspflicht des Notars</w:t>
      </w:r>
      <w:bookmarkEnd w:id="22"/>
    </w:p>
    <w:p w:rsidR="00226CA4" w:rsidRDefault="00226CA4" w:rsidP="00BC554F"/>
    <w:p w:rsidR="005D70F9" w:rsidRPr="005F15DA" w:rsidRDefault="005D70F9" w:rsidP="00BC554F">
      <w:r w:rsidRPr="005F15DA">
        <w:t>Die notariatsrechtlichen Gesetzesbestimmungen verpflichten den bernischen Notar, bei ö</w:t>
      </w:r>
      <w:r w:rsidRPr="005F15DA">
        <w:t>f</w:t>
      </w:r>
      <w:r w:rsidRPr="005F15DA">
        <w:t>fentlichen Beurkundungen die Handlungsfähigkeit der Urkundsparteien zu prüfen. Die U</w:t>
      </w:r>
      <w:r w:rsidRPr="005F15DA">
        <w:t>r</w:t>
      </w:r>
      <w:r w:rsidRPr="005F15DA">
        <w:t xml:space="preserve">kundspartei muss also im Zeitpunkt der </w:t>
      </w:r>
      <w:r w:rsidR="002C3802" w:rsidRPr="005F15DA">
        <w:t>Beurkundung</w:t>
      </w:r>
      <w:r w:rsidR="00D94CDF">
        <w:t xml:space="preserve"> grundsätzlich das 18. Lebensjahr z</w:t>
      </w:r>
      <w:r w:rsidR="00D94CDF">
        <w:t>u</w:t>
      </w:r>
      <w:r w:rsidR="00D94CDF">
        <w:t>rückgelegt haben</w:t>
      </w:r>
      <w:r w:rsidRPr="005F15DA">
        <w:t xml:space="preserve"> und urteilsfähig sein.</w:t>
      </w:r>
    </w:p>
    <w:p w:rsidR="004F29CE" w:rsidRPr="005F15DA" w:rsidRDefault="004F29CE" w:rsidP="00BC554F"/>
    <w:p w:rsidR="004F29CE" w:rsidRPr="005F15DA" w:rsidRDefault="004F29CE" w:rsidP="00BC554F"/>
    <w:p w:rsidR="005D70F9" w:rsidRPr="005F15DA" w:rsidRDefault="005D70F9" w:rsidP="005759BE">
      <w:pPr>
        <w:pStyle w:val="berschrift3"/>
        <w:rPr>
          <w:lang w:val="de-CH"/>
        </w:rPr>
      </w:pPr>
      <w:bookmarkStart w:id="23" w:name="_Toc432175551"/>
      <w:r w:rsidRPr="005F15DA">
        <w:rPr>
          <w:spacing w:val="-19"/>
          <w:lang w:val="de-CH"/>
        </w:rPr>
        <w:t>C.</w:t>
      </w:r>
      <w:r w:rsidRPr="005F15DA">
        <w:rPr>
          <w:lang w:val="de-CH"/>
        </w:rPr>
        <w:tab/>
        <w:t>Zivilstandswesen (Art. 39 ff ZGB, Zivilstandsverordnung)</w:t>
      </w:r>
      <w:bookmarkEnd w:id="23"/>
    </w:p>
    <w:p w:rsidR="00226CA4" w:rsidRDefault="00226CA4" w:rsidP="00BC554F">
      <w:pPr>
        <w:tabs>
          <w:tab w:val="left" w:pos="426"/>
        </w:tabs>
      </w:pPr>
    </w:p>
    <w:p w:rsidR="005D70F9" w:rsidRPr="005F15DA" w:rsidRDefault="005D70F9" w:rsidP="00BC554F">
      <w:pPr>
        <w:tabs>
          <w:tab w:val="left" w:pos="426"/>
        </w:tabs>
      </w:pPr>
      <w:r w:rsidRPr="005F15DA">
        <w:t>Von den persönlichen Verhältnissen des Menschen (Geburt, Heirat, Tod, Abstammung, N</w:t>
      </w:r>
      <w:r w:rsidRPr="005F15DA">
        <w:t>a</w:t>
      </w:r>
      <w:r w:rsidRPr="005F15DA">
        <w:t>me, Kantons- und Gemeindebürgerrechte, Staatsangehörigkeit) hängen verschiedene rechtl</w:t>
      </w:r>
      <w:r w:rsidRPr="005F15DA">
        <w:t>i</w:t>
      </w:r>
      <w:r w:rsidRPr="005F15DA">
        <w:t>che Fähigkeiten ab. Deshalb werden diese von Amtes wegen in öffentlichen Registern fes</w:t>
      </w:r>
      <w:r w:rsidRPr="005F15DA">
        <w:t>t</w:t>
      </w:r>
      <w:r w:rsidRPr="005F15DA">
        <w:lastRenderedPageBreak/>
        <w:t>gehalten. Das Zivilstandswesen ist ebenfalls vom Bundesrecht her vorgegeben, die Organis</w:t>
      </w:r>
      <w:r w:rsidRPr="005F15DA">
        <w:t>a</w:t>
      </w:r>
      <w:r w:rsidRPr="005F15DA">
        <w:t>tion obliegt den Kantonen.</w:t>
      </w:r>
    </w:p>
    <w:p w:rsidR="00BC554F" w:rsidRPr="005F15DA" w:rsidRDefault="00BC554F" w:rsidP="00BC554F">
      <w:pPr>
        <w:tabs>
          <w:tab w:val="left" w:pos="426"/>
        </w:tabs>
      </w:pPr>
    </w:p>
    <w:p w:rsidR="005D70F9" w:rsidRPr="005F15DA" w:rsidRDefault="005D70F9" w:rsidP="00BC554F">
      <w:pPr>
        <w:tabs>
          <w:tab w:val="left" w:pos="426"/>
        </w:tabs>
      </w:pPr>
      <w:r w:rsidRPr="005F15DA">
        <w:t>Der zuständige kantonale Zivilstandsbeamte führte bis Ende 2004 folgende Register:</w:t>
      </w:r>
    </w:p>
    <w:p w:rsidR="005D70F9" w:rsidRPr="005F15DA" w:rsidRDefault="005D70F9" w:rsidP="00BC554F">
      <w:pPr>
        <w:tabs>
          <w:tab w:val="left" w:pos="426"/>
        </w:tabs>
        <w:ind w:left="426" w:hanging="426"/>
      </w:pPr>
      <w:r w:rsidRPr="005F15DA">
        <w:t>-</w:t>
      </w:r>
      <w:r w:rsidRPr="005F15DA">
        <w:tab/>
        <w:t>Geburtsregister (Eintragung von Geburtszeit, Geburtsort, Geschlecht, Name und A</w:t>
      </w:r>
      <w:r w:rsidRPr="005F15DA">
        <w:t>b</w:t>
      </w:r>
      <w:r w:rsidRPr="005F15DA">
        <w:t>stammung)</w:t>
      </w:r>
    </w:p>
    <w:p w:rsidR="005D70F9" w:rsidRPr="005F15DA" w:rsidRDefault="005D70F9" w:rsidP="00BC554F">
      <w:pPr>
        <w:tabs>
          <w:tab w:val="left" w:pos="426"/>
        </w:tabs>
      </w:pPr>
      <w:r w:rsidRPr="005F15DA">
        <w:t>-</w:t>
      </w:r>
      <w:r w:rsidRPr="005F15DA">
        <w:tab/>
        <w:t>Todesregister (Eintragung von Zeitpunkt und Ort des Todes)</w:t>
      </w:r>
    </w:p>
    <w:p w:rsidR="005D70F9" w:rsidRPr="005F15DA" w:rsidRDefault="005D70F9" w:rsidP="00BC554F">
      <w:pPr>
        <w:tabs>
          <w:tab w:val="left" w:pos="426"/>
        </w:tabs>
      </w:pPr>
      <w:r w:rsidRPr="005F15DA">
        <w:t>-</w:t>
      </w:r>
      <w:r w:rsidRPr="005F15DA">
        <w:tab/>
        <w:t>Eheregister (Eintragung jeder Trauung)</w:t>
      </w:r>
    </w:p>
    <w:p w:rsidR="005D70F9" w:rsidRPr="005F15DA" w:rsidRDefault="005D70F9" w:rsidP="00BC554F">
      <w:pPr>
        <w:tabs>
          <w:tab w:val="left" w:pos="426"/>
        </w:tabs>
        <w:ind w:left="426" w:hanging="426"/>
      </w:pPr>
      <w:r w:rsidRPr="005F15DA">
        <w:t>-</w:t>
      </w:r>
      <w:r w:rsidRPr="005F15DA">
        <w:tab/>
        <w:t>Anerkennungsregister (Eintragung der Anerkennung eines ausserehelichen Kindes durch den Vater)</w:t>
      </w:r>
    </w:p>
    <w:p w:rsidR="005D70F9" w:rsidRPr="005F15DA" w:rsidRDefault="005D70F9" w:rsidP="00BC554F">
      <w:pPr>
        <w:tabs>
          <w:tab w:val="left" w:pos="426"/>
        </w:tabs>
        <w:ind w:left="426" w:hanging="426"/>
      </w:pPr>
      <w:r w:rsidRPr="005F15DA">
        <w:t>-</w:t>
      </w:r>
      <w:r w:rsidRPr="005F15DA">
        <w:tab/>
        <w:t>Familienregister (Eintragung der Familienverhältnisse am gemeinsamen Bürgerort als Gesamtregister = Zusammenfassung der Einzelregister)</w:t>
      </w:r>
    </w:p>
    <w:p w:rsidR="00BC554F" w:rsidRPr="005F15DA" w:rsidRDefault="00BC554F" w:rsidP="00BC554F">
      <w:pPr>
        <w:tabs>
          <w:tab w:val="left" w:pos="426"/>
        </w:tabs>
      </w:pPr>
    </w:p>
    <w:p w:rsidR="005D70F9" w:rsidRPr="005F15DA" w:rsidRDefault="005D70F9" w:rsidP="00BC554F">
      <w:pPr>
        <w:tabs>
          <w:tab w:val="left" w:pos="426"/>
        </w:tabs>
      </w:pPr>
      <w:r w:rsidRPr="005F15DA">
        <w:t>Ab 2005 wird ein einheitliches elektronisches Personenstandsregister geführt.</w:t>
      </w:r>
    </w:p>
    <w:p w:rsidR="00BC554F" w:rsidRPr="005F15DA" w:rsidRDefault="00BC554F" w:rsidP="00BC554F">
      <w:pPr>
        <w:tabs>
          <w:tab w:val="left" w:pos="426"/>
        </w:tabs>
      </w:pPr>
    </w:p>
    <w:p w:rsidR="005D70F9" w:rsidRPr="005F15DA" w:rsidRDefault="005D70F9" w:rsidP="00BC554F">
      <w:pPr>
        <w:tabs>
          <w:tab w:val="left" w:pos="426"/>
        </w:tabs>
      </w:pPr>
      <w:r w:rsidRPr="005F15DA">
        <w:t>Die Registereintragungen dienen der Beweissicherung. Auszüge sind öffentliche Urkunden und besitzen demnach volle Beweiskraft. Sie gelten als richtig, solange nicht das Gegenteil bewiesen ist. Eine Berichtigung der Eintragungen darf nur bei offenbarem Versehen oder Ir</w:t>
      </w:r>
      <w:r w:rsidRPr="005F15DA">
        <w:t>r</w:t>
      </w:r>
      <w:r w:rsidRPr="005F15DA">
        <w:t>tum auf Anweisung der kantonalen Aufsichtsbehörde vorgenommen werden. In allen anderen Fällen braucht es eine richterliche Verfügung.</w:t>
      </w:r>
    </w:p>
    <w:p w:rsidR="00BC554F" w:rsidRPr="005F15DA" w:rsidRDefault="00BC554F" w:rsidP="00BC554F">
      <w:pPr>
        <w:tabs>
          <w:tab w:val="left" w:pos="426"/>
        </w:tabs>
      </w:pPr>
    </w:p>
    <w:p w:rsidR="005D70F9" w:rsidRPr="005F15DA" w:rsidRDefault="005D70F9" w:rsidP="00BC554F">
      <w:pPr>
        <w:tabs>
          <w:tab w:val="left" w:pos="426"/>
        </w:tabs>
      </w:pPr>
      <w:r w:rsidRPr="005F15DA">
        <w:t>Die einzelnen Register sind der Öffentlichkeit nicht zugänglich. Die Privaten erhalten lediglich Auszüge. Die bekanntesten sind der Familienschein und der Ausweis über den registrierten Familienstand (siehe Aufsatz BN 2009 Seiten 69 ff.).</w:t>
      </w:r>
    </w:p>
    <w:p w:rsidR="00BC554F" w:rsidRPr="005F15DA" w:rsidRDefault="00BC554F" w:rsidP="00BC554F">
      <w:pPr>
        <w:tabs>
          <w:tab w:val="left" w:pos="426"/>
        </w:tabs>
      </w:pPr>
    </w:p>
    <w:p w:rsidR="00561ABB" w:rsidRPr="005F15DA" w:rsidRDefault="00561ABB" w:rsidP="00BC554F">
      <w:pPr>
        <w:tabs>
          <w:tab w:val="left" w:pos="426"/>
        </w:tabs>
      </w:pPr>
    </w:p>
    <w:p w:rsidR="00BC554F" w:rsidRPr="005F15DA" w:rsidRDefault="00BC554F" w:rsidP="00BC554F">
      <w:pPr>
        <w:tabs>
          <w:tab w:val="left" w:pos="426"/>
        </w:tabs>
      </w:pPr>
    </w:p>
    <w:p w:rsidR="00BC554F" w:rsidRPr="005F15DA" w:rsidRDefault="00BC554F" w:rsidP="00BC554F">
      <w:pPr>
        <w:tabs>
          <w:tab w:val="left" w:pos="426"/>
        </w:tabs>
      </w:pPr>
    </w:p>
    <w:p w:rsidR="005D70F9" w:rsidRPr="005F15DA" w:rsidRDefault="005D70F9" w:rsidP="00E36E8F">
      <w:pPr>
        <w:pStyle w:val="berschrift2"/>
      </w:pPr>
      <w:bookmarkStart w:id="24" w:name="_Toc432175552"/>
      <w:r w:rsidRPr="005F15DA">
        <w:t>II. Juristische Personen und Handelsregister</w:t>
      </w:r>
      <w:bookmarkEnd w:id="24"/>
    </w:p>
    <w:p w:rsidR="00B11D0F" w:rsidRPr="005F15DA" w:rsidRDefault="00B11D0F" w:rsidP="00226CA4">
      <w:r w:rsidRPr="005F15DA">
        <w:t>____________________________________</w:t>
      </w:r>
      <w:r w:rsidR="00BC554F" w:rsidRPr="005F15DA">
        <w:t>________</w:t>
      </w:r>
      <w:r w:rsidR="00226CA4">
        <w:t>____________</w:t>
      </w:r>
    </w:p>
    <w:p w:rsidR="004F29CE" w:rsidRPr="005F15DA" w:rsidRDefault="004F29CE" w:rsidP="00BC554F"/>
    <w:p w:rsidR="004F29CE" w:rsidRPr="005F15DA" w:rsidRDefault="004F29CE" w:rsidP="00BC554F"/>
    <w:p w:rsidR="005D70F9" w:rsidRPr="005F15DA" w:rsidRDefault="005D70F9" w:rsidP="009D34F3">
      <w:pPr>
        <w:pStyle w:val="Listenabsatz"/>
        <w:numPr>
          <w:ilvl w:val="0"/>
          <w:numId w:val="44"/>
        </w:numPr>
        <w:ind w:left="426" w:hanging="426"/>
      </w:pPr>
      <w:r w:rsidRPr="005F15DA">
        <w:t>Was bedeutet der Begriff «juristische Person»?</w:t>
      </w:r>
    </w:p>
    <w:p w:rsidR="005D70F9" w:rsidRPr="005F15DA" w:rsidRDefault="005D70F9" w:rsidP="009D34F3">
      <w:pPr>
        <w:pStyle w:val="Listenabsatz"/>
        <w:numPr>
          <w:ilvl w:val="0"/>
          <w:numId w:val="44"/>
        </w:numPr>
        <w:ind w:left="426" w:hanging="426"/>
      </w:pPr>
      <w:r w:rsidRPr="005F15DA">
        <w:rPr>
          <w:spacing w:val="-3"/>
        </w:rPr>
        <w:t>Welche Rechtsfähigkeit und Handlungsfähigkeit besitzt sie?</w:t>
      </w:r>
    </w:p>
    <w:p w:rsidR="005D70F9" w:rsidRPr="005F15DA" w:rsidRDefault="005D70F9" w:rsidP="009D34F3">
      <w:pPr>
        <w:pStyle w:val="Listenabsatz"/>
        <w:numPr>
          <w:ilvl w:val="0"/>
          <w:numId w:val="44"/>
        </w:numPr>
        <w:ind w:left="426" w:hanging="426"/>
      </w:pPr>
      <w:r w:rsidRPr="005F15DA">
        <w:t>Was ist das Handelsregister?</w:t>
      </w:r>
    </w:p>
    <w:p w:rsidR="004F29CE" w:rsidRPr="005F15DA" w:rsidRDefault="004F29CE" w:rsidP="00BC554F"/>
    <w:p w:rsidR="004F29CE" w:rsidRPr="005F15DA" w:rsidRDefault="004F29CE" w:rsidP="00BC554F"/>
    <w:p w:rsidR="005D70F9" w:rsidRPr="005F15DA" w:rsidRDefault="005B0AC0" w:rsidP="005759BE">
      <w:pPr>
        <w:pStyle w:val="berschrift3"/>
        <w:rPr>
          <w:lang w:val="de-CH"/>
        </w:rPr>
      </w:pPr>
      <w:bookmarkStart w:id="25" w:name="_Toc432175553"/>
      <w:r w:rsidRPr="005F15DA">
        <w:rPr>
          <w:lang w:val="de-CH"/>
        </w:rPr>
        <w:t>A.</w:t>
      </w:r>
      <w:r w:rsidRPr="005F15DA">
        <w:rPr>
          <w:lang w:val="de-CH"/>
        </w:rPr>
        <w:tab/>
      </w:r>
      <w:r w:rsidR="005D70F9" w:rsidRPr="005F15DA">
        <w:rPr>
          <w:lang w:val="de-CH"/>
        </w:rPr>
        <w:t>Juristische Personen</w:t>
      </w:r>
      <w:bookmarkEnd w:id="25"/>
    </w:p>
    <w:p w:rsidR="004F29CE" w:rsidRPr="005F15DA" w:rsidRDefault="004F29CE" w:rsidP="004F29CE">
      <w:pPr>
        <w:ind w:left="426"/>
      </w:pPr>
    </w:p>
    <w:p w:rsidR="005D70F9" w:rsidRPr="005F15DA" w:rsidRDefault="005D70F9" w:rsidP="004F29CE">
      <w:pPr>
        <w:pStyle w:val="berschrift4"/>
      </w:pPr>
      <w:r w:rsidRPr="005F15DA">
        <w:rPr>
          <w:spacing w:val="-22"/>
        </w:rPr>
        <w:t>1.</w:t>
      </w:r>
      <w:r w:rsidRPr="005F15DA">
        <w:tab/>
        <w:t>Begriff</w:t>
      </w:r>
    </w:p>
    <w:p w:rsidR="005D70F9" w:rsidRPr="005F15DA" w:rsidRDefault="005D70F9" w:rsidP="00BC554F">
      <w:pPr>
        <w:tabs>
          <w:tab w:val="left" w:pos="709"/>
        </w:tabs>
        <w:ind w:left="426"/>
      </w:pPr>
      <w:r w:rsidRPr="005F15DA">
        <w:t>Im Gegensatz zum Menschen als natürliche Person sind juristische Personen besondere, vom Recht künstlich geschaffene Gebilde. Sie sind ebenfalls Rechtssubjekte und besi</w:t>
      </w:r>
      <w:r w:rsidRPr="005F15DA">
        <w:t>t</w:t>
      </w:r>
      <w:r w:rsidRPr="005F15DA">
        <w:t>zen praktisch dieselbe Rechtsfähigkeit und Handlungsfähigkeit wie natürliche Personen. Sie besitzen lediglich jene Rechte und Pflichten nicht, welche die natürlichen Eigenscha</w:t>
      </w:r>
      <w:r w:rsidRPr="005F15DA">
        <w:t>f</w:t>
      </w:r>
      <w:r w:rsidRPr="005F15DA">
        <w:t xml:space="preserve">ten des Menschen wie Geschlecht oder Alter voraussetzen. So können sie beispielsweise nicht heiraten, nicht sterben und nicht vererben; es ist aber ohne weiteres möglich, dass </w:t>
      </w:r>
      <w:r w:rsidRPr="005F15DA">
        <w:lastRenderedPageBreak/>
        <w:t>eine juristische Person erbt. Dieser Kunstgriff ist nötig, weil jede Berechtigung und jede Verpflichtung einen Träger braucht. Im Alltag sprechen wir viel von diesen ausse</w:t>
      </w:r>
      <w:r w:rsidRPr="005F15DA">
        <w:t>r</w:t>
      </w:r>
      <w:r w:rsidRPr="005F15DA">
        <w:t>menschlichen Gestalten: der Verein hat ein Festzelt gemietet.</w:t>
      </w:r>
    </w:p>
    <w:p w:rsidR="00BC554F" w:rsidRPr="005F15DA" w:rsidRDefault="00BC554F" w:rsidP="00BC554F">
      <w:pPr>
        <w:tabs>
          <w:tab w:val="left" w:pos="709"/>
        </w:tabs>
        <w:ind w:left="426"/>
      </w:pPr>
    </w:p>
    <w:p w:rsidR="005D70F9" w:rsidRPr="005F15DA" w:rsidRDefault="005D70F9" w:rsidP="00BC554F">
      <w:pPr>
        <w:tabs>
          <w:tab w:val="left" w:pos="709"/>
        </w:tabs>
        <w:ind w:left="426"/>
      </w:pPr>
      <w:r w:rsidRPr="005F15DA">
        <w:t>Juristische Personen finden wir insbesondere im Wirtschaftsleben, wo sich Menschen zur Erreichung eines gemeinsamen Zweckes verbinden.</w:t>
      </w:r>
    </w:p>
    <w:p w:rsidR="00BC554F" w:rsidRPr="005F15DA" w:rsidRDefault="00BC554F" w:rsidP="00BC554F">
      <w:pPr>
        <w:tabs>
          <w:tab w:val="left" w:pos="709"/>
        </w:tabs>
        <w:ind w:left="426"/>
      </w:pPr>
    </w:p>
    <w:p w:rsidR="005D70F9" w:rsidRPr="005F15DA" w:rsidRDefault="005D70F9" w:rsidP="00BC554F">
      <w:pPr>
        <w:tabs>
          <w:tab w:val="left" w:pos="709"/>
        </w:tabs>
        <w:ind w:left="426"/>
      </w:pPr>
      <w:r w:rsidRPr="005F15DA">
        <w:t>In der Schweiz gibt es zivilrechtlich folgende juristische Personen:</w:t>
      </w:r>
    </w:p>
    <w:p w:rsidR="005D70F9" w:rsidRPr="005F15DA" w:rsidRDefault="005D70F9" w:rsidP="00BC554F">
      <w:pPr>
        <w:tabs>
          <w:tab w:val="left" w:pos="709"/>
        </w:tabs>
        <w:ind w:left="426"/>
      </w:pPr>
      <w:r w:rsidRPr="005F15DA">
        <w:t>-</w:t>
      </w:r>
      <w:r w:rsidRPr="005F15DA">
        <w:tab/>
        <w:t>Verein (Art. 66 ff. ZGB)</w:t>
      </w:r>
    </w:p>
    <w:p w:rsidR="005D70F9" w:rsidRPr="005F15DA" w:rsidRDefault="005D70F9" w:rsidP="00BC554F">
      <w:pPr>
        <w:tabs>
          <w:tab w:val="left" w:pos="709"/>
        </w:tabs>
        <w:ind w:left="426"/>
      </w:pPr>
      <w:r w:rsidRPr="005F15DA">
        <w:t>-</w:t>
      </w:r>
      <w:r w:rsidRPr="005F15DA">
        <w:tab/>
        <w:t>Stiftung (Art. 80 ff. ZGB)</w:t>
      </w:r>
    </w:p>
    <w:p w:rsidR="005D70F9" w:rsidRPr="005F15DA" w:rsidRDefault="005D70F9" w:rsidP="00BC554F">
      <w:pPr>
        <w:tabs>
          <w:tab w:val="left" w:pos="709"/>
        </w:tabs>
        <w:ind w:left="426"/>
      </w:pPr>
      <w:r w:rsidRPr="005F15DA">
        <w:t>-</w:t>
      </w:r>
      <w:r w:rsidRPr="005F15DA">
        <w:tab/>
        <w:t>Aktiengesellschaft (AG) (Art. 620 ff. OR)</w:t>
      </w:r>
    </w:p>
    <w:p w:rsidR="005D70F9" w:rsidRPr="005F15DA" w:rsidRDefault="005D70F9" w:rsidP="00BC554F">
      <w:pPr>
        <w:tabs>
          <w:tab w:val="left" w:pos="709"/>
        </w:tabs>
        <w:ind w:left="426"/>
      </w:pPr>
      <w:r w:rsidRPr="005F15DA">
        <w:t>-</w:t>
      </w:r>
      <w:r w:rsidRPr="005F15DA">
        <w:tab/>
        <w:t>Kommanditaktiengesellschaft (Art. 764 ff. OR)</w:t>
      </w:r>
    </w:p>
    <w:p w:rsidR="005D70F9" w:rsidRPr="005F15DA" w:rsidRDefault="005D70F9" w:rsidP="00BC554F">
      <w:pPr>
        <w:tabs>
          <w:tab w:val="left" w:pos="709"/>
        </w:tabs>
        <w:ind w:left="426"/>
      </w:pPr>
      <w:r w:rsidRPr="005F15DA">
        <w:t>-</w:t>
      </w:r>
      <w:r w:rsidRPr="005F15DA">
        <w:tab/>
        <w:t>Gesellschaft mit beschränkter Haftung (GmbH) (Art. 772 ff. OR)</w:t>
      </w:r>
    </w:p>
    <w:p w:rsidR="005D70F9" w:rsidRPr="005F15DA" w:rsidRDefault="005D70F9" w:rsidP="00BC554F">
      <w:pPr>
        <w:tabs>
          <w:tab w:val="left" w:pos="709"/>
        </w:tabs>
        <w:ind w:left="426"/>
      </w:pPr>
      <w:r w:rsidRPr="005F15DA">
        <w:t>-</w:t>
      </w:r>
      <w:r w:rsidRPr="005F15DA">
        <w:tab/>
        <w:t>Genossenschaft (Art. 828 ff. OR)</w:t>
      </w:r>
    </w:p>
    <w:p w:rsidR="00BC554F" w:rsidRPr="005F15DA" w:rsidRDefault="00BC554F" w:rsidP="00BC554F">
      <w:pPr>
        <w:tabs>
          <w:tab w:val="left" w:pos="709"/>
        </w:tabs>
        <w:ind w:left="426"/>
      </w:pPr>
    </w:p>
    <w:p w:rsidR="005D70F9" w:rsidRPr="005F15DA" w:rsidRDefault="005D70F9" w:rsidP="00BC554F">
      <w:pPr>
        <w:tabs>
          <w:tab w:val="left" w:pos="709"/>
        </w:tabs>
        <w:ind w:left="426"/>
      </w:pPr>
      <w:r w:rsidRPr="005F15DA">
        <w:t>Die Personengesellschaften (einfache Gesellschaft, Kollektivgesellschaft, Kommanditg</w:t>
      </w:r>
      <w:r w:rsidRPr="005F15DA">
        <w:t>e</w:t>
      </w:r>
      <w:r w:rsidRPr="005F15DA">
        <w:t>sellschaft) sind keine juristischen Personen.</w:t>
      </w:r>
    </w:p>
    <w:p w:rsidR="004F29CE" w:rsidRPr="005F15DA" w:rsidRDefault="004F29CE" w:rsidP="004F29CE">
      <w:pPr>
        <w:ind w:left="426"/>
      </w:pPr>
    </w:p>
    <w:p w:rsidR="004F29CE" w:rsidRPr="005F15DA" w:rsidRDefault="004F29CE" w:rsidP="004F29CE">
      <w:pPr>
        <w:ind w:left="426"/>
      </w:pPr>
    </w:p>
    <w:p w:rsidR="005D70F9" w:rsidRPr="005F15DA" w:rsidRDefault="005D70F9" w:rsidP="004F29CE">
      <w:pPr>
        <w:pStyle w:val="berschrift4"/>
      </w:pPr>
      <w:r w:rsidRPr="005F15DA">
        <w:rPr>
          <w:spacing w:val="-11"/>
        </w:rPr>
        <w:t>2.</w:t>
      </w:r>
      <w:r w:rsidRPr="005F15DA">
        <w:tab/>
        <w:t>Rechtsfähigkeit</w:t>
      </w:r>
    </w:p>
    <w:p w:rsidR="005D70F9" w:rsidRPr="005F15DA" w:rsidRDefault="005D70F9" w:rsidP="00BC554F">
      <w:pPr>
        <w:ind w:left="426"/>
      </w:pPr>
      <w:r w:rsidRPr="005F15DA">
        <w:t>Rechtspersönlichkeit und damit die Rechtsfähigkeit erlangen die juristischen Personen in der Regel durch den Eintrag im Handelsregister, so die Aktiengesellschaften, Gesel</w:t>
      </w:r>
      <w:r w:rsidRPr="005F15DA">
        <w:t>l</w:t>
      </w:r>
      <w:r w:rsidRPr="005F15DA">
        <w:t>schaften mit beschränkter Haftung, Genossenschaften und normalerweise auch Stiftu</w:t>
      </w:r>
      <w:r w:rsidRPr="005F15DA">
        <w:t>n</w:t>
      </w:r>
      <w:r w:rsidRPr="005F15DA">
        <w:t>gen. Bei Vereinen genügt bereits die Genehmigung der Statuten anlässlich der Grü</w:t>
      </w:r>
      <w:r w:rsidRPr="005F15DA">
        <w:t>n</w:t>
      </w:r>
      <w:r w:rsidRPr="005F15DA">
        <w:t>dungsversammlung.</w:t>
      </w:r>
    </w:p>
    <w:p w:rsidR="004F29CE" w:rsidRPr="005F15DA" w:rsidRDefault="004F29CE" w:rsidP="004F29CE">
      <w:pPr>
        <w:ind w:left="426"/>
      </w:pPr>
    </w:p>
    <w:p w:rsidR="004F29CE" w:rsidRPr="005F15DA" w:rsidRDefault="004F29CE" w:rsidP="004F29CE">
      <w:pPr>
        <w:ind w:left="426"/>
      </w:pPr>
    </w:p>
    <w:p w:rsidR="005D70F9" w:rsidRPr="005F15DA" w:rsidRDefault="005D70F9" w:rsidP="004F29CE">
      <w:pPr>
        <w:pStyle w:val="berschrift4"/>
      </w:pPr>
      <w:r w:rsidRPr="005F15DA">
        <w:rPr>
          <w:spacing w:val="-11"/>
        </w:rPr>
        <w:t>3.</w:t>
      </w:r>
      <w:r w:rsidRPr="005F15DA">
        <w:tab/>
        <w:t>Handlungsfähigkeit</w:t>
      </w:r>
    </w:p>
    <w:p w:rsidR="005D70F9" w:rsidRPr="005F15DA" w:rsidRDefault="005D70F9" w:rsidP="00BC554F">
      <w:pPr>
        <w:ind w:left="426"/>
      </w:pPr>
      <w:r w:rsidRPr="005F15DA">
        <w:t>Juristische Personen handeln durch ihre sogenannten Organe. Die Organe verleihen dem Willen der juristischen Person nach aussen Ausdruck (der Vereinsvorstand unte</w:t>
      </w:r>
      <w:r w:rsidRPr="005F15DA">
        <w:t>r</w:t>
      </w:r>
      <w:r w:rsidRPr="005F15DA">
        <w:t>schreibt einen Vertrag). Wer Organ ist, bestimmen das Gesetz oder die Statuten. Sobald die darin vorgesehenen notwendigen Organe bestellt sind, tritt auch die Handlungsfähi</w:t>
      </w:r>
      <w:r w:rsidRPr="005F15DA">
        <w:t>g</w:t>
      </w:r>
      <w:r w:rsidRPr="005F15DA">
        <w:t>keit ein.</w:t>
      </w:r>
    </w:p>
    <w:p w:rsidR="00BC554F" w:rsidRPr="005F15DA" w:rsidRDefault="00BC554F" w:rsidP="00BC554F">
      <w:pPr>
        <w:ind w:left="426"/>
      </w:pPr>
    </w:p>
    <w:p w:rsidR="005D70F9" w:rsidRPr="005F15DA" w:rsidRDefault="005D70F9" w:rsidP="00BC554F">
      <w:pPr>
        <w:ind w:left="426"/>
      </w:pPr>
      <w:r w:rsidRPr="005F15DA">
        <w:t>Die Unterschriftsberechtigung ergibt sich aus der Eintragung im Handelsregister. (Vereine welche nicht wirtschaftliche Zwecke verfolgen, kirchliche Stiftungen und Familienstiftu</w:t>
      </w:r>
      <w:r w:rsidRPr="005F15DA">
        <w:t>n</w:t>
      </w:r>
      <w:r w:rsidRPr="005F15DA">
        <w:t>gen müssen nicht im Handelsregister eingetragen sein.)</w:t>
      </w:r>
    </w:p>
    <w:p w:rsidR="004F29CE" w:rsidRPr="005F15DA" w:rsidRDefault="004F29CE" w:rsidP="004F29CE">
      <w:pPr>
        <w:ind w:left="426"/>
      </w:pPr>
    </w:p>
    <w:p w:rsidR="004F29CE" w:rsidRPr="005F15DA" w:rsidRDefault="004F29CE" w:rsidP="004F29CE">
      <w:pPr>
        <w:ind w:left="426"/>
      </w:pPr>
    </w:p>
    <w:p w:rsidR="005D70F9" w:rsidRPr="005F15DA" w:rsidRDefault="005D70F9" w:rsidP="004F29CE">
      <w:pPr>
        <w:pStyle w:val="berschrift4"/>
      </w:pPr>
      <w:r w:rsidRPr="005F15DA">
        <w:rPr>
          <w:spacing w:val="-9"/>
        </w:rPr>
        <w:t>4.</w:t>
      </w:r>
      <w:r w:rsidRPr="005F15DA">
        <w:tab/>
        <w:t>Beispiele von juristischen Personen und ihren Organen</w:t>
      </w:r>
    </w:p>
    <w:p w:rsidR="005D70F9" w:rsidRPr="005F15DA" w:rsidRDefault="005D70F9" w:rsidP="00BC554F">
      <w:pPr>
        <w:tabs>
          <w:tab w:val="left" w:pos="1701"/>
          <w:tab w:val="left" w:pos="1985"/>
          <w:tab w:val="left" w:pos="4536"/>
        </w:tabs>
        <w:ind w:left="426"/>
      </w:pPr>
      <w:r w:rsidRPr="005F15DA">
        <w:t>Von Gesetzes wegen haben die einzelnen juristischen Personen folgende Organe:</w:t>
      </w:r>
    </w:p>
    <w:p w:rsidR="005D70F9" w:rsidRPr="005F15DA" w:rsidRDefault="005D70F9" w:rsidP="00BC554F">
      <w:pPr>
        <w:tabs>
          <w:tab w:val="left" w:pos="1701"/>
          <w:tab w:val="left" w:pos="1985"/>
          <w:tab w:val="left" w:pos="4536"/>
        </w:tabs>
        <w:ind w:left="426"/>
      </w:pPr>
      <w:r w:rsidRPr="005F15DA">
        <w:t>Im ZGB</w:t>
      </w:r>
      <w:r w:rsidRPr="005F15DA">
        <w:tab/>
        <w:t>-</w:t>
      </w:r>
      <w:r w:rsidRPr="005F15DA">
        <w:tab/>
        <w:t>Verein</w:t>
      </w:r>
      <w:r w:rsidRPr="005F15DA">
        <w:tab/>
        <w:t>Vereinsversammlung und Vorstand</w:t>
      </w:r>
    </w:p>
    <w:p w:rsidR="005D70F9" w:rsidRPr="005F15DA" w:rsidRDefault="005D70F9" w:rsidP="00BC554F">
      <w:pPr>
        <w:tabs>
          <w:tab w:val="left" w:pos="1701"/>
          <w:tab w:val="left" w:pos="1985"/>
          <w:tab w:val="left" w:pos="4536"/>
        </w:tabs>
        <w:ind w:left="426"/>
      </w:pPr>
      <w:r w:rsidRPr="005F15DA">
        <w:tab/>
        <w:t>-</w:t>
      </w:r>
      <w:r w:rsidRPr="005F15DA">
        <w:tab/>
        <w:t>Stiftung</w:t>
      </w:r>
      <w:r w:rsidRPr="005F15DA">
        <w:tab/>
        <w:t>Stiftungsrat</w:t>
      </w:r>
    </w:p>
    <w:p w:rsidR="005D70F9" w:rsidRPr="005F15DA" w:rsidRDefault="005D70F9" w:rsidP="00BC554F">
      <w:pPr>
        <w:tabs>
          <w:tab w:val="left" w:pos="1701"/>
          <w:tab w:val="left" w:pos="1985"/>
          <w:tab w:val="left" w:pos="4536"/>
        </w:tabs>
        <w:ind w:left="426"/>
      </w:pPr>
      <w:r w:rsidRPr="005F15DA">
        <w:t>Im OR</w:t>
      </w:r>
      <w:r w:rsidRPr="005F15DA">
        <w:tab/>
        <w:t>-</w:t>
      </w:r>
      <w:r w:rsidRPr="005F15DA">
        <w:tab/>
        <w:t>Aktiengesellschaft (AG)</w:t>
      </w:r>
      <w:r w:rsidRPr="005F15DA">
        <w:tab/>
        <w:t>Generalversammlung, Verwaltungsrat</w:t>
      </w:r>
    </w:p>
    <w:p w:rsidR="005D70F9" w:rsidRPr="005F15DA" w:rsidRDefault="005D70F9" w:rsidP="00BC554F">
      <w:pPr>
        <w:tabs>
          <w:tab w:val="left" w:pos="1701"/>
          <w:tab w:val="left" w:pos="1985"/>
          <w:tab w:val="left" w:pos="4536"/>
        </w:tabs>
        <w:ind w:left="426"/>
      </w:pPr>
      <w:r w:rsidRPr="005F15DA">
        <w:tab/>
      </w:r>
      <w:r w:rsidRPr="005F15DA">
        <w:tab/>
      </w:r>
      <w:r w:rsidRPr="005F15DA">
        <w:tab/>
        <w:t>und Revisionsstelle</w:t>
      </w:r>
    </w:p>
    <w:p w:rsidR="005D70F9" w:rsidRPr="005F15DA" w:rsidRDefault="005D70F9" w:rsidP="00BC554F">
      <w:pPr>
        <w:tabs>
          <w:tab w:val="left" w:pos="1701"/>
          <w:tab w:val="left" w:pos="1985"/>
          <w:tab w:val="left" w:pos="4536"/>
        </w:tabs>
        <w:ind w:left="426"/>
      </w:pPr>
      <w:r w:rsidRPr="005F15DA">
        <w:tab/>
        <w:t>-</w:t>
      </w:r>
      <w:r w:rsidRPr="005F15DA">
        <w:tab/>
        <w:t>Genossenschaft</w:t>
      </w:r>
      <w:r w:rsidRPr="005F15DA">
        <w:tab/>
        <w:t>Generalversammlung, Verwaltung</w:t>
      </w:r>
    </w:p>
    <w:p w:rsidR="005D70F9" w:rsidRPr="005F15DA" w:rsidRDefault="005D70F9" w:rsidP="00BC554F">
      <w:pPr>
        <w:tabs>
          <w:tab w:val="left" w:pos="1701"/>
          <w:tab w:val="left" w:pos="1985"/>
          <w:tab w:val="left" w:pos="4536"/>
        </w:tabs>
        <w:ind w:left="426"/>
      </w:pPr>
      <w:r w:rsidRPr="005F15DA">
        <w:tab/>
      </w:r>
      <w:r w:rsidRPr="005F15DA">
        <w:tab/>
      </w:r>
      <w:r w:rsidRPr="005F15DA">
        <w:tab/>
        <w:t>und Kontrollstelle</w:t>
      </w:r>
    </w:p>
    <w:p w:rsidR="005D70F9" w:rsidRPr="005F15DA" w:rsidRDefault="005D70F9" w:rsidP="00BC554F">
      <w:pPr>
        <w:tabs>
          <w:tab w:val="left" w:pos="1701"/>
          <w:tab w:val="left" w:pos="1985"/>
          <w:tab w:val="left" w:pos="4536"/>
        </w:tabs>
        <w:ind w:left="426"/>
      </w:pPr>
      <w:r w:rsidRPr="005F15DA">
        <w:lastRenderedPageBreak/>
        <w:tab/>
        <w:t>-</w:t>
      </w:r>
      <w:r w:rsidRPr="005F15DA">
        <w:tab/>
        <w:t>Gesellschaft mit</w:t>
      </w:r>
      <w:r w:rsidR="00BC554F" w:rsidRPr="005F15DA">
        <w:tab/>
        <w:t>Gesellschafterversammlung</w:t>
      </w:r>
    </w:p>
    <w:p w:rsidR="00BC554F" w:rsidRPr="005F15DA" w:rsidRDefault="00BC554F" w:rsidP="00BC554F">
      <w:pPr>
        <w:tabs>
          <w:tab w:val="left" w:pos="1701"/>
          <w:tab w:val="left" w:pos="1985"/>
          <w:tab w:val="left" w:pos="4536"/>
        </w:tabs>
        <w:ind w:left="426"/>
      </w:pPr>
      <w:r w:rsidRPr="005F15DA">
        <w:tab/>
      </w:r>
      <w:r w:rsidRPr="005F15DA">
        <w:tab/>
        <w:t>beschränkter Haftung</w:t>
      </w:r>
      <w:r w:rsidRPr="005F15DA">
        <w:tab/>
        <w:t>und Geschäftsführung</w:t>
      </w:r>
    </w:p>
    <w:p w:rsidR="00BC554F" w:rsidRPr="005F15DA" w:rsidRDefault="00BC554F" w:rsidP="00BC554F">
      <w:pPr>
        <w:tabs>
          <w:tab w:val="left" w:pos="1701"/>
          <w:tab w:val="left" w:pos="1985"/>
          <w:tab w:val="left" w:pos="4536"/>
        </w:tabs>
        <w:ind w:left="426"/>
      </w:pPr>
      <w:r w:rsidRPr="005F15DA">
        <w:tab/>
      </w:r>
      <w:r w:rsidRPr="005F15DA">
        <w:tab/>
      </w:r>
      <w:r w:rsidR="005D70F9" w:rsidRPr="005F15DA">
        <w:t>(GmbH)</w:t>
      </w:r>
      <w:r w:rsidR="005D70F9" w:rsidRPr="005F15DA">
        <w:tab/>
      </w:r>
    </w:p>
    <w:p w:rsidR="005D70F9" w:rsidRPr="005F15DA" w:rsidRDefault="005D70F9" w:rsidP="00BC554F">
      <w:pPr>
        <w:tabs>
          <w:tab w:val="left" w:pos="1701"/>
          <w:tab w:val="left" w:pos="1985"/>
          <w:tab w:val="left" w:pos="4536"/>
        </w:tabs>
        <w:ind w:left="426"/>
      </w:pPr>
    </w:p>
    <w:p w:rsidR="005D70F9" w:rsidRPr="005F15DA" w:rsidRDefault="005D70F9" w:rsidP="00BC554F">
      <w:pPr>
        <w:tabs>
          <w:tab w:val="left" w:pos="1701"/>
          <w:tab w:val="left" w:pos="1985"/>
          <w:tab w:val="left" w:pos="4536"/>
        </w:tabs>
        <w:ind w:left="426"/>
      </w:pPr>
      <w:r w:rsidRPr="005F15DA">
        <w:t>Keine juristischen Personen sind die Kollektiv- und die Kommanditgesellschaften.</w:t>
      </w:r>
    </w:p>
    <w:p w:rsidR="00BC554F" w:rsidRPr="005F15DA" w:rsidRDefault="00BC554F" w:rsidP="00BC554F">
      <w:pPr>
        <w:tabs>
          <w:tab w:val="left" w:pos="1701"/>
          <w:tab w:val="left" w:pos="1985"/>
          <w:tab w:val="left" w:pos="4536"/>
        </w:tabs>
        <w:ind w:left="426"/>
      </w:pPr>
    </w:p>
    <w:p w:rsidR="005D70F9" w:rsidRPr="005F15DA" w:rsidRDefault="005D70F9" w:rsidP="00BC554F">
      <w:pPr>
        <w:tabs>
          <w:tab w:val="left" w:pos="1701"/>
          <w:tab w:val="left" w:pos="1985"/>
          <w:tab w:val="left" w:pos="4536"/>
        </w:tabs>
        <w:ind w:left="426"/>
      </w:pPr>
      <w:r w:rsidRPr="005F15DA">
        <w:t>Neben den juristischen Personen des Privatrechts gibt es noch juristische Personen des öffentlichen Rechts (z.B. Einwohnergemeinden, Burgergemeinden, Kanton Bern, Schwe</w:t>
      </w:r>
      <w:r w:rsidRPr="005F15DA">
        <w:t>i</w:t>
      </w:r>
      <w:r w:rsidRPr="005F15DA">
        <w:t>zerische Eidgenossenschaft); diese sind nicht im Handelsregister eingetragen.</w:t>
      </w:r>
    </w:p>
    <w:p w:rsidR="004F29CE" w:rsidRPr="005F15DA" w:rsidRDefault="004F29CE" w:rsidP="00BC554F">
      <w:pPr>
        <w:tabs>
          <w:tab w:val="left" w:pos="1701"/>
          <w:tab w:val="left" w:pos="1985"/>
          <w:tab w:val="left" w:pos="4536"/>
        </w:tabs>
        <w:ind w:left="426"/>
      </w:pPr>
    </w:p>
    <w:p w:rsidR="004F29CE" w:rsidRDefault="004F29CE" w:rsidP="00BC554F">
      <w:pPr>
        <w:tabs>
          <w:tab w:val="left" w:pos="1701"/>
          <w:tab w:val="left" w:pos="1985"/>
          <w:tab w:val="left" w:pos="4536"/>
        </w:tabs>
        <w:ind w:left="426"/>
      </w:pPr>
    </w:p>
    <w:p w:rsidR="00226CA4" w:rsidRPr="005F15DA" w:rsidRDefault="00226CA4" w:rsidP="00BC554F">
      <w:pPr>
        <w:tabs>
          <w:tab w:val="left" w:pos="1701"/>
          <w:tab w:val="left" w:pos="1985"/>
          <w:tab w:val="left" w:pos="4536"/>
        </w:tabs>
        <w:ind w:left="426"/>
      </w:pPr>
    </w:p>
    <w:p w:rsidR="005D70F9" w:rsidRPr="005F15DA" w:rsidRDefault="005B0AC0" w:rsidP="005759BE">
      <w:pPr>
        <w:pStyle w:val="berschrift3"/>
        <w:rPr>
          <w:lang w:val="de-CH"/>
        </w:rPr>
      </w:pPr>
      <w:bookmarkStart w:id="26" w:name="_Toc432175554"/>
      <w:r w:rsidRPr="005F15DA">
        <w:rPr>
          <w:lang w:val="de-CH"/>
        </w:rPr>
        <w:t>B.</w:t>
      </w:r>
      <w:r w:rsidRPr="005F15DA">
        <w:rPr>
          <w:lang w:val="de-CH"/>
        </w:rPr>
        <w:tab/>
      </w:r>
      <w:r w:rsidR="005D70F9" w:rsidRPr="005F15DA">
        <w:rPr>
          <w:lang w:val="de-CH"/>
        </w:rPr>
        <w:t>Handelsregister</w:t>
      </w:r>
      <w:bookmarkEnd w:id="26"/>
    </w:p>
    <w:p w:rsidR="005D70F9" w:rsidRPr="005F15DA" w:rsidRDefault="005D70F9" w:rsidP="00BC554F">
      <w:pPr>
        <w:tabs>
          <w:tab w:val="left" w:pos="426"/>
        </w:tabs>
      </w:pPr>
      <w:r w:rsidRPr="005F15DA">
        <w:t xml:space="preserve">Das Handelsregister wird unter der Oberaufsicht des Bundes von den Kantonen geführt. </w:t>
      </w:r>
    </w:p>
    <w:p w:rsidR="00BC554F" w:rsidRPr="005F15DA" w:rsidRDefault="00BC554F" w:rsidP="00BC554F">
      <w:pPr>
        <w:tabs>
          <w:tab w:val="left" w:pos="426"/>
        </w:tabs>
      </w:pPr>
    </w:p>
    <w:p w:rsidR="005D70F9" w:rsidRPr="005F15DA" w:rsidRDefault="005D70F9" w:rsidP="00BC554F">
      <w:pPr>
        <w:tabs>
          <w:tab w:val="left" w:pos="426"/>
        </w:tabs>
      </w:pPr>
      <w:r w:rsidRPr="005F15DA">
        <w:t>Es ist ein öffentliches Verzeichnis, das Auskunft über die wissenswerten, rechtlich wichtigen Verhältnisse von Unternehmungen gibt. Jedermann kann somit ins Handelsregister Einsicht nehmen und sich über die Träger, den Zweck und Sitz der Unternehmung orientieren. Zudem kann er sich über die Haftungs- und Vertretungsverhältnisse der eingetragenen Gesellschaft Klarheit verschaffen.</w:t>
      </w:r>
    </w:p>
    <w:p w:rsidR="00BC554F" w:rsidRPr="005F15DA" w:rsidRDefault="00BC554F" w:rsidP="00BC554F">
      <w:pPr>
        <w:tabs>
          <w:tab w:val="left" w:pos="426"/>
        </w:tabs>
      </w:pPr>
    </w:p>
    <w:p w:rsidR="005D70F9" w:rsidRPr="005F15DA" w:rsidRDefault="005D70F9" w:rsidP="00BC554F">
      <w:pPr>
        <w:tabs>
          <w:tab w:val="left" w:pos="426"/>
        </w:tabs>
      </w:pPr>
      <w:r w:rsidRPr="005F15DA">
        <w:t>Weil Aktiengesellschaften, Gesellschaften mit beschränkter Haftung und Genossenschaften erst durch die Eintragung entstehen, ist diese für sie von entscheidender Bedeutung. Kolle</w:t>
      </w:r>
      <w:r w:rsidRPr="005F15DA">
        <w:t>k</w:t>
      </w:r>
      <w:r w:rsidRPr="005F15DA">
        <w:t>tiv- und Kommanditgesellschaften sind zur Eintragung ebenfalls verpflichtet.</w:t>
      </w:r>
    </w:p>
    <w:p w:rsidR="00BC554F" w:rsidRPr="005F15DA" w:rsidRDefault="00BC554F" w:rsidP="00BC554F">
      <w:pPr>
        <w:tabs>
          <w:tab w:val="left" w:pos="426"/>
        </w:tabs>
      </w:pPr>
    </w:p>
    <w:p w:rsidR="005D70F9" w:rsidRPr="005F15DA" w:rsidRDefault="005D70F9" w:rsidP="00BC554F">
      <w:pPr>
        <w:tabs>
          <w:tab w:val="left" w:pos="426"/>
        </w:tabs>
      </w:pPr>
      <w:r w:rsidRPr="005F15DA">
        <w:t>Das Handelsregister gibt insbesondere Auskunft über:</w:t>
      </w:r>
    </w:p>
    <w:p w:rsidR="005D70F9" w:rsidRPr="005F15DA" w:rsidRDefault="005D70F9" w:rsidP="00BC554F">
      <w:pPr>
        <w:tabs>
          <w:tab w:val="left" w:pos="426"/>
        </w:tabs>
      </w:pPr>
      <w:r w:rsidRPr="005F15DA">
        <w:t>-</w:t>
      </w:r>
      <w:r w:rsidRPr="005F15DA">
        <w:tab/>
        <w:t>die Firma (Name der Unternehmung),</w:t>
      </w:r>
    </w:p>
    <w:p w:rsidR="005D70F9" w:rsidRPr="005F15DA" w:rsidRDefault="005D70F9" w:rsidP="00BC554F">
      <w:pPr>
        <w:tabs>
          <w:tab w:val="left" w:pos="426"/>
        </w:tabs>
      </w:pPr>
      <w:r w:rsidRPr="005F15DA">
        <w:t>-</w:t>
      </w:r>
      <w:r w:rsidRPr="005F15DA">
        <w:tab/>
        <w:t>die Rechtsform (AG, GmbH, Genossenschaft usw.),</w:t>
      </w:r>
    </w:p>
    <w:p w:rsidR="005D70F9" w:rsidRPr="005F15DA" w:rsidRDefault="005D70F9" w:rsidP="00BC554F">
      <w:pPr>
        <w:tabs>
          <w:tab w:val="left" w:pos="426"/>
        </w:tabs>
      </w:pPr>
      <w:r w:rsidRPr="005F15DA">
        <w:t>-</w:t>
      </w:r>
      <w:r w:rsidRPr="005F15DA">
        <w:tab/>
        <w:t>den Sitz und allfällige Zweigniederlassungen,</w:t>
      </w:r>
    </w:p>
    <w:p w:rsidR="005D70F9" w:rsidRPr="005F15DA" w:rsidRDefault="005D70F9" w:rsidP="00BC554F">
      <w:pPr>
        <w:tabs>
          <w:tab w:val="left" w:pos="426"/>
        </w:tabs>
      </w:pPr>
      <w:r w:rsidRPr="005F15DA">
        <w:t>-</w:t>
      </w:r>
      <w:r w:rsidRPr="005F15DA">
        <w:tab/>
        <w:t>den Unternehmenszweck,</w:t>
      </w:r>
    </w:p>
    <w:p w:rsidR="005D70F9" w:rsidRPr="005F15DA" w:rsidRDefault="005D70F9" w:rsidP="00BC554F">
      <w:pPr>
        <w:tabs>
          <w:tab w:val="left" w:pos="426"/>
        </w:tabs>
      </w:pPr>
      <w:r w:rsidRPr="005F15DA">
        <w:t>-</w:t>
      </w:r>
      <w:r w:rsidRPr="005F15DA">
        <w:tab/>
        <w:t>die zeichnungsberechtigten Personen (z.B. Verwaltungsrat einer AG),</w:t>
      </w:r>
    </w:p>
    <w:p w:rsidR="005D70F9" w:rsidRPr="005F15DA" w:rsidRDefault="005D70F9" w:rsidP="00BC554F">
      <w:pPr>
        <w:tabs>
          <w:tab w:val="left" w:pos="426"/>
        </w:tabs>
      </w:pPr>
      <w:r w:rsidRPr="005F15DA">
        <w:t>-</w:t>
      </w:r>
      <w:r w:rsidRPr="005F15DA">
        <w:tab/>
        <w:t>allfälliges Grundkapital,</w:t>
      </w:r>
    </w:p>
    <w:p w:rsidR="005D70F9" w:rsidRPr="005F15DA" w:rsidRDefault="005D70F9" w:rsidP="00BC554F">
      <w:pPr>
        <w:tabs>
          <w:tab w:val="left" w:pos="426"/>
        </w:tabs>
      </w:pPr>
      <w:r w:rsidRPr="005F15DA">
        <w:t>-</w:t>
      </w:r>
      <w:r w:rsidRPr="005F15DA">
        <w:tab/>
        <w:t>das Eintragungsdatum,</w:t>
      </w:r>
    </w:p>
    <w:p w:rsidR="005D70F9" w:rsidRPr="005F15DA" w:rsidRDefault="005D70F9" w:rsidP="00BC554F">
      <w:pPr>
        <w:tabs>
          <w:tab w:val="left" w:pos="426"/>
        </w:tabs>
      </w:pPr>
      <w:r w:rsidRPr="005F15DA">
        <w:t>-</w:t>
      </w:r>
      <w:r w:rsidRPr="005F15DA">
        <w:tab/>
        <w:t>die Statuten sowie deren Revisionen,</w:t>
      </w:r>
    </w:p>
    <w:p w:rsidR="005D70F9" w:rsidRPr="005F15DA" w:rsidRDefault="005D70F9" w:rsidP="00BC554F">
      <w:pPr>
        <w:tabs>
          <w:tab w:val="left" w:pos="426"/>
        </w:tabs>
      </w:pPr>
      <w:r w:rsidRPr="005F15DA">
        <w:t>-</w:t>
      </w:r>
      <w:r w:rsidRPr="005F15DA">
        <w:tab/>
        <w:t>die Revisionsstelle.</w:t>
      </w:r>
    </w:p>
    <w:p w:rsidR="00BC554F" w:rsidRPr="005F15DA" w:rsidRDefault="00BC554F" w:rsidP="00BC554F">
      <w:pPr>
        <w:tabs>
          <w:tab w:val="left" w:pos="426"/>
        </w:tabs>
      </w:pPr>
    </w:p>
    <w:p w:rsidR="005D70F9" w:rsidRPr="005F15DA" w:rsidRDefault="005D70F9" w:rsidP="00BC554F">
      <w:pPr>
        <w:tabs>
          <w:tab w:val="left" w:pos="426"/>
        </w:tabs>
      </w:pPr>
      <w:r w:rsidRPr="005F15DA">
        <w:t>Mit dem Handelsregistereintrag sind etliche Wirkungen, entweder zugunsten des Eingetrag</w:t>
      </w:r>
      <w:r w:rsidRPr="005F15DA">
        <w:t>e</w:t>
      </w:r>
      <w:r w:rsidRPr="005F15DA">
        <w:t>nen oder zugunsten Dritter, verbunden:</w:t>
      </w:r>
    </w:p>
    <w:p w:rsidR="005D70F9" w:rsidRPr="005F15DA" w:rsidRDefault="005D70F9" w:rsidP="00BC554F">
      <w:pPr>
        <w:tabs>
          <w:tab w:val="left" w:pos="426"/>
        </w:tabs>
      </w:pPr>
      <w:r w:rsidRPr="005F15DA">
        <w:t>-</w:t>
      </w:r>
      <w:r w:rsidRPr="005F15DA">
        <w:tab/>
        <w:t>Die Firma (= Name der Unternehmung) wird geschützt;</w:t>
      </w:r>
    </w:p>
    <w:p w:rsidR="005D70F9" w:rsidRPr="005F15DA" w:rsidRDefault="005D70F9" w:rsidP="00BC554F">
      <w:pPr>
        <w:tabs>
          <w:tab w:val="left" w:pos="426"/>
        </w:tabs>
      </w:pPr>
      <w:r w:rsidRPr="005F15DA">
        <w:t>-</w:t>
      </w:r>
      <w:r w:rsidRPr="005F15DA">
        <w:tab/>
        <w:t>Die Eingetragenen unterstehen der strengeren Konkurs- und Wechselbetreibung;</w:t>
      </w:r>
    </w:p>
    <w:p w:rsidR="005D70F9" w:rsidRPr="005F15DA" w:rsidRDefault="005D70F9" w:rsidP="00BC554F">
      <w:pPr>
        <w:tabs>
          <w:tab w:val="left" w:pos="426"/>
        </w:tabs>
      </w:pPr>
      <w:r w:rsidRPr="005F15DA">
        <w:t>-</w:t>
      </w:r>
      <w:r w:rsidRPr="005F15DA">
        <w:tab/>
        <w:t>Die Eingetragenen müssen eine Buchhaltung führen;</w:t>
      </w:r>
    </w:p>
    <w:p w:rsidR="005D70F9" w:rsidRPr="005F15DA" w:rsidRDefault="005D70F9" w:rsidP="00BC554F">
      <w:pPr>
        <w:tabs>
          <w:tab w:val="left" w:pos="426"/>
        </w:tabs>
        <w:ind w:left="426" w:hanging="426"/>
      </w:pPr>
      <w:r w:rsidRPr="005F15DA">
        <w:t>-</w:t>
      </w:r>
      <w:r w:rsidRPr="005F15DA">
        <w:tab/>
        <w:t>Was im Handelsregister eingetragen ist, kann der Dritte für wahr halten und das kann ihm auch entgegengehalten werden (Publizitätswirkung).</w:t>
      </w:r>
    </w:p>
    <w:p w:rsidR="00BC554F" w:rsidRPr="005F15DA" w:rsidRDefault="00BC554F" w:rsidP="00BC554F">
      <w:pPr>
        <w:tabs>
          <w:tab w:val="left" w:pos="426"/>
        </w:tabs>
      </w:pPr>
    </w:p>
    <w:p w:rsidR="005D70F9" w:rsidRPr="005F15DA" w:rsidRDefault="005D70F9" w:rsidP="00BC554F">
      <w:pPr>
        <w:tabs>
          <w:tab w:val="left" w:pos="426"/>
        </w:tabs>
      </w:pPr>
      <w:r w:rsidRPr="005F15DA">
        <w:t>Die Eintragungen, Löschungen und Änderungen im Handelsregister werden im täglich e</w:t>
      </w:r>
      <w:r w:rsidRPr="005F15DA">
        <w:t>r</w:t>
      </w:r>
      <w:r w:rsidRPr="005F15DA">
        <w:t>scheinenden Schweizerischen Handelsamtsblatt (SHAB) publiziert.</w:t>
      </w:r>
    </w:p>
    <w:p w:rsidR="00BC554F" w:rsidRPr="005F15DA" w:rsidRDefault="00BC554F" w:rsidP="00BC554F">
      <w:pPr>
        <w:tabs>
          <w:tab w:val="left" w:pos="426"/>
        </w:tabs>
      </w:pPr>
    </w:p>
    <w:p w:rsidR="005D70F9" w:rsidRPr="005F15DA" w:rsidRDefault="005D70F9" w:rsidP="00BC554F">
      <w:pPr>
        <w:tabs>
          <w:tab w:val="left" w:pos="426"/>
        </w:tabs>
      </w:pPr>
      <w:r w:rsidRPr="005F15DA">
        <w:lastRenderedPageBreak/>
        <w:t xml:space="preserve">Handelsregisterauszüge können bei den jeweiligen Handelsregisterämtern schriftlich oder per Fax oder online über www.zefix.ch bestellt werden. Je nach Kanton sind sogar die ganzen Handelsregisterauszüge online einsehbar. Zudem besteht die Möglichkeit, die neueren SHAB-Publikationen über diese Homepage einzusehen. Ältere SHAB-Publikationen können zum Teil </w:t>
      </w:r>
      <w:r w:rsidRPr="005F15DA">
        <w:rPr>
          <w:color w:val="000000" w:themeColor="text1"/>
        </w:rPr>
        <w:t xml:space="preserve">über </w:t>
      </w:r>
      <w:hyperlink r:id="rId11" w:history="1">
        <w:r w:rsidRPr="005F15DA">
          <w:rPr>
            <w:rStyle w:val="Hyperlink"/>
            <w:color w:val="000000" w:themeColor="text1"/>
            <w:spacing w:val="-2"/>
            <w:szCs w:val="22"/>
          </w:rPr>
          <w:t>http://dbswitzerland.dnb.com/German/shab.htm</w:t>
        </w:r>
      </w:hyperlink>
      <w:r w:rsidRPr="005F15DA">
        <w:t xml:space="preserve"> abgerufen werden.</w:t>
      </w:r>
    </w:p>
    <w:p w:rsidR="005D70F9" w:rsidRPr="005F15DA" w:rsidRDefault="005D70F9" w:rsidP="00BC554F">
      <w:pPr>
        <w:tabs>
          <w:tab w:val="left" w:pos="426"/>
        </w:tabs>
      </w:pPr>
      <w:r w:rsidRPr="005F15DA">
        <w:t>Seit Herbst 2007 besteht im Kanton Bern nur noch ein Handelsregisteramt:</w:t>
      </w:r>
    </w:p>
    <w:p w:rsidR="005D70F9" w:rsidRPr="005F15DA" w:rsidRDefault="005D70F9" w:rsidP="00BC554F">
      <w:pPr>
        <w:tabs>
          <w:tab w:val="left" w:pos="426"/>
        </w:tabs>
      </w:pPr>
      <w:r w:rsidRPr="005F15DA">
        <w:t>Handelsregisteramt des Kantons Bern</w:t>
      </w:r>
    </w:p>
    <w:p w:rsidR="005D70F9" w:rsidRPr="005F15DA" w:rsidRDefault="005D70F9" w:rsidP="00BC554F">
      <w:pPr>
        <w:tabs>
          <w:tab w:val="left" w:pos="426"/>
        </w:tabs>
      </w:pPr>
      <w:r w:rsidRPr="005F15DA">
        <w:t>Gerechtigkeitsgasse 36</w:t>
      </w:r>
    </w:p>
    <w:p w:rsidR="005D70F9" w:rsidRPr="005F15DA" w:rsidRDefault="005D70F9" w:rsidP="00BC554F">
      <w:pPr>
        <w:tabs>
          <w:tab w:val="left" w:pos="426"/>
        </w:tabs>
      </w:pPr>
      <w:r w:rsidRPr="005F15DA">
        <w:t>Postfach 627</w:t>
      </w:r>
    </w:p>
    <w:p w:rsidR="005D70F9" w:rsidRPr="005F15DA" w:rsidRDefault="005D70F9" w:rsidP="00BC554F">
      <w:pPr>
        <w:tabs>
          <w:tab w:val="left" w:pos="426"/>
        </w:tabs>
      </w:pPr>
      <w:r w:rsidRPr="005F15DA">
        <w:t>3000 Bern 8</w:t>
      </w:r>
    </w:p>
    <w:p w:rsidR="005D70F9" w:rsidRPr="005F15DA" w:rsidRDefault="005D70F9" w:rsidP="00BC554F">
      <w:pPr>
        <w:tabs>
          <w:tab w:val="left" w:pos="426"/>
        </w:tabs>
      </w:pPr>
      <w:r w:rsidRPr="005F15DA">
        <w:t>Telefon 031 633 43 60</w:t>
      </w:r>
    </w:p>
    <w:p w:rsidR="005D70F9" w:rsidRPr="005F15DA" w:rsidRDefault="00C64023" w:rsidP="00BC554F">
      <w:pPr>
        <w:tabs>
          <w:tab w:val="left" w:pos="426"/>
        </w:tabs>
        <w:rPr>
          <w:rStyle w:val="Hyperlink"/>
          <w:color w:val="000000"/>
          <w:spacing w:val="-2"/>
          <w:szCs w:val="22"/>
        </w:rPr>
      </w:pPr>
      <w:hyperlink r:id="rId12" w:history="1">
        <w:r w:rsidR="005D70F9" w:rsidRPr="005F15DA">
          <w:rPr>
            <w:rStyle w:val="Hyperlink"/>
            <w:color w:val="000000"/>
            <w:spacing w:val="-2"/>
            <w:szCs w:val="22"/>
          </w:rPr>
          <w:t>www.hrabe.ch</w:t>
        </w:r>
      </w:hyperlink>
      <w:r w:rsidR="004A49FD" w:rsidRPr="005F15DA">
        <w:rPr>
          <w:rStyle w:val="Hyperlink"/>
          <w:color w:val="000000"/>
          <w:spacing w:val="-2"/>
          <w:szCs w:val="22"/>
        </w:rPr>
        <w:t xml:space="preserve"> </w:t>
      </w:r>
    </w:p>
    <w:p w:rsidR="004A49FD" w:rsidRPr="005F15DA" w:rsidRDefault="004A49FD" w:rsidP="00BC554F">
      <w:pPr>
        <w:tabs>
          <w:tab w:val="left" w:pos="426"/>
        </w:tabs>
        <w:rPr>
          <w:color w:val="000000"/>
        </w:rPr>
      </w:pPr>
    </w:p>
    <w:p w:rsidR="005D70F9" w:rsidRPr="005F15DA" w:rsidRDefault="005D70F9" w:rsidP="00BC554F">
      <w:pPr>
        <w:tabs>
          <w:tab w:val="left" w:pos="426"/>
        </w:tabs>
      </w:pPr>
      <w:r w:rsidRPr="005F15DA">
        <w:t>HR-Auszüge können wie folgt bestellt werden:</w:t>
      </w:r>
    </w:p>
    <w:p w:rsidR="005D70F9" w:rsidRPr="005F15DA" w:rsidRDefault="005D70F9" w:rsidP="00BC554F">
      <w:pPr>
        <w:tabs>
          <w:tab w:val="left" w:pos="426"/>
        </w:tabs>
      </w:pPr>
      <w:r w:rsidRPr="005F15DA">
        <w:t>-</w:t>
      </w:r>
      <w:r w:rsidRPr="005F15DA">
        <w:tab/>
        <w:t>Beglaubigte Auszüge schriftlich oder per Fax 031 633 43 63 (gegen Gebühr),</w:t>
      </w:r>
    </w:p>
    <w:p w:rsidR="005D70F9" w:rsidRPr="005F15DA" w:rsidRDefault="005D70F9" w:rsidP="00BC554F">
      <w:pPr>
        <w:tabs>
          <w:tab w:val="left" w:pos="426"/>
        </w:tabs>
      </w:pPr>
      <w:r w:rsidRPr="005F15DA">
        <w:t>-</w:t>
      </w:r>
      <w:r w:rsidRPr="005F15DA">
        <w:tab/>
        <w:t>Unbeglaubigte Auszüge per Internet www. zefix.ch (kostenlos).</w:t>
      </w:r>
    </w:p>
    <w:p w:rsidR="004F29CE" w:rsidRPr="005F15DA" w:rsidRDefault="004F29CE" w:rsidP="00737A6C"/>
    <w:p w:rsidR="004F29CE" w:rsidRPr="005F15DA" w:rsidRDefault="004F29CE" w:rsidP="00737A6C"/>
    <w:p w:rsidR="00F001AD" w:rsidRPr="005F15DA" w:rsidRDefault="00F001AD" w:rsidP="00737A6C"/>
    <w:p w:rsidR="005D70F9" w:rsidRPr="005F15DA" w:rsidRDefault="005D70F9" w:rsidP="004F29CE">
      <w:r w:rsidRPr="005F15DA">
        <w:br w:type="page"/>
      </w:r>
    </w:p>
    <w:p w:rsidR="005D70F9" w:rsidRPr="005F15DA" w:rsidRDefault="005D70F9" w:rsidP="001F15CC">
      <w:pPr>
        <w:pStyle w:val="berschrift1"/>
        <w:spacing w:before="0"/>
      </w:pPr>
      <w:bookmarkStart w:id="27" w:name="_Toc432175555"/>
      <w:r w:rsidRPr="005F15DA">
        <w:rPr>
          <w:w w:val="114"/>
        </w:rPr>
        <w:lastRenderedPageBreak/>
        <w:t>Familienrecht</w:t>
      </w:r>
      <w:bookmarkEnd w:id="27"/>
    </w:p>
    <w:p w:rsidR="004D6703" w:rsidRPr="005F15DA" w:rsidRDefault="004D6703" w:rsidP="00226CA4">
      <w:r w:rsidRPr="005F15DA">
        <w:t>__________________________________________________________</w:t>
      </w:r>
      <w:r w:rsidR="00226CA4">
        <w:t>________________</w:t>
      </w:r>
    </w:p>
    <w:p w:rsidR="00737A6C" w:rsidRPr="005F15DA" w:rsidRDefault="00737A6C" w:rsidP="00737A6C"/>
    <w:p w:rsidR="00737A6C" w:rsidRPr="005F15DA" w:rsidRDefault="00737A6C" w:rsidP="00737A6C"/>
    <w:p w:rsidR="005D70F9" w:rsidRPr="005F15DA" w:rsidRDefault="005D70F9" w:rsidP="00E36E8F">
      <w:pPr>
        <w:pStyle w:val="berschrift2"/>
      </w:pPr>
      <w:bookmarkStart w:id="28" w:name="_Toc432175556"/>
      <w:r w:rsidRPr="005F15DA">
        <w:t>I. Einleitung</w:t>
      </w:r>
      <w:bookmarkEnd w:id="28"/>
    </w:p>
    <w:p w:rsidR="00B11D0F" w:rsidRPr="005F15DA" w:rsidRDefault="00B11D0F" w:rsidP="00226CA4">
      <w:r w:rsidRPr="005F15DA">
        <w:t>________</w:t>
      </w:r>
      <w:r w:rsidR="00737A6C" w:rsidRPr="005F15DA">
        <w:t>____</w:t>
      </w:r>
      <w:r w:rsidR="00226CA4">
        <w:t>___</w:t>
      </w:r>
    </w:p>
    <w:p w:rsidR="00737A6C" w:rsidRPr="005F15DA" w:rsidRDefault="00737A6C" w:rsidP="00737A6C"/>
    <w:p w:rsidR="00737A6C" w:rsidRPr="005F15DA" w:rsidRDefault="00737A6C" w:rsidP="00737A6C"/>
    <w:p w:rsidR="005D70F9" w:rsidRPr="005F15DA" w:rsidRDefault="005D70F9" w:rsidP="00737A6C">
      <w:pPr>
        <w:tabs>
          <w:tab w:val="left" w:pos="426"/>
        </w:tabs>
      </w:pPr>
      <w:r w:rsidRPr="005F15DA">
        <w:t>-</w:t>
      </w:r>
      <w:r w:rsidRPr="005F15DA">
        <w:tab/>
        <w:t>Was bedeutet das Familienrecht?</w:t>
      </w:r>
    </w:p>
    <w:p w:rsidR="005D70F9" w:rsidRPr="005F15DA" w:rsidRDefault="005D70F9" w:rsidP="00737A6C">
      <w:pPr>
        <w:tabs>
          <w:tab w:val="left" w:pos="426"/>
        </w:tabs>
      </w:pPr>
      <w:r w:rsidRPr="005F15DA">
        <w:t>-</w:t>
      </w:r>
      <w:r w:rsidRPr="005F15DA">
        <w:tab/>
      </w:r>
      <w:r w:rsidRPr="005F15DA">
        <w:rPr>
          <w:spacing w:val="-4"/>
        </w:rPr>
        <w:t>Welche rechtlichen Wirkungen zieht die Eheschliessung nach sich?</w:t>
      </w:r>
    </w:p>
    <w:p w:rsidR="005D70F9" w:rsidRPr="005F15DA" w:rsidRDefault="005D70F9" w:rsidP="00737A6C">
      <w:pPr>
        <w:tabs>
          <w:tab w:val="left" w:pos="426"/>
        </w:tabs>
      </w:pPr>
      <w:r w:rsidRPr="005F15DA">
        <w:t>-</w:t>
      </w:r>
      <w:r w:rsidRPr="005F15DA">
        <w:tab/>
      </w:r>
      <w:r w:rsidRPr="005F15DA">
        <w:rPr>
          <w:spacing w:val="-4"/>
        </w:rPr>
        <w:t>Wozu dienen Eheverträge?</w:t>
      </w:r>
    </w:p>
    <w:p w:rsidR="005D70F9" w:rsidRPr="005F15DA" w:rsidRDefault="005D70F9" w:rsidP="00737A6C">
      <w:pPr>
        <w:tabs>
          <w:tab w:val="left" w:pos="426"/>
        </w:tabs>
      </w:pPr>
      <w:r w:rsidRPr="005F15DA">
        <w:rPr>
          <w:spacing w:val="-2"/>
        </w:rPr>
        <w:t>-</w:t>
      </w:r>
      <w:r w:rsidRPr="005F15DA">
        <w:rPr>
          <w:spacing w:val="-2"/>
        </w:rPr>
        <w:tab/>
        <w:t>Die Besonderheit der ehelichen Wohnung</w:t>
      </w:r>
    </w:p>
    <w:p w:rsidR="00737A6C" w:rsidRPr="005F15DA" w:rsidRDefault="00737A6C" w:rsidP="00737A6C"/>
    <w:p w:rsidR="00737A6C" w:rsidRPr="005F15DA" w:rsidRDefault="00737A6C" w:rsidP="00737A6C"/>
    <w:p w:rsidR="005D70F9" w:rsidRPr="005F15DA" w:rsidRDefault="005D70F9" w:rsidP="005759BE">
      <w:pPr>
        <w:pStyle w:val="berschrift3"/>
        <w:rPr>
          <w:lang w:val="de-CH"/>
        </w:rPr>
      </w:pPr>
      <w:bookmarkStart w:id="29" w:name="_Toc432175557"/>
      <w:r w:rsidRPr="005F15DA">
        <w:rPr>
          <w:lang w:val="de-CH"/>
        </w:rPr>
        <w:t>A.</w:t>
      </w:r>
      <w:r w:rsidRPr="005F15DA">
        <w:rPr>
          <w:lang w:val="de-CH"/>
        </w:rPr>
        <w:tab/>
        <w:t>Familienrecht im Allgemeinen</w:t>
      </w:r>
      <w:bookmarkEnd w:id="29"/>
    </w:p>
    <w:p w:rsidR="00226CA4" w:rsidRDefault="00226CA4" w:rsidP="00737A6C">
      <w:pPr>
        <w:tabs>
          <w:tab w:val="left" w:pos="426"/>
          <w:tab w:val="left" w:pos="1701"/>
        </w:tabs>
      </w:pPr>
    </w:p>
    <w:p w:rsidR="005D70F9" w:rsidRPr="005F15DA" w:rsidRDefault="005D70F9" w:rsidP="00737A6C">
      <w:pPr>
        <w:tabs>
          <w:tab w:val="left" w:pos="426"/>
          <w:tab w:val="left" w:pos="1701"/>
        </w:tabs>
      </w:pPr>
      <w:r w:rsidRPr="005F15DA">
        <w:t>Die Institution der Familie ist für eine Rechtsordnung von entscheidender Bedeutung. Der schweizerische Gesetzgeber hat deshalb die Familie und somit das Familienrecht mit beso</w:t>
      </w:r>
      <w:r w:rsidRPr="005F15DA">
        <w:t>n</w:t>
      </w:r>
      <w:r w:rsidRPr="005F15DA">
        <w:t>derer Sorgfalt behandelt. Nirgendwo spielen religiöse, moralische und ethische Anschauu</w:t>
      </w:r>
      <w:r w:rsidRPr="005F15DA">
        <w:t>n</w:t>
      </w:r>
      <w:r w:rsidRPr="005F15DA">
        <w:t>gen eine so grosse Rolle wie im Familienrecht. Diese haben sich im Laufe der Zeit grundl</w:t>
      </w:r>
      <w:r w:rsidRPr="005F15DA">
        <w:t>e</w:t>
      </w:r>
      <w:r w:rsidRPr="005F15DA">
        <w:t>gend geändert. Der Gesetzgeber hat stets versucht, diesen Veränderungen Rechnung zu tragen und das Gesetz entsprechend angepasst; letztmals am 1. Januar 1988, als das neue Eherecht in Kraft getreten ist.</w:t>
      </w:r>
    </w:p>
    <w:p w:rsidR="00737A6C" w:rsidRPr="005F15DA" w:rsidRDefault="00737A6C" w:rsidP="00737A6C">
      <w:pPr>
        <w:tabs>
          <w:tab w:val="left" w:pos="426"/>
          <w:tab w:val="left" w:pos="1701"/>
        </w:tabs>
      </w:pPr>
    </w:p>
    <w:p w:rsidR="005D70F9" w:rsidRPr="005F15DA" w:rsidRDefault="005D70F9" w:rsidP="00737A6C">
      <w:pPr>
        <w:tabs>
          <w:tab w:val="left" w:pos="426"/>
          <w:tab w:val="left" w:pos="1701"/>
        </w:tabs>
      </w:pPr>
      <w:r w:rsidRPr="005F15DA">
        <w:t>Das Familienrecht ist in drei Abteilungen gegliedert:</w:t>
      </w:r>
    </w:p>
    <w:p w:rsidR="005D70F9" w:rsidRPr="005F15DA" w:rsidRDefault="005D70F9" w:rsidP="00737A6C">
      <w:pPr>
        <w:tabs>
          <w:tab w:val="left" w:pos="426"/>
          <w:tab w:val="left" w:pos="1701"/>
        </w:tabs>
        <w:ind w:left="1701" w:hanging="1701"/>
      </w:pPr>
      <w:r w:rsidRPr="005F15DA">
        <w:t>1.</w:t>
      </w:r>
      <w:r w:rsidRPr="005F15DA">
        <w:tab/>
        <w:t>Abteilung</w:t>
      </w:r>
      <w:r w:rsidRPr="005F15DA">
        <w:tab/>
        <w:t>Das Eherecht (Behandlung der Ehe als Gemeinschaft der Ehegatten und als Grundlage der Familie)</w:t>
      </w:r>
    </w:p>
    <w:p w:rsidR="005D70F9" w:rsidRPr="005F15DA" w:rsidRDefault="005D70F9" w:rsidP="00737A6C">
      <w:pPr>
        <w:tabs>
          <w:tab w:val="left" w:pos="426"/>
          <w:tab w:val="left" w:pos="1701"/>
        </w:tabs>
        <w:ind w:left="1701" w:hanging="1701"/>
      </w:pPr>
      <w:r w:rsidRPr="005F15DA">
        <w:t>2.</w:t>
      </w:r>
      <w:r w:rsidRPr="005F15DA">
        <w:tab/>
        <w:t>Abteilung</w:t>
      </w:r>
      <w:r w:rsidRPr="005F15DA">
        <w:tab/>
        <w:t>Die Verwandtschaft (Behandlung der Verhältnisse zwischen Kindern und Eltern und weiteren Verwandten)</w:t>
      </w:r>
    </w:p>
    <w:p w:rsidR="005D70F9" w:rsidRPr="005F15DA" w:rsidRDefault="005D70F9" w:rsidP="00737A6C">
      <w:pPr>
        <w:tabs>
          <w:tab w:val="left" w:pos="426"/>
          <w:tab w:val="left" w:pos="1701"/>
        </w:tabs>
        <w:ind w:left="1701" w:hanging="1701"/>
      </w:pPr>
      <w:r w:rsidRPr="005F15DA">
        <w:t>3.</w:t>
      </w:r>
      <w:r w:rsidRPr="005F15DA">
        <w:tab/>
        <w:t>Abteilung</w:t>
      </w:r>
      <w:r w:rsidRPr="005F15DA">
        <w:tab/>
      </w:r>
      <w:r w:rsidR="006D0363">
        <w:t>Erwachsenenschutz, Personenrecht und Kindesrecht</w:t>
      </w:r>
      <w:r w:rsidRPr="005F15DA">
        <w:t xml:space="preserve"> (Staatliche Hilfe für schutzbedürftige Kinder oder Erwachsene)</w:t>
      </w:r>
    </w:p>
    <w:p w:rsidR="00737A6C" w:rsidRPr="005F15DA" w:rsidRDefault="00737A6C" w:rsidP="00737A6C">
      <w:pPr>
        <w:tabs>
          <w:tab w:val="left" w:pos="426"/>
          <w:tab w:val="left" w:pos="1701"/>
        </w:tabs>
      </w:pPr>
    </w:p>
    <w:p w:rsidR="005D70F9" w:rsidRPr="005F15DA" w:rsidRDefault="005D70F9" w:rsidP="00737A6C">
      <w:pPr>
        <w:tabs>
          <w:tab w:val="left" w:pos="426"/>
          <w:tab w:val="left" w:pos="1701"/>
        </w:tabs>
      </w:pPr>
      <w:r w:rsidRPr="005F15DA">
        <w:t>Nachfolgend wird hauptsächlich auf das Güterrecht, welches einen Teil des Eherechts da</w:t>
      </w:r>
      <w:r w:rsidRPr="005F15DA">
        <w:t>r</w:t>
      </w:r>
      <w:r w:rsidRPr="005F15DA">
        <w:t>stellt, eingegangen, da dieses für die hauptberufliche Tätigkeit des Notars sowohl im Hinblick auf die öffentlich zu beurkundenden Eheverträge, als auch auf erbrechtliche Regelungen von Bedeutung ist. Das Güterrecht regelt die Vermögensverhältnisse der Ehegatten während der Ehe und die Ansprüche jedes Ehegatten bei Auflösung der Ehe durch Tod oder Scheidung. Dies erfolgt durch eine so genannte güterrechtliche Auseinandersetzung. Stirbt eine verheir</w:t>
      </w:r>
      <w:r w:rsidRPr="005F15DA">
        <w:t>a</w:t>
      </w:r>
      <w:r w:rsidRPr="005F15DA">
        <w:t>tet Person, muss zuerst diese güterrechtliche Auseinandersetzung vorgenommen werden, damit dann seine Erbmasse bestimmt werden kann.</w:t>
      </w:r>
    </w:p>
    <w:p w:rsidR="00737A6C" w:rsidRPr="005F15DA" w:rsidRDefault="00737A6C" w:rsidP="00737A6C"/>
    <w:p w:rsidR="00737A6C" w:rsidRPr="005F15DA" w:rsidRDefault="00737A6C" w:rsidP="00737A6C"/>
    <w:p w:rsidR="00737A6C" w:rsidRPr="005F15DA" w:rsidRDefault="00737A6C" w:rsidP="00737A6C"/>
    <w:p w:rsidR="005F7786" w:rsidRDefault="005F7786">
      <w:pPr>
        <w:spacing w:after="200"/>
        <w:rPr>
          <w:rFonts w:eastAsia="Times New Roman" w:cs="Arial"/>
          <w:b/>
          <w:bCs/>
          <w:color w:val="000000" w:themeColor="text1"/>
          <w:spacing w:val="-22"/>
          <w:sz w:val="28"/>
          <w:szCs w:val="28"/>
          <w:lang w:eastAsia="de-DE"/>
        </w:rPr>
      </w:pPr>
      <w:r>
        <w:rPr>
          <w:spacing w:val="-22"/>
        </w:rPr>
        <w:br w:type="page"/>
      </w:r>
    </w:p>
    <w:p w:rsidR="005D70F9" w:rsidRPr="005F15DA" w:rsidRDefault="005D70F9" w:rsidP="005759BE">
      <w:pPr>
        <w:pStyle w:val="berschrift3"/>
        <w:rPr>
          <w:lang w:val="de-CH"/>
        </w:rPr>
      </w:pPr>
      <w:bookmarkStart w:id="30" w:name="_Toc432175558"/>
      <w:r w:rsidRPr="005F15DA">
        <w:rPr>
          <w:spacing w:val="-22"/>
          <w:lang w:val="de-CH"/>
        </w:rPr>
        <w:lastRenderedPageBreak/>
        <w:t>B.</w:t>
      </w:r>
      <w:r w:rsidRPr="005F15DA">
        <w:rPr>
          <w:lang w:val="de-CH"/>
        </w:rPr>
        <w:tab/>
        <w:t>Unterschiede zwischen Familien- bzw. Güterrecht und Erbrecht</w:t>
      </w:r>
      <w:bookmarkEnd w:id="30"/>
    </w:p>
    <w:p w:rsidR="00226CA4" w:rsidRDefault="00226CA4" w:rsidP="00737A6C"/>
    <w:p w:rsidR="005D70F9" w:rsidRPr="005F15DA" w:rsidRDefault="005D70F9" w:rsidP="00737A6C">
      <w:r w:rsidRPr="005F15DA">
        <w:t>Das Güterrecht als Teil des Familienrechts regelt die Vermögensverhältnisse der Ehegatten während der Ehe und die Ansprüche jedes Ehegatten bei Auflösung der Ehe durch Tod oder Scheidung. Diese Ansprüche werden in der sogenannten güterrechtlichen Auseinanderse</w:t>
      </w:r>
      <w:r w:rsidRPr="005F15DA">
        <w:t>t</w:t>
      </w:r>
      <w:r w:rsidRPr="005F15DA">
        <w:t>zung festgestellt.</w:t>
      </w:r>
    </w:p>
    <w:p w:rsidR="00737A6C" w:rsidRPr="005F15DA" w:rsidRDefault="00737A6C" w:rsidP="00737A6C"/>
    <w:p w:rsidR="005D70F9" w:rsidRPr="005F15DA" w:rsidRDefault="005D70F9" w:rsidP="00737A6C">
      <w:r w:rsidRPr="005F15DA">
        <w:t>Im Erbrecht hingegen wird geordnet, wie das Vermögen einer verstorbenen Person auf deren Erben verteilt wird. Dies wird als erbrechtliche Auseinandersetzung bezeichnet.</w:t>
      </w:r>
    </w:p>
    <w:p w:rsidR="00737A6C" w:rsidRPr="005F15DA" w:rsidRDefault="00737A6C" w:rsidP="00737A6C"/>
    <w:p w:rsidR="005D70F9" w:rsidRPr="005F15DA" w:rsidRDefault="005D70F9" w:rsidP="00737A6C">
      <w:r w:rsidRPr="005F15DA">
        <w:t xml:space="preserve">Stirbt eine verheiratete Person, </w:t>
      </w:r>
      <w:proofErr w:type="gramStart"/>
      <w:r w:rsidRPr="005F15DA">
        <w:t>findet</w:t>
      </w:r>
      <w:proofErr w:type="gramEnd"/>
      <w:r w:rsidRPr="005F15DA">
        <w:t xml:space="preserve"> immer vorgängig die güterrechtliche und anschliessend erst die erbrechtliche Auseinandersetzung statt. Das Güterrecht bestimmt also, was vom g</w:t>
      </w:r>
      <w:r w:rsidRPr="005F15DA">
        <w:t>e</w:t>
      </w:r>
      <w:r w:rsidRPr="005F15DA">
        <w:t>samten Vermögen beim Tod eines Ehegatten dem überlebenden Ehegatten zufällt und was in den Nachlass (Erbmasse) des Verstorbenen gehört. Das Erbrecht regelt anschliessend, wie dieser Nachlass zwischen den Erben aufgeteilt wird.</w:t>
      </w:r>
    </w:p>
    <w:p w:rsidR="00737A6C" w:rsidRPr="005F15DA" w:rsidRDefault="00737A6C" w:rsidP="00737A6C"/>
    <w:p w:rsidR="00737A6C" w:rsidRPr="005F15DA" w:rsidRDefault="00737A6C" w:rsidP="00737A6C"/>
    <w:p w:rsidR="00737A6C" w:rsidRPr="005F15DA" w:rsidRDefault="00737A6C" w:rsidP="00737A6C"/>
    <w:p w:rsidR="005D70F9" w:rsidRPr="005F15DA" w:rsidRDefault="005D70F9" w:rsidP="005759BE">
      <w:pPr>
        <w:pStyle w:val="berschrift3"/>
        <w:rPr>
          <w:lang w:val="de-CH"/>
        </w:rPr>
      </w:pPr>
      <w:bookmarkStart w:id="31" w:name="_Toc432175559"/>
      <w:r w:rsidRPr="005F15DA">
        <w:rPr>
          <w:spacing w:val="-19"/>
          <w:lang w:val="de-CH"/>
        </w:rPr>
        <w:t>C.</w:t>
      </w:r>
      <w:r w:rsidRPr="005F15DA">
        <w:rPr>
          <w:lang w:val="de-CH"/>
        </w:rPr>
        <w:tab/>
        <w:t>Eheschliessung und Wirkung der Ehe</w:t>
      </w:r>
      <w:bookmarkEnd w:id="31"/>
    </w:p>
    <w:p w:rsidR="00737A6C" w:rsidRPr="005F15DA" w:rsidRDefault="00737A6C" w:rsidP="00737A6C"/>
    <w:p w:rsidR="005D70F9" w:rsidRPr="005F15DA" w:rsidRDefault="005D70F9" w:rsidP="00737A6C">
      <w:pPr>
        <w:pStyle w:val="berschrift4"/>
      </w:pPr>
      <w:r w:rsidRPr="005F15DA">
        <w:rPr>
          <w:spacing w:val="-11"/>
        </w:rPr>
        <w:t>1.</w:t>
      </w:r>
      <w:r w:rsidRPr="005F15DA">
        <w:tab/>
        <w:t>Ehevoraussetzungen (Art. 94 – 96 ZGB)</w:t>
      </w:r>
    </w:p>
    <w:p w:rsidR="005D70F9" w:rsidRPr="005F15DA" w:rsidRDefault="00945B2D" w:rsidP="00737A6C">
      <w:pPr>
        <w:ind w:left="426"/>
      </w:pPr>
      <w:r>
        <w:t>Um die Ehe eingehen zu können, müssen die Brautleute das 18. Altersjahr zurückgelegt haben und urteilsfähig sein.</w:t>
      </w:r>
    </w:p>
    <w:p w:rsidR="00737A6C" w:rsidRPr="005F15DA" w:rsidRDefault="00737A6C" w:rsidP="00737A6C">
      <w:pPr>
        <w:ind w:left="426"/>
      </w:pPr>
    </w:p>
    <w:p w:rsidR="005D70F9" w:rsidRPr="005F15DA" w:rsidRDefault="005D70F9" w:rsidP="00737A6C">
      <w:pPr>
        <w:ind w:left="426"/>
      </w:pPr>
      <w:r w:rsidRPr="005F15DA">
        <w:t>Die Eheschliessung ist zwischen Verwandten in gerader Linie sowie zwischen Geschwi</w:t>
      </w:r>
      <w:r w:rsidRPr="005F15DA">
        <w:t>s</w:t>
      </w:r>
      <w:r w:rsidRPr="005F15DA">
        <w:t>tern oder Halbgeschwistern, gleichgültig ob sie miteinander durch Abstammung oder durch Adoption verwandt sind, verboten. Zudem muss eine geschiedene Person, welche eine neue Ehe eingehen will, den Nachweis erbringen, dass die frühere Ehe für ungültig erklärt oder aufgelöst worden ist.</w:t>
      </w:r>
    </w:p>
    <w:p w:rsidR="00737A6C" w:rsidRPr="005F15DA" w:rsidRDefault="00737A6C" w:rsidP="00737A6C"/>
    <w:p w:rsidR="00737A6C" w:rsidRPr="005F15DA" w:rsidRDefault="00737A6C" w:rsidP="00737A6C"/>
    <w:p w:rsidR="005D70F9" w:rsidRPr="005F15DA" w:rsidRDefault="005D70F9" w:rsidP="00737A6C">
      <w:pPr>
        <w:pStyle w:val="berschrift4"/>
      </w:pPr>
      <w:r w:rsidRPr="005F15DA">
        <w:rPr>
          <w:spacing w:val="-11"/>
        </w:rPr>
        <w:t>2.</w:t>
      </w:r>
      <w:r w:rsidRPr="005F15DA">
        <w:tab/>
        <w:t>Vorbereitung der Eheschliessung, Trauung, Ungültigkeit und Ehescheidung (Art. 97 – 158 ZGB)</w:t>
      </w:r>
    </w:p>
    <w:p w:rsidR="005D70F9" w:rsidRPr="005F15DA" w:rsidRDefault="005D70F9" w:rsidP="00737A6C">
      <w:pPr>
        <w:tabs>
          <w:tab w:val="left" w:pos="851"/>
        </w:tabs>
        <w:ind w:left="426"/>
      </w:pPr>
      <w:r w:rsidRPr="005F15DA">
        <w:t>Sind alle Voraussetzungen erfüllt, können die Verlobten das Gesuch um Durchführung des Vorbereitungsverfahrens stellen. Der Zivilstandsbeamte prüft, ob das Gesuch or</w:t>
      </w:r>
      <w:r w:rsidRPr="005F15DA">
        <w:t>d</w:t>
      </w:r>
      <w:r w:rsidRPr="005F15DA">
        <w:t>nungsgemäss eingereicht worden ist, die Identität der Verlobten feststeht und ob die Ehevoraussetzungen erfüllt sind. Falls dem so ist, teilt er dies den Verlobten mit, welche dann frühestens nach 10 Tagen, spätestens nach 3 Monaten getraut werden können. Die Trauung erfolgt durch das Ja-Wort der Brautleute vor dem Zivilstandsbeamten und zwei Trauzeugen. Eine freiwillige kirchliche Trauung ist erst nach der Ziviltrauung gestattet.</w:t>
      </w:r>
    </w:p>
    <w:p w:rsidR="00737A6C" w:rsidRPr="005F15DA" w:rsidRDefault="00737A6C" w:rsidP="00737A6C">
      <w:pPr>
        <w:tabs>
          <w:tab w:val="left" w:pos="851"/>
        </w:tabs>
        <w:ind w:left="426"/>
      </w:pPr>
    </w:p>
    <w:p w:rsidR="005D70F9" w:rsidRPr="005F15DA" w:rsidRDefault="005D70F9" w:rsidP="00737A6C">
      <w:pPr>
        <w:tabs>
          <w:tab w:val="left" w:pos="851"/>
        </w:tabs>
        <w:ind w:left="426"/>
      </w:pPr>
      <w:r w:rsidRPr="005F15DA">
        <w:t>Die Ehe ist ungültig, wenn entweder eine Ehevoraussetzung nicht erfüllt ist oder wenn ein Ehegatte</w:t>
      </w:r>
    </w:p>
    <w:p w:rsidR="005D70F9" w:rsidRPr="005F15DA" w:rsidRDefault="005D70F9" w:rsidP="00737A6C">
      <w:pPr>
        <w:tabs>
          <w:tab w:val="left" w:pos="851"/>
        </w:tabs>
        <w:ind w:left="426"/>
      </w:pPr>
      <w:r w:rsidRPr="005F15DA">
        <w:t>1.</w:t>
      </w:r>
      <w:r w:rsidRPr="005F15DA">
        <w:tab/>
        <w:t>bei der Trauung aus einem vorübergehenden Grund nicht urteilsfähig war;</w:t>
      </w:r>
    </w:p>
    <w:p w:rsidR="005D70F9" w:rsidRPr="005F15DA" w:rsidRDefault="005D70F9" w:rsidP="00737A6C">
      <w:pPr>
        <w:tabs>
          <w:tab w:val="left" w:pos="851"/>
        </w:tabs>
        <w:ind w:left="851" w:hanging="425"/>
      </w:pPr>
      <w:r w:rsidRPr="005F15DA">
        <w:t>2.</w:t>
      </w:r>
      <w:r w:rsidRPr="005F15DA">
        <w:tab/>
        <w:t>sich aus Irrtum hat trauen lassen, sei es, dass er die Ehe selbst oder die Trauung mit der betreffenden Person nicht gewollt hat;</w:t>
      </w:r>
    </w:p>
    <w:p w:rsidR="005D70F9" w:rsidRPr="005F15DA" w:rsidRDefault="005D70F9" w:rsidP="00737A6C">
      <w:pPr>
        <w:tabs>
          <w:tab w:val="left" w:pos="851"/>
        </w:tabs>
        <w:ind w:left="851" w:hanging="425"/>
      </w:pPr>
      <w:r w:rsidRPr="005F15DA">
        <w:lastRenderedPageBreak/>
        <w:t>3.</w:t>
      </w:r>
      <w:r w:rsidRPr="005F15DA">
        <w:tab/>
        <w:t>die Ehe geschlossen hat, weil er über wesentliche persönliche Eigenschaften des anderen absichtlich getäuscht worden ist;</w:t>
      </w:r>
    </w:p>
    <w:p w:rsidR="005D70F9" w:rsidRPr="005F15DA" w:rsidRDefault="005D70F9" w:rsidP="00737A6C">
      <w:pPr>
        <w:tabs>
          <w:tab w:val="left" w:pos="851"/>
        </w:tabs>
        <w:ind w:left="851" w:hanging="425"/>
      </w:pPr>
      <w:r w:rsidRPr="005F15DA">
        <w:t>4.</w:t>
      </w:r>
      <w:r w:rsidRPr="005F15DA">
        <w:tab/>
        <w:t>die Ehe geschlossen hat, weil er mit einer nahen und erheblichen Gefahr für das L</w:t>
      </w:r>
      <w:r w:rsidRPr="005F15DA">
        <w:t>e</w:t>
      </w:r>
      <w:r w:rsidRPr="005F15DA">
        <w:t>ben, die Gesundheit oder die Ehre seiner selbst oder einer ihm nahe verbundenen Person bedroht wurde.</w:t>
      </w:r>
    </w:p>
    <w:p w:rsidR="005D70F9" w:rsidRPr="005F15DA" w:rsidRDefault="005D70F9" w:rsidP="005F7786">
      <w:pPr>
        <w:tabs>
          <w:tab w:val="left" w:pos="426"/>
        </w:tabs>
        <w:ind w:firstLine="425"/>
      </w:pPr>
      <w:r w:rsidRPr="005F15DA">
        <w:t>Die Eheungültigkeit ist von einem Gericht auszusprechen.</w:t>
      </w:r>
    </w:p>
    <w:p w:rsidR="00737A6C" w:rsidRPr="005F15DA" w:rsidRDefault="00737A6C" w:rsidP="00737A6C">
      <w:pPr>
        <w:tabs>
          <w:tab w:val="left" w:pos="851"/>
        </w:tabs>
        <w:ind w:left="426"/>
      </w:pPr>
    </w:p>
    <w:p w:rsidR="005D70F9" w:rsidRPr="005F15DA" w:rsidRDefault="005D70F9" w:rsidP="00737A6C">
      <w:pPr>
        <w:tabs>
          <w:tab w:val="left" w:pos="851"/>
        </w:tabs>
        <w:ind w:left="426"/>
      </w:pPr>
      <w:r w:rsidRPr="005F15DA">
        <w:t>Bei der Ehescheidung unterscheidet man drei Verfahren:</w:t>
      </w:r>
    </w:p>
    <w:p w:rsidR="005D70F9" w:rsidRPr="005F15DA" w:rsidRDefault="005D70F9" w:rsidP="00737A6C">
      <w:pPr>
        <w:tabs>
          <w:tab w:val="left" w:pos="851"/>
        </w:tabs>
        <w:ind w:left="851" w:hanging="425"/>
      </w:pPr>
      <w:r w:rsidRPr="005F15DA">
        <w:t>1.</w:t>
      </w:r>
      <w:r w:rsidRPr="005F15DA">
        <w:tab/>
        <w:t>Ehescheidung auf gemeinsames Begehren mit umfassender Einigung auch betre</w:t>
      </w:r>
      <w:r w:rsidRPr="005F15DA">
        <w:t>f</w:t>
      </w:r>
      <w:r w:rsidRPr="005F15DA">
        <w:t>fend der Nebenfolgen (Art. 111 ZGB),</w:t>
      </w:r>
    </w:p>
    <w:p w:rsidR="005D70F9" w:rsidRPr="005F15DA" w:rsidRDefault="005D70F9" w:rsidP="00737A6C">
      <w:pPr>
        <w:tabs>
          <w:tab w:val="left" w:pos="851"/>
        </w:tabs>
        <w:ind w:left="851" w:hanging="425"/>
      </w:pPr>
      <w:r w:rsidRPr="005F15DA">
        <w:t>2.</w:t>
      </w:r>
      <w:r w:rsidRPr="005F15DA">
        <w:tab/>
        <w:t>Ehescheidung auf gemeinsames Begehren ohne Einigung oder mit Teileinigung b</w:t>
      </w:r>
      <w:r w:rsidRPr="005F15DA">
        <w:t>e</w:t>
      </w:r>
      <w:r w:rsidRPr="005F15DA">
        <w:t>treffend der Nebenfolgen (Art. 112 ZGB) und</w:t>
      </w:r>
    </w:p>
    <w:p w:rsidR="005D70F9" w:rsidRPr="005F15DA" w:rsidRDefault="005D70F9" w:rsidP="00737A6C">
      <w:pPr>
        <w:tabs>
          <w:tab w:val="left" w:pos="851"/>
        </w:tabs>
        <w:ind w:left="851" w:hanging="425"/>
      </w:pPr>
      <w:r w:rsidRPr="005F15DA">
        <w:t>3.</w:t>
      </w:r>
      <w:r w:rsidRPr="005F15DA">
        <w:tab/>
        <w:t>Ehescheidung auf Klage eines Ehegatten (Art. 114 ZGB).</w:t>
      </w:r>
    </w:p>
    <w:p w:rsidR="00737A6C" w:rsidRPr="005F15DA" w:rsidRDefault="00737A6C" w:rsidP="00737A6C">
      <w:pPr>
        <w:tabs>
          <w:tab w:val="left" w:pos="851"/>
        </w:tabs>
        <w:ind w:left="426"/>
      </w:pPr>
    </w:p>
    <w:p w:rsidR="005D70F9" w:rsidRPr="005F15DA" w:rsidRDefault="005D70F9" w:rsidP="00737A6C">
      <w:pPr>
        <w:tabs>
          <w:tab w:val="left" w:pos="851"/>
        </w:tabs>
        <w:ind w:left="426"/>
      </w:pPr>
      <w:r w:rsidRPr="005F15DA">
        <w:t xml:space="preserve">Die Ehescheidung ist von einem Gericht zu beurteilen. Liegt eine Einigung betreffend </w:t>
      </w:r>
      <w:proofErr w:type="gramStart"/>
      <w:r w:rsidRPr="005F15DA">
        <w:t>der</w:t>
      </w:r>
      <w:proofErr w:type="gramEnd"/>
      <w:r w:rsidRPr="005F15DA">
        <w:t xml:space="preserve"> Nebenfolgen vor, hat das Gericht diese auf ihre Vollständigkeit und Angemessenheit hin zu prüfen. Eine Ehescheidungskonvention muss folgende Punkte beinhalten:</w:t>
      </w:r>
    </w:p>
    <w:p w:rsidR="005D70F9" w:rsidRPr="005F15DA" w:rsidRDefault="005D70F9" w:rsidP="00737A6C">
      <w:pPr>
        <w:tabs>
          <w:tab w:val="left" w:pos="851"/>
        </w:tabs>
        <w:ind w:left="426"/>
      </w:pPr>
      <w:r w:rsidRPr="005F15DA">
        <w:t>1.</w:t>
      </w:r>
      <w:r w:rsidRPr="005F15DA">
        <w:tab/>
        <w:t>Gemeinsamer Antrag auf Ehescheidung,</w:t>
      </w:r>
    </w:p>
    <w:p w:rsidR="005D70F9" w:rsidRPr="005F15DA" w:rsidRDefault="005D70F9" w:rsidP="00737A6C">
      <w:pPr>
        <w:tabs>
          <w:tab w:val="left" w:pos="851"/>
        </w:tabs>
        <w:ind w:left="426"/>
      </w:pPr>
      <w:r w:rsidRPr="005F15DA">
        <w:t>2.</w:t>
      </w:r>
      <w:r w:rsidRPr="005F15DA">
        <w:tab/>
        <w:t xml:space="preserve">ev. Zuteilung der elterlichen Sorge betreffend </w:t>
      </w:r>
      <w:proofErr w:type="gramStart"/>
      <w:r w:rsidRPr="005F15DA">
        <w:t>gemeinsamer Kinder</w:t>
      </w:r>
      <w:proofErr w:type="gramEnd"/>
      <w:r w:rsidRPr="005F15DA">
        <w:t>,</w:t>
      </w:r>
    </w:p>
    <w:p w:rsidR="005D70F9" w:rsidRPr="005F15DA" w:rsidRDefault="005D70F9" w:rsidP="00737A6C">
      <w:pPr>
        <w:tabs>
          <w:tab w:val="left" w:pos="851"/>
        </w:tabs>
        <w:ind w:left="426"/>
      </w:pPr>
      <w:r w:rsidRPr="005F15DA">
        <w:t>3.</w:t>
      </w:r>
      <w:r w:rsidRPr="005F15DA">
        <w:tab/>
        <w:t>ev. Unterhaltsbeiträge für die Kinder,</w:t>
      </w:r>
    </w:p>
    <w:p w:rsidR="005D70F9" w:rsidRPr="005F15DA" w:rsidRDefault="005D70F9" w:rsidP="00737A6C">
      <w:pPr>
        <w:tabs>
          <w:tab w:val="left" w:pos="851"/>
        </w:tabs>
        <w:ind w:left="426"/>
      </w:pPr>
      <w:r w:rsidRPr="005F15DA">
        <w:t>4.</w:t>
      </w:r>
      <w:r w:rsidRPr="005F15DA">
        <w:tab/>
        <w:t>ev. Besuchs- und Ferienrecht,</w:t>
      </w:r>
    </w:p>
    <w:p w:rsidR="005D70F9" w:rsidRPr="005F15DA" w:rsidRDefault="005D70F9" w:rsidP="00737A6C">
      <w:pPr>
        <w:tabs>
          <w:tab w:val="left" w:pos="851"/>
        </w:tabs>
        <w:ind w:left="426"/>
      </w:pPr>
      <w:r w:rsidRPr="005F15DA">
        <w:t>5.</w:t>
      </w:r>
      <w:r w:rsidRPr="005F15DA">
        <w:tab/>
        <w:t>Unterhaltsbeiträge zwischen den Ehegatten bzw. Verzicht darauf,</w:t>
      </w:r>
    </w:p>
    <w:p w:rsidR="005D70F9" w:rsidRPr="005F15DA" w:rsidRDefault="005D70F9" w:rsidP="00737A6C">
      <w:pPr>
        <w:tabs>
          <w:tab w:val="left" w:pos="851"/>
        </w:tabs>
        <w:ind w:left="426"/>
      </w:pPr>
      <w:r w:rsidRPr="005F15DA">
        <w:t>6.</w:t>
      </w:r>
      <w:r w:rsidRPr="005F15DA">
        <w:tab/>
        <w:t>Aufteilung der während der Ehe angehäuften BVG-Guthaben,</w:t>
      </w:r>
    </w:p>
    <w:p w:rsidR="005D70F9" w:rsidRPr="005F15DA" w:rsidRDefault="005D70F9" w:rsidP="00737A6C">
      <w:pPr>
        <w:tabs>
          <w:tab w:val="left" w:pos="851"/>
        </w:tabs>
        <w:ind w:left="426"/>
      </w:pPr>
      <w:r w:rsidRPr="005F15DA">
        <w:t>7.</w:t>
      </w:r>
      <w:r w:rsidRPr="005F15DA">
        <w:tab/>
        <w:t>Regelung der güterrechtlichen Auseinandersetzung.</w:t>
      </w:r>
    </w:p>
    <w:p w:rsidR="00737A6C" w:rsidRPr="005F15DA" w:rsidRDefault="00737A6C" w:rsidP="00737A6C">
      <w:pPr>
        <w:tabs>
          <w:tab w:val="left" w:pos="851"/>
        </w:tabs>
        <w:ind w:left="426"/>
      </w:pPr>
    </w:p>
    <w:p w:rsidR="005D70F9" w:rsidRPr="005F15DA" w:rsidRDefault="005D70F9" w:rsidP="00737A6C">
      <w:pPr>
        <w:tabs>
          <w:tab w:val="left" w:pos="851"/>
        </w:tabs>
        <w:ind w:left="426"/>
      </w:pPr>
      <w:r w:rsidRPr="005F15DA">
        <w:t>Sofern sich beide Parteien betreffend die Ehescheidung einig sind, kann diese jederzeit beantragt werden. Die Ehescheidung auf Klage eines Ehegatten kann demgegenüber nur eingereicht werden, wenn entweder die Ehegatten seit mindestens 2 Jahren getrennt l</w:t>
      </w:r>
      <w:r w:rsidRPr="005F15DA">
        <w:t>e</w:t>
      </w:r>
      <w:r w:rsidRPr="005F15DA">
        <w:t>ben oder wenn einem Ehegatten die Fortsetzung der Ehe aus schwerwiegenden Grü</w:t>
      </w:r>
      <w:r w:rsidRPr="005F15DA">
        <w:t>n</w:t>
      </w:r>
      <w:r w:rsidRPr="005F15DA">
        <w:t>den, die ihm nicht zuzurechnen sind, nicht zugemutet werden kann.</w:t>
      </w:r>
    </w:p>
    <w:p w:rsidR="00737A6C" w:rsidRPr="005F15DA" w:rsidRDefault="00737A6C" w:rsidP="00737A6C">
      <w:pPr>
        <w:tabs>
          <w:tab w:val="left" w:pos="851"/>
        </w:tabs>
        <w:ind w:left="426"/>
      </w:pPr>
    </w:p>
    <w:p w:rsidR="005D70F9" w:rsidRPr="005F15DA" w:rsidRDefault="005D70F9" w:rsidP="00737A6C">
      <w:pPr>
        <w:tabs>
          <w:tab w:val="left" w:pos="851"/>
        </w:tabs>
        <w:ind w:left="426"/>
      </w:pPr>
      <w:r w:rsidRPr="005F15DA">
        <w:t>Zu diesen schwerwiegenden Gründen gehören sicher Tätlichkeiten eines Ehegatten g</w:t>
      </w:r>
      <w:r w:rsidRPr="005F15DA">
        <w:t>e</w:t>
      </w:r>
      <w:r w:rsidRPr="005F15DA">
        <w:t>genüber dem anderen, nicht genügen dürfte die Eingehung einer Drittbeziehung durch einen Ehegatten.</w:t>
      </w:r>
    </w:p>
    <w:p w:rsidR="00737A6C" w:rsidRPr="005F15DA" w:rsidRDefault="00737A6C" w:rsidP="00737A6C"/>
    <w:p w:rsidR="00737A6C" w:rsidRPr="005F15DA" w:rsidRDefault="00737A6C" w:rsidP="00737A6C"/>
    <w:p w:rsidR="005D70F9" w:rsidRPr="005F15DA" w:rsidRDefault="005D70F9" w:rsidP="00737A6C">
      <w:pPr>
        <w:pStyle w:val="berschrift4"/>
      </w:pPr>
      <w:r w:rsidRPr="005F15DA">
        <w:rPr>
          <w:spacing w:val="-11"/>
        </w:rPr>
        <w:t>3.</w:t>
      </w:r>
      <w:r w:rsidRPr="005F15DA">
        <w:tab/>
        <w:t>Wirkungen der Ehe im allgemeinen (Art. 159 – 180 ZGB)</w:t>
      </w:r>
    </w:p>
    <w:p w:rsidR="005D70F9" w:rsidRPr="005F15DA" w:rsidRDefault="005D70F9" w:rsidP="00737A6C">
      <w:pPr>
        <w:tabs>
          <w:tab w:val="left" w:pos="851"/>
        </w:tabs>
        <w:ind w:left="426"/>
      </w:pPr>
      <w:r w:rsidRPr="005F15DA">
        <w:t>Mit der Eheschliessung werden die Ehegatten zu einer Partnerschaft mit völliger Gleic</w:t>
      </w:r>
      <w:r w:rsidRPr="005F15DA">
        <w:t>h</w:t>
      </w:r>
      <w:r w:rsidRPr="005F15DA">
        <w:t>berechtigung verbunden. Beide haben die gleichen persönlichen Rechte und Pflichten. Insbesondere hat die Ehe folgende Wirkungen:</w:t>
      </w:r>
    </w:p>
    <w:p w:rsidR="00737A6C" w:rsidRPr="005F15DA" w:rsidRDefault="00737A6C" w:rsidP="00737A6C">
      <w:pPr>
        <w:tabs>
          <w:tab w:val="left" w:pos="851"/>
        </w:tabs>
        <w:ind w:left="426"/>
      </w:pPr>
    </w:p>
    <w:p w:rsidR="005D70F9" w:rsidRPr="005F15DA" w:rsidRDefault="005D70F9" w:rsidP="00737A6C">
      <w:pPr>
        <w:tabs>
          <w:tab w:val="left" w:pos="851"/>
        </w:tabs>
        <w:ind w:left="851" w:hanging="425"/>
      </w:pPr>
      <w:r w:rsidRPr="005F15DA">
        <w:t>1.</w:t>
      </w:r>
      <w:r w:rsidRPr="005F15DA">
        <w:tab/>
        <w:t>Durch die Trauung werden die Ehegatten zur ehelichen Gemeinschaft verbunden. Sie verpflichten sich gegenseitig, das Wohl der Gemeinschaft in einträchtigem Z</w:t>
      </w:r>
      <w:r w:rsidRPr="005F15DA">
        <w:t>u</w:t>
      </w:r>
      <w:r w:rsidRPr="005F15DA">
        <w:t>sammenwirken zu wahren und für die Kinder gemeinsam zu sorgen. Sie schulden einander Treue und Beistand (Art. 159 ZGB).</w:t>
      </w:r>
    </w:p>
    <w:p w:rsidR="00737A6C" w:rsidRPr="005F15DA" w:rsidRDefault="00737A6C" w:rsidP="00737A6C">
      <w:pPr>
        <w:tabs>
          <w:tab w:val="left" w:pos="851"/>
        </w:tabs>
        <w:ind w:left="426"/>
      </w:pPr>
    </w:p>
    <w:p w:rsidR="005D70F9" w:rsidRDefault="005D70F9" w:rsidP="00737A6C">
      <w:pPr>
        <w:tabs>
          <w:tab w:val="left" w:pos="851"/>
        </w:tabs>
        <w:ind w:left="851" w:hanging="425"/>
      </w:pPr>
      <w:r w:rsidRPr="005F15DA">
        <w:lastRenderedPageBreak/>
        <w:t>2.</w:t>
      </w:r>
      <w:r w:rsidRPr="005F15DA">
        <w:tab/>
      </w:r>
      <w:r w:rsidR="00B92DCD">
        <w:t>Jeder Ehegatte behält seinen Namen. Die Brautleute können aber gegenüber dem Zivilstandesbeamten erklären, dass sie den Namen eines der beiden als gemeins</w:t>
      </w:r>
      <w:r w:rsidR="00B92DCD">
        <w:t>a</w:t>
      </w:r>
      <w:r w:rsidR="00B92DCD">
        <w:t>men Familiennamen tragen. Behalten die Brautleute ihren Namen, so best</w:t>
      </w:r>
      <w:r w:rsidR="000B53C4">
        <w:t>immen sie, welchen ihrer Ledignamen</w:t>
      </w:r>
      <w:r w:rsidR="00B92DCD">
        <w:t xml:space="preserve"> die Kinder tragen sollen (Art. 160 ZGB).</w:t>
      </w:r>
    </w:p>
    <w:p w:rsidR="00226CA4" w:rsidRPr="005F15DA" w:rsidRDefault="00226CA4" w:rsidP="00737A6C">
      <w:pPr>
        <w:tabs>
          <w:tab w:val="left" w:pos="851"/>
        </w:tabs>
        <w:ind w:left="851" w:hanging="425"/>
      </w:pPr>
    </w:p>
    <w:p w:rsidR="005D70F9" w:rsidRPr="005F15DA" w:rsidRDefault="005D70F9" w:rsidP="00737A6C">
      <w:pPr>
        <w:tabs>
          <w:tab w:val="left" w:pos="851"/>
        </w:tabs>
        <w:ind w:left="851" w:hanging="425"/>
      </w:pPr>
      <w:r w:rsidRPr="005F15DA">
        <w:t>3.</w:t>
      </w:r>
      <w:r w:rsidRPr="005F15DA">
        <w:tab/>
      </w:r>
      <w:r w:rsidR="000B53C4">
        <w:t>Jeder Ehegatte behält sein Bürgerrecht resp. seine Staatsbürgerschaft (Art</w:t>
      </w:r>
      <w:r w:rsidR="00226CA4">
        <w:t>. 161 ZGB</w:t>
      </w:r>
      <w:r w:rsidR="000B53C4">
        <w:t>).</w:t>
      </w:r>
    </w:p>
    <w:p w:rsidR="00737A6C" w:rsidRPr="005F15DA" w:rsidRDefault="00737A6C" w:rsidP="00737A6C">
      <w:pPr>
        <w:tabs>
          <w:tab w:val="left" w:pos="851"/>
        </w:tabs>
        <w:ind w:left="426"/>
      </w:pPr>
    </w:p>
    <w:p w:rsidR="005D70F9" w:rsidRPr="005F15DA" w:rsidRDefault="005D70F9" w:rsidP="00737A6C">
      <w:pPr>
        <w:tabs>
          <w:tab w:val="left" w:pos="851"/>
        </w:tabs>
        <w:ind w:left="851" w:hanging="425"/>
      </w:pPr>
      <w:r w:rsidRPr="005F15DA">
        <w:t>4.</w:t>
      </w:r>
      <w:r w:rsidRPr="005F15DA">
        <w:tab/>
        <w:t>Sie bestimmen gemeinsam die eheliche Wohnung (Art. 162 ZGB).</w:t>
      </w:r>
    </w:p>
    <w:p w:rsidR="00737A6C" w:rsidRPr="005F15DA" w:rsidRDefault="00737A6C" w:rsidP="00737A6C">
      <w:pPr>
        <w:tabs>
          <w:tab w:val="left" w:pos="851"/>
        </w:tabs>
        <w:ind w:left="426"/>
      </w:pPr>
    </w:p>
    <w:p w:rsidR="005D70F9" w:rsidRPr="005F15DA" w:rsidRDefault="005D70F9" w:rsidP="00737A6C">
      <w:pPr>
        <w:tabs>
          <w:tab w:val="left" w:pos="851"/>
        </w:tabs>
        <w:ind w:left="851" w:hanging="425"/>
      </w:pPr>
      <w:r w:rsidRPr="005F15DA">
        <w:t>5.</w:t>
      </w:r>
      <w:r w:rsidRPr="005F15DA">
        <w:tab/>
        <w:t>Die Ehegatten sorgen gemeinsam, ein jeder nach seinen Kräften, für den gebühre</w:t>
      </w:r>
      <w:r w:rsidRPr="005F15DA">
        <w:t>n</w:t>
      </w:r>
      <w:r w:rsidRPr="005F15DA">
        <w:t>den Unterhalt der Familie (Art. 163 ZGB).</w:t>
      </w:r>
    </w:p>
    <w:p w:rsidR="00737A6C" w:rsidRPr="005F15DA" w:rsidRDefault="00737A6C" w:rsidP="00737A6C">
      <w:pPr>
        <w:tabs>
          <w:tab w:val="left" w:pos="851"/>
        </w:tabs>
        <w:ind w:left="426"/>
      </w:pPr>
    </w:p>
    <w:p w:rsidR="005D70F9" w:rsidRPr="005F15DA" w:rsidRDefault="005D70F9" w:rsidP="00737A6C">
      <w:pPr>
        <w:tabs>
          <w:tab w:val="left" w:pos="851"/>
        </w:tabs>
        <w:ind w:left="851" w:hanging="425"/>
      </w:pPr>
      <w:r w:rsidRPr="005F15DA">
        <w:t>6.</w:t>
      </w:r>
      <w:r w:rsidRPr="005F15DA">
        <w:tab/>
        <w:t>Der Ehegatte, der den Haushalt besorgt, die Kinder betreut oder dem anderen im B</w:t>
      </w:r>
      <w:r w:rsidRPr="005F15DA">
        <w:t>e</w:t>
      </w:r>
      <w:r w:rsidRPr="005F15DA">
        <w:t>ruf oder Gewerbe hilft, hat Anspruch darauf, dass der andere ihm regelmässig einen angemessenen Beitrag zur freien Verfügung ausrichtet (Art. 164 ZGB).</w:t>
      </w:r>
    </w:p>
    <w:p w:rsidR="00737A6C" w:rsidRPr="005F15DA" w:rsidRDefault="00737A6C" w:rsidP="00737A6C">
      <w:pPr>
        <w:tabs>
          <w:tab w:val="left" w:pos="851"/>
        </w:tabs>
        <w:ind w:left="426"/>
      </w:pPr>
    </w:p>
    <w:p w:rsidR="005D70F9" w:rsidRPr="005F15DA" w:rsidRDefault="005D70F9" w:rsidP="00737A6C">
      <w:pPr>
        <w:tabs>
          <w:tab w:val="left" w:pos="851"/>
        </w:tabs>
        <w:ind w:left="851" w:hanging="425"/>
      </w:pPr>
      <w:r w:rsidRPr="005F15DA">
        <w:t>7.</w:t>
      </w:r>
      <w:r w:rsidRPr="005F15DA">
        <w:tab/>
        <w:t>Hat ein Ehegatte im Beruf oder Gewerbe des anderen erheblich mehr mitgearbeitet, als sein Beitrag an den Unterhalt der Familie verlangt, so hat er dafür Anspruch auf angemessene Entschädigung (Art. 165 ZGB), sofern er diese Mitarbeit nicht im Rahmen eines Arbeitsverhältnisses geleistet hat.</w:t>
      </w:r>
    </w:p>
    <w:p w:rsidR="00737A6C" w:rsidRPr="005F15DA" w:rsidRDefault="00737A6C" w:rsidP="00737A6C">
      <w:pPr>
        <w:tabs>
          <w:tab w:val="left" w:pos="851"/>
        </w:tabs>
        <w:ind w:left="426"/>
      </w:pPr>
    </w:p>
    <w:p w:rsidR="005D70F9" w:rsidRPr="005F15DA" w:rsidRDefault="005D70F9" w:rsidP="00737A6C">
      <w:pPr>
        <w:tabs>
          <w:tab w:val="left" w:pos="851"/>
        </w:tabs>
        <w:ind w:left="851" w:hanging="425"/>
      </w:pPr>
      <w:r w:rsidRPr="005F15DA">
        <w:t>8.</w:t>
      </w:r>
      <w:r w:rsidRPr="005F15DA">
        <w:tab/>
        <w:t>Jeder Ehegatte kann mit dem anderen oder Dritten Rechtsgeschäfte abschliessen (Art. 168 ZGB).</w:t>
      </w:r>
    </w:p>
    <w:p w:rsidR="00737A6C" w:rsidRPr="005F15DA" w:rsidRDefault="00737A6C" w:rsidP="00737A6C">
      <w:pPr>
        <w:tabs>
          <w:tab w:val="left" w:pos="851"/>
        </w:tabs>
        <w:ind w:left="426"/>
      </w:pPr>
    </w:p>
    <w:p w:rsidR="005D70F9" w:rsidRPr="005F15DA" w:rsidRDefault="005D70F9" w:rsidP="00737A6C">
      <w:pPr>
        <w:tabs>
          <w:tab w:val="left" w:pos="851"/>
        </w:tabs>
        <w:ind w:left="851" w:hanging="425"/>
      </w:pPr>
      <w:r w:rsidRPr="005F15DA">
        <w:t>9.</w:t>
      </w:r>
      <w:r w:rsidRPr="005F15DA">
        <w:tab/>
        <w:t>Ein Ehegatte kann nur mit der ausdrücklichen Zustimmung des anderen einen Mie</w:t>
      </w:r>
      <w:r w:rsidRPr="005F15DA">
        <w:t>t</w:t>
      </w:r>
      <w:r w:rsidRPr="005F15DA">
        <w:t>vertrag kündigen, das Haus oder die Wohnung der Familie veräussern oder durch andere Rechtsgeschäfte die Rechte an den Wohnräumen der Familie beschränken (Art. 169 ZGB). Dies gilt auch, wenn ein Ehegatte Alleineigentümer der ehelichen Wohnung ist. Verweigert ein Ehegatte grundlos die Zustimmung zur Kündigung oder zum Verkauf, so kann der andere sich an den Richter wenden. Bezüglich des Mie</w:t>
      </w:r>
      <w:r w:rsidRPr="005F15DA">
        <w:t>t</w:t>
      </w:r>
      <w:r w:rsidRPr="005F15DA">
        <w:t>vertrages gilt zudem festzuhalten, dass auch der Vermieter beiden Ehegatten sep</w:t>
      </w:r>
      <w:r w:rsidRPr="005F15DA">
        <w:t>a</w:t>
      </w:r>
      <w:r w:rsidRPr="005F15DA">
        <w:t>rate Kündigungen zustellen muss, wenn es sich um die eheliche Wohnung der Mieter handelt, ebenfalls unabhängig davon, wer Vertragspartei des Vermieters ist. Nicht als eheliche Wohnung gilt eine Ferien- oder Zweitwohnung.</w:t>
      </w:r>
    </w:p>
    <w:p w:rsidR="00737A6C" w:rsidRPr="005F15DA" w:rsidRDefault="00737A6C" w:rsidP="00737A6C">
      <w:pPr>
        <w:tabs>
          <w:tab w:val="left" w:pos="851"/>
        </w:tabs>
        <w:ind w:left="426"/>
      </w:pPr>
    </w:p>
    <w:p w:rsidR="005D70F9" w:rsidRPr="005F15DA" w:rsidRDefault="005D70F9" w:rsidP="00737A6C">
      <w:pPr>
        <w:tabs>
          <w:tab w:val="left" w:pos="851"/>
        </w:tabs>
        <w:ind w:left="851" w:hanging="425"/>
      </w:pPr>
      <w:r w:rsidRPr="005F15DA">
        <w:t>10.</w:t>
      </w:r>
      <w:r w:rsidRPr="005F15DA">
        <w:tab/>
        <w:t>Die Ehegatten haben sich gegenseitig Auskunft über ihre finanziellen Verhältnisse (Einkommen, Schulden, Vermögen) zu erteilen (Art. 170 ZGB).</w:t>
      </w:r>
    </w:p>
    <w:p w:rsidR="00737A6C" w:rsidRPr="005F15DA" w:rsidRDefault="00737A6C" w:rsidP="00737A6C"/>
    <w:p w:rsidR="00737A6C" w:rsidRPr="005F15DA" w:rsidRDefault="00737A6C" w:rsidP="00737A6C"/>
    <w:p w:rsidR="00737A6C" w:rsidRPr="005F15DA" w:rsidRDefault="00737A6C" w:rsidP="00737A6C"/>
    <w:p w:rsidR="005D70F9" w:rsidRPr="005F15DA" w:rsidRDefault="005D70F9" w:rsidP="005759BE">
      <w:pPr>
        <w:pStyle w:val="berschrift3"/>
        <w:rPr>
          <w:lang w:val="de-CH"/>
        </w:rPr>
      </w:pPr>
      <w:bookmarkStart w:id="32" w:name="_Toc432175560"/>
      <w:r w:rsidRPr="005F15DA">
        <w:rPr>
          <w:spacing w:val="-17"/>
          <w:lang w:val="de-CH"/>
        </w:rPr>
        <w:t>D.</w:t>
      </w:r>
      <w:r w:rsidRPr="005F15DA">
        <w:rPr>
          <w:lang w:val="de-CH"/>
        </w:rPr>
        <w:tab/>
        <w:t>Eheverträge</w:t>
      </w:r>
      <w:bookmarkEnd w:id="32"/>
    </w:p>
    <w:p w:rsidR="00226CA4" w:rsidRDefault="00226CA4" w:rsidP="00737A6C"/>
    <w:p w:rsidR="005D70F9" w:rsidRPr="005F15DA" w:rsidRDefault="005D70F9" w:rsidP="00737A6C">
      <w:r w:rsidRPr="005F15DA">
        <w:t>Eheverträge sind Vereinbarungen unter Ehegatten oder Verlobten. Sie entfalten ihre rechtl</w:t>
      </w:r>
      <w:r w:rsidRPr="005F15DA">
        <w:t>i</w:t>
      </w:r>
      <w:r w:rsidRPr="005F15DA">
        <w:t xml:space="preserve">chen Wirkungen in jedem Fall erst mit der Eheschliessung. Die Parteien können damit ihre vermögensrechtlichen Verhältnisse selber ordnen. Eheverträge bedürfen zu ihrer Gültigkeit der öffentlichen Beurkundung. Sie müssen also vor einer Urkundsperson (Kt. Bern: bernischer </w:t>
      </w:r>
      <w:r w:rsidRPr="005F15DA">
        <w:lastRenderedPageBreak/>
        <w:t>Notar) abgeschlossen werden. Der öffentlich beurkundete Ehevertrag ist dann unter den Pa</w:t>
      </w:r>
      <w:r w:rsidRPr="005F15DA">
        <w:t>r</w:t>
      </w:r>
      <w:r w:rsidRPr="005F15DA">
        <w:t>teien und deren Erben sowie gegenüber Drittpersonen ohne weiteres gültig.</w:t>
      </w:r>
    </w:p>
    <w:p w:rsidR="00737A6C" w:rsidRPr="005F15DA" w:rsidRDefault="00737A6C" w:rsidP="00737A6C"/>
    <w:p w:rsidR="00737A6C" w:rsidRPr="005F15DA" w:rsidRDefault="005D70F9" w:rsidP="00737A6C">
      <w:r w:rsidRPr="005F15DA">
        <w:t>Mit dem Abschluss eines Ehevertrages können die Parteien entweder</w:t>
      </w:r>
    </w:p>
    <w:p w:rsidR="005D70F9" w:rsidRPr="005F15DA" w:rsidRDefault="00737A6C" w:rsidP="00737A6C">
      <w:pPr>
        <w:tabs>
          <w:tab w:val="left" w:pos="426"/>
        </w:tabs>
      </w:pPr>
      <w:r w:rsidRPr="005F15DA">
        <w:t>-</w:t>
      </w:r>
      <w:r w:rsidRPr="005F15DA">
        <w:tab/>
      </w:r>
      <w:r w:rsidR="005D70F9" w:rsidRPr="005F15DA">
        <w:t>einen anderen Güterstand wählen oder</w:t>
      </w:r>
    </w:p>
    <w:p w:rsidR="005D70F9" w:rsidRDefault="00737A6C" w:rsidP="00737A6C">
      <w:pPr>
        <w:tabs>
          <w:tab w:val="left" w:pos="426"/>
        </w:tabs>
      </w:pPr>
      <w:r w:rsidRPr="005F15DA">
        <w:t>-</w:t>
      </w:r>
      <w:r w:rsidRPr="005F15DA">
        <w:tab/>
      </w:r>
      <w:r w:rsidR="005D70F9" w:rsidRPr="005F15DA">
        <w:t xml:space="preserve">innerhalb eines Güterstandes </w:t>
      </w:r>
      <w:proofErr w:type="gramStart"/>
      <w:r w:rsidR="005D70F9" w:rsidRPr="005F15DA">
        <w:t>gewisse</w:t>
      </w:r>
      <w:proofErr w:type="gramEnd"/>
      <w:r w:rsidR="005D70F9" w:rsidRPr="005F15DA">
        <w:t xml:space="preserve"> Änderungen vornehmen.</w:t>
      </w:r>
    </w:p>
    <w:p w:rsidR="00226CA4" w:rsidRDefault="00226CA4" w:rsidP="00737A6C">
      <w:pPr>
        <w:tabs>
          <w:tab w:val="left" w:pos="426"/>
        </w:tabs>
      </w:pPr>
    </w:p>
    <w:p w:rsidR="00226CA4" w:rsidRDefault="00226CA4" w:rsidP="00737A6C">
      <w:pPr>
        <w:tabs>
          <w:tab w:val="left" w:pos="426"/>
        </w:tabs>
      </w:pPr>
    </w:p>
    <w:p w:rsidR="00226CA4" w:rsidRDefault="00226CA4" w:rsidP="00737A6C">
      <w:pPr>
        <w:tabs>
          <w:tab w:val="left" w:pos="426"/>
        </w:tabs>
      </w:pPr>
    </w:p>
    <w:p w:rsidR="00226CA4" w:rsidRPr="005F15DA" w:rsidRDefault="00226CA4" w:rsidP="00737A6C">
      <w:pPr>
        <w:tabs>
          <w:tab w:val="left" w:pos="426"/>
        </w:tabs>
      </w:pPr>
    </w:p>
    <w:p w:rsidR="005D70F9" w:rsidRPr="005F15DA" w:rsidRDefault="005D70F9" w:rsidP="00E36E8F">
      <w:pPr>
        <w:pStyle w:val="berschrift2"/>
      </w:pPr>
      <w:bookmarkStart w:id="33" w:name="_Toc432175561"/>
      <w:r w:rsidRPr="005F15DA">
        <w:t>II. Güterrecht</w:t>
      </w:r>
      <w:bookmarkEnd w:id="33"/>
    </w:p>
    <w:p w:rsidR="00B11D0F" w:rsidRPr="005F15DA" w:rsidRDefault="00B11D0F" w:rsidP="00226CA4">
      <w:r w:rsidRPr="005F15DA">
        <w:t>____</w:t>
      </w:r>
      <w:r w:rsidR="005B0AC0" w:rsidRPr="005F15DA">
        <w:t>__________</w:t>
      </w:r>
      <w:r w:rsidR="00226CA4">
        <w:t>__</w:t>
      </w:r>
    </w:p>
    <w:p w:rsidR="00737A6C" w:rsidRPr="005F15DA" w:rsidRDefault="00737A6C" w:rsidP="00737A6C"/>
    <w:p w:rsidR="00737A6C" w:rsidRPr="005F15DA" w:rsidRDefault="00737A6C" w:rsidP="00737A6C"/>
    <w:p w:rsidR="005D70F9" w:rsidRPr="005F15DA" w:rsidRDefault="005D70F9" w:rsidP="00737A6C">
      <w:pPr>
        <w:tabs>
          <w:tab w:val="left" w:pos="426"/>
        </w:tabs>
      </w:pPr>
      <w:r w:rsidRPr="005F15DA">
        <w:t>-</w:t>
      </w:r>
      <w:r w:rsidRPr="005F15DA">
        <w:tab/>
        <w:t>Was beinhaltet das Güterrecht?</w:t>
      </w:r>
    </w:p>
    <w:p w:rsidR="005D70F9" w:rsidRPr="005F15DA" w:rsidRDefault="005D70F9" w:rsidP="00737A6C">
      <w:pPr>
        <w:tabs>
          <w:tab w:val="left" w:pos="426"/>
        </w:tabs>
      </w:pPr>
      <w:r w:rsidRPr="005F15DA">
        <w:t>-</w:t>
      </w:r>
      <w:r w:rsidRPr="005F15DA">
        <w:tab/>
      </w:r>
      <w:r w:rsidRPr="005F15DA">
        <w:rPr>
          <w:spacing w:val="-4"/>
        </w:rPr>
        <w:t>Welche Güterstände unterscheidet das Gesetz?</w:t>
      </w:r>
    </w:p>
    <w:p w:rsidR="005D70F9" w:rsidRPr="005F15DA" w:rsidRDefault="005D70F9" w:rsidP="00737A6C">
      <w:pPr>
        <w:tabs>
          <w:tab w:val="left" w:pos="426"/>
          <w:tab w:val="left" w:pos="851"/>
        </w:tabs>
        <w:ind w:firstLine="426"/>
        <w:rPr>
          <w:spacing w:val="-4"/>
        </w:rPr>
      </w:pPr>
      <w:r w:rsidRPr="005F15DA">
        <w:t>-</w:t>
      </w:r>
      <w:r w:rsidRPr="005F15DA">
        <w:tab/>
      </w:r>
      <w:r w:rsidRPr="005F15DA">
        <w:rPr>
          <w:spacing w:val="-4"/>
        </w:rPr>
        <w:t>Errungenschaftsbeteiligung</w:t>
      </w:r>
    </w:p>
    <w:p w:rsidR="005D70F9" w:rsidRPr="005F15DA" w:rsidRDefault="005D70F9" w:rsidP="00737A6C">
      <w:pPr>
        <w:tabs>
          <w:tab w:val="left" w:pos="426"/>
          <w:tab w:val="left" w:pos="851"/>
        </w:tabs>
        <w:ind w:firstLine="426"/>
        <w:rPr>
          <w:spacing w:val="-4"/>
        </w:rPr>
      </w:pPr>
      <w:r w:rsidRPr="005F15DA">
        <w:rPr>
          <w:spacing w:val="-4"/>
        </w:rPr>
        <w:t>-</w:t>
      </w:r>
      <w:r w:rsidRPr="005F15DA">
        <w:rPr>
          <w:spacing w:val="-4"/>
        </w:rPr>
        <w:tab/>
        <w:t>Gütergemeinschaft</w:t>
      </w:r>
    </w:p>
    <w:p w:rsidR="005D70F9" w:rsidRPr="005F15DA" w:rsidRDefault="005D70F9" w:rsidP="00737A6C">
      <w:pPr>
        <w:tabs>
          <w:tab w:val="left" w:pos="426"/>
          <w:tab w:val="left" w:pos="851"/>
        </w:tabs>
        <w:ind w:firstLine="426"/>
      </w:pPr>
      <w:r w:rsidRPr="005F15DA">
        <w:t>-</w:t>
      </w:r>
      <w:r w:rsidRPr="005F15DA">
        <w:tab/>
        <w:t>Gütertrennung</w:t>
      </w:r>
    </w:p>
    <w:p w:rsidR="005D70F9" w:rsidRPr="005F15DA" w:rsidRDefault="005D70F9" w:rsidP="00737A6C">
      <w:pPr>
        <w:tabs>
          <w:tab w:val="left" w:pos="426"/>
        </w:tabs>
      </w:pPr>
      <w:r w:rsidRPr="005F15DA">
        <w:rPr>
          <w:spacing w:val="-2"/>
        </w:rPr>
        <w:t>-</w:t>
      </w:r>
      <w:r w:rsidRPr="005F15DA">
        <w:rPr>
          <w:spacing w:val="-2"/>
        </w:rPr>
        <w:tab/>
        <w:t>Wie können bestehende Güterstände abgeändert werden?</w:t>
      </w:r>
    </w:p>
    <w:p w:rsidR="00737A6C" w:rsidRPr="005F15DA" w:rsidRDefault="00737A6C" w:rsidP="00737A6C"/>
    <w:p w:rsidR="00737A6C" w:rsidRPr="005F15DA" w:rsidRDefault="00737A6C" w:rsidP="00737A6C"/>
    <w:p w:rsidR="005D70F9" w:rsidRPr="005F15DA" w:rsidRDefault="005D70F9" w:rsidP="005759BE">
      <w:pPr>
        <w:pStyle w:val="berschrift3"/>
        <w:rPr>
          <w:lang w:val="de-CH"/>
        </w:rPr>
      </w:pPr>
      <w:bookmarkStart w:id="34" w:name="_Toc432175562"/>
      <w:r w:rsidRPr="005F15DA">
        <w:rPr>
          <w:lang w:val="de-CH"/>
        </w:rPr>
        <w:t>A.</w:t>
      </w:r>
      <w:r w:rsidRPr="005F15DA">
        <w:rPr>
          <w:lang w:val="de-CH"/>
        </w:rPr>
        <w:tab/>
        <w:t xml:space="preserve">Allgemeine Vorschriften </w:t>
      </w:r>
      <w:r w:rsidRPr="005F15DA">
        <w:rPr>
          <w:szCs w:val="22"/>
          <w:lang w:val="de-CH"/>
        </w:rPr>
        <w:t>(Art. 181 – 195a ZGB)</w:t>
      </w:r>
      <w:bookmarkEnd w:id="34"/>
    </w:p>
    <w:p w:rsidR="00226CA4" w:rsidRDefault="00226CA4" w:rsidP="006B393B">
      <w:pPr>
        <w:tabs>
          <w:tab w:val="left" w:pos="426"/>
        </w:tabs>
      </w:pPr>
    </w:p>
    <w:p w:rsidR="005D70F9" w:rsidRPr="005F15DA" w:rsidRDefault="005D70F9" w:rsidP="006B393B">
      <w:pPr>
        <w:tabs>
          <w:tab w:val="left" w:pos="426"/>
        </w:tabs>
      </w:pPr>
      <w:r w:rsidRPr="005F15DA">
        <w:t>Das Güterrecht regelt die Vermögensverhältnisse der Ehegatten während der Ehe und die Ansprüche jedes Ehegatten bei der Auflösung der Ehe. Auf das Einkommen hat das Güte</w:t>
      </w:r>
      <w:r w:rsidRPr="005F15DA">
        <w:t>r</w:t>
      </w:r>
      <w:r w:rsidRPr="005F15DA">
        <w:t>recht keinen Einfluss.</w:t>
      </w:r>
    </w:p>
    <w:p w:rsidR="006B393B" w:rsidRPr="005F15DA" w:rsidRDefault="006B393B" w:rsidP="006B393B">
      <w:pPr>
        <w:tabs>
          <w:tab w:val="left" w:pos="426"/>
        </w:tabs>
      </w:pPr>
    </w:p>
    <w:p w:rsidR="005D70F9" w:rsidRPr="005F15DA" w:rsidRDefault="005D70F9" w:rsidP="006B393B">
      <w:pPr>
        <w:tabs>
          <w:tab w:val="left" w:pos="426"/>
        </w:tabs>
      </w:pPr>
      <w:r w:rsidRPr="005F15DA">
        <w:t>Der Gesetzgeber hat das eheliche Güterrecht und somit auch die Wahl, wie die Vermögen</w:t>
      </w:r>
      <w:r w:rsidRPr="005F15DA">
        <w:t>s</w:t>
      </w:r>
      <w:r w:rsidRPr="005F15DA">
        <w:t>verhältnisse der Ehepartner geregelt sein sollen, nicht dem alleinigen Willen der Betroffenen unterstellt. Dies insbesondere deswegen nicht, weil die meisten Brautleute an eine Regelung ihrer wirtschaftlichen Verhältnisse gar nicht denken. Das Gesetz hat deshalb für die zahlre</w:t>
      </w:r>
      <w:r w:rsidRPr="005F15DA">
        <w:t>i</w:t>
      </w:r>
      <w:r w:rsidRPr="005F15DA">
        <w:t>chen Fälle, in denen die Ehegatten auf eine Vereinbarung in einem Ehevertrag verzichten, einen gesetzlichen Güterstand aufgestellt.</w:t>
      </w:r>
    </w:p>
    <w:p w:rsidR="006B393B" w:rsidRPr="005F15DA" w:rsidRDefault="006B393B" w:rsidP="006B393B">
      <w:pPr>
        <w:tabs>
          <w:tab w:val="left" w:pos="426"/>
        </w:tabs>
      </w:pPr>
    </w:p>
    <w:p w:rsidR="005D70F9" w:rsidRPr="005F15DA" w:rsidRDefault="005D70F9" w:rsidP="006B393B">
      <w:pPr>
        <w:tabs>
          <w:tab w:val="left" w:pos="426"/>
        </w:tabs>
      </w:pPr>
      <w:r w:rsidRPr="005F15DA">
        <w:t>Das Gesetz stellt den Ehegatten drei mögliche Güterstände zur Verfügung:</w:t>
      </w:r>
    </w:p>
    <w:p w:rsidR="005D70F9" w:rsidRPr="005F15DA" w:rsidRDefault="005D70F9" w:rsidP="006B393B">
      <w:pPr>
        <w:spacing w:before="120"/>
        <w:jc w:val="both"/>
      </w:pPr>
    </w:p>
    <w:p w:rsidR="005D70F9" w:rsidRPr="005F15DA" w:rsidRDefault="00656BDE" w:rsidP="006B393B">
      <w:pPr>
        <w:tabs>
          <w:tab w:val="left" w:pos="3544"/>
          <w:tab w:val="left" w:pos="6521"/>
        </w:tabs>
        <w:spacing w:before="120"/>
        <w:jc w:val="both"/>
        <w:rPr>
          <w:spacing w:val="-5"/>
          <w:szCs w:val="22"/>
        </w:rPr>
      </w:pPr>
      <w:r w:rsidRPr="005F15DA">
        <w:rPr>
          <w:noProof/>
          <w:spacing w:val="-5"/>
          <w:szCs w:val="22"/>
          <w:lang w:eastAsia="de-CH"/>
        </w:rPr>
        <mc:AlternateContent>
          <mc:Choice Requires="wps">
            <w:drawing>
              <wp:anchor distT="0" distB="0" distL="114300" distR="114300" simplePos="0" relativeHeight="251730944" behindDoc="0" locked="0" layoutInCell="1" allowOverlap="1" wp14:anchorId="042C53AE" wp14:editId="3392D9FB">
                <wp:simplePos x="0" y="0"/>
                <wp:positionH relativeFrom="column">
                  <wp:posOffset>12065</wp:posOffset>
                </wp:positionH>
                <wp:positionV relativeFrom="paragraph">
                  <wp:posOffset>146685</wp:posOffset>
                </wp:positionV>
                <wp:extent cx="1905000" cy="845820"/>
                <wp:effectExtent l="0" t="0" r="19050" b="11430"/>
                <wp:wrapNone/>
                <wp:docPr id="30" name="Rectangle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0" cy="845820"/>
                        </a:xfrm>
                        <a:prstGeom prst="rect">
                          <a:avLst/>
                        </a:prstGeom>
                        <a:solidFill>
                          <a:srgbClr val="FFFFFF"/>
                        </a:solidFill>
                        <a:ln w="9525">
                          <a:solidFill>
                            <a:srgbClr val="000000"/>
                          </a:solidFill>
                          <a:miter lim="800000"/>
                          <a:headEnd/>
                          <a:tailEnd/>
                        </a:ln>
                      </wps:spPr>
                      <wps:txbx>
                        <w:txbxContent>
                          <w:p w:rsidR="007371BD" w:rsidRDefault="007371BD" w:rsidP="00656BDE">
                            <w:pPr>
                              <w:jc w:val="center"/>
                            </w:pPr>
                            <w:r w:rsidRPr="000B3C07">
                              <w:t>Errungenschaftsbeteiligung</w:t>
                            </w:r>
                          </w:p>
                          <w:p w:rsidR="007371BD" w:rsidRDefault="007371BD" w:rsidP="00656BDE">
                            <w:pPr>
                              <w:jc w:val="center"/>
                            </w:pPr>
                            <w:r w:rsidRPr="000B3C07">
                              <w:t>=</w:t>
                            </w:r>
                          </w:p>
                          <w:p w:rsidR="007371BD" w:rsidRPr="000B3C07" w:rsidRDefault="007371BD" w:rsidP="00656BDE">
                            <w:pPr>
                              <w:jc w:val="center"/>
                            </w:pPr>
                            <w:r w:rsidRPr="000B3C07">
                              <w:t>ordentlicher</w:t>
                            </w:r>
                            <w:r>
                              <w:t xml:space="preserve"> </w:t>
                            </w:r>
                            <w:r w:rsidRPr="000B3C07">
                              <w:t>Güterstand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0" o:spid="_x0000_s1041" style="position:absolute;left:0;text-align:left;margin-left:.95pt;margin-top:11.55pt;width:150pt;height:66.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">
                <v:textbox>
                  <w:txbxContent>
                    <w:p w:rsidR="007371BD" w:rsidRDefault="007371BD" w:rsidP="00656BDE">
                      <w:pPr>
                        <w:jc w:val="center"/>
                      </w:pPr>
                      <w:r w:rsidRPr="000B3C07">
                        <w:t>Errungenschaftsbeteiligung</w:t>
                      </w:r>
                    </w:p>
                    <w:p w:rsidR="007371BD" w:rsidRDefault="007371BD" w:rsidP="00656BDE">
                      <w:pPr>
                        <w:jc w:val="center"/>
                      </w:pPr>
                      <w:r w:rsidRPr="000B3C07">
                        <w:t>=</w:t>
                      </w:r>
                    </w:p>
                    <w:p w:rsidR="007371BD" w:rsidRPr="000B3C07" w:rsidRDefault="007371BD" w:rsidP="00656BDE">
                      <w:pPr>
                        <w:jc w:val="center"/>
                      </w:pPr>
                      <w:r w:rsidRPr="000B3C07">
                        <w:t>ordentlicher</w:t>
                      </w:r>
                      <w:r>
                        <w:t xml:space="preserve"> </w:t>
                      </w:r>
                      <w:r w:rsidRPr="000B3C07">
                        <w:t>Güterstand</w:t>
                      </w:r>
                    </w:p>
                  </w:txbxContent>
                </v:textbox>
              </v:rect>
            </w:pict>
          </mc:Fallback>
        </mc:AlternateContent>
      </w:r>
      <w:r w:rsidRPr="005F15DA">
        <w:rPr>
          <w:noProof/>
          <w:spacing w:val="-5"/>
          <w:szCs w:val="22"/>
          <w:lang w:eastAsia="de-CH"/>
        </w:rPr>
        <mc:AlternateContent>
          <mc:Choice Requires="wps">
            <w:drawing>
              <wp:anchor distT="0" distB="0" distL="114300" distR="114300" simplePos="0" relativeHeight="251731968" behindDoc="0" locked="0" layoutInCell="1" allowOverlap="1" wp14:anchorId="23C14CA0" wp14:editId="49A552D1">
                <wp:simplePos x="0" y="0"/>
                <wp:positionH relativeFrom="column">
                  <wp:posOffset>2032635</wp:posOffset>
                </wp:positionH>
                <wp:positionV relativeFrom="paragraph">
                  <wp:posOffset>151130</wp:posOffset>
                </wp:positionV>
                <wp:extent cx="1875155" cy="842010"/>
                <wp:effectExtent l="0" t="0" r="10795" b="15240"/>
                <wp:wrapNone/>
                <wp:docPr id="31" name="Rectangle 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5155" cy="842010"/>
                        </a:xfrm>
                        <a:prstGeom prst="rect">
                          <a:avLst/>
                        </a:prstGeom>
                        <a:solidFill>
                          <a:srgbClr val="FFFFFF"/>
                        </a:solidFill>
                        <a:ln w="9525">
                          <a:solidFill>
                            <a:srgbClr val="000000"/>
                          </a:solidFill>
                          <a:miter lim="800000"/>
                          <a:headEnd/>
                          <a:tailEnd/>
                        </a:ln>
                      </wps:spPr>
                      <wps:txbx>
                        <w:txbxContent>
                          <w:p w:rsidR="007371BD" w:rsidRDefault="007371BD" w:rsidP="00F001AD">
                            <w:pPr>
                              <w:jc w:val="center"/>
                            </w:pPr>
                            <w:r>
                              <w:t>Gütergemeinschaft</w:t>
                            </w:r>
                          </w:p>
                          <w:p w:rsidR="007371BD" w:rsidRDefault="007371BD" w:rsidP="00F001AD">
                            <w:pPr>
                              <w:jc w:val="center"/>
                            </w:pPr>
                            <w:r>
                              <w:t>=</w:t>
                            </w:r>
                          </w:p>
                          <w:p w:rsidR="007371BD" w:rsidRPr="009A0191" w:rsidRDefault="007371BD" w:rsidP="00F001AD">
                            <w:pPr>
                              <w:jc w:val="center"/>
                            </w:pPr>
                            <w:r>
                              <w:t>vertraglicher Güterstand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4" o:spid="_x0000_s1042" style="position:absolute;left:0;text-align:left;margin-left:160.05pt;margin-top:11.9pt;width:147.65pt;height:66.3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">
                <v:textbox>
                  <w:txbxContent>
                    <w:p w:rsidR="007371BD" w:rsidRDefault="007371BD" w:rsidP="00F001AD">
                      <w:pPr>
                        <w:jc w:val="center"/>
                      </w:pPr>
                      <w:r>
                        <w:t>Gütergemeinschaft</w:t>
                      </w:r>
                    </w:p>
                    <w:p w:rsidR="007371BD" w:rsidRDefault="007371BD" w:rsidP="00F001AD">
                      <w:pPr>
                        <w:jc w:val="center"/>
                      </w:pPr>
                      <w:r>
                        <w:t>=</w:t>
                      </w:r>
                    </w:p>
                    <w:p w:rsidR="007371BD" w:rsidRPr="009A0191" w:rsidRDefault="007371BD" w:rsidP="00F001AD">
                      <w:pPr>
                        <w:jc w:val="center"/>
                      </w:pPr>
                      <w:r>
                        <w:t>vertraglicher Güterstand</w:t>
                      </w:r>
                    </w:p>
                  </w:txbxContent>
                </v:textbox>
              </v:rect>
            </w:pict>
          </mc:Fallback>
        </mc:AlternateContent>
      </w:r>
      <w:r w:rsidRPr="005F15DA">
        <w:rPr>
          <w:noProof/>
          <w:spacing w:val="-5"/>
          <w:szCs w:val="22"/>
          <w:lang w:eastAsia="de-CH"/>
        </w:rPr>
        <mc:AlternateContent>
          <mc:Choice Requires="wps">
            <w:drawing>
              <wp:anchor distT="0" distB="0" distL="114300" distR="114300" simplePos="0" relativeHeight="251732992" behindDoc="0" locked="0" layoutInCell="1" allowOverlap="1" wp14:anchorId="6666FAB5" wp14:editId="17ACE958">
                <wp:simplePos x="0" y="0"/>
                <wp:positionH relativeFrom="column">
                  <wp:posOffset>4001770</wp:posOffset>
                </wp:positionH>
                <wp:positionV relativeFrom="paragraph">
                  <wp:posOffset>151130</wp:posOffset>
                </wp:positionV>
                <wp:extent cx="1752600" cy="842010"/>
                <wp:effectExtent l="0" t="0" r="19050" b="15240"/>
                <wp:wrapNone/>
                <wp:docPr id="32" name="Rectangle 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842010"/>
                        </a:xfrm>
                        <a:prstGeom prst="rect">
                          <a:avLst/>
                        </a:prstGeom>
                        <a:solidFill>
                          <a:srgbClr val="FFFFFF"/>
                        </a:solidFill>
                        <a:ln w="9525">
                          <a:solidFill>
                            <a:srgbClr val="000000"/>
                          </a:solidFill>
                          <a:miter lim="800000"/>
                          <a:headEnd/>
                          <a:tailEnd/>
                        </a:ln>
                      </wps:spPr>
                      <wps:txbx>
                        <w:txbxContent>
                          <w:p w:rsidR="007371BD" w:rsidRDefault="007371BD" w:rsidP="00F001AD">
                            <w:pPr>
                              <w:jc w:val="center"/>
                            </w:pPr>
                            <w:r>
                              <w:t>Gütertrennung</w:t>
                            </w:r>
                          </w:p>
                          <w:p w:rsidR="007371BD" w:rsidRDefault="007371BD" w:rsidP="00F001AD">
                            <w:pPr>
                              <w:jc w:val="center"/>
                            </w:pPr>
                            <w:r>
                              <w:t>=</w:t>
                            </w:r>
                          </w:p>
                          <w:p w:rsidR="007371BD" w:rsidRPr="009A0191" w:rsidRDefault="007371BD" w:rsidP="00F001AD">
                            <w:pPr>
                              <w:jc w:val="center"/>
                            </w:pPr>
                            <w:r>
                              <w:t>ausserordentlicher G</w:t>
                            </w:r>
                            <w:r>
                              <w:t>ü</w:t>
                            </w:r>
                            <w:r>
                              <w:t>terstand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5" o:spid="_x0000_s1043" style="position:absolute;left:0;text-align:left;margin-left:315.1pt;margin-top:11.9pt;width:138pt;height:66.3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">
                <v:textbox>
                  <w:txbxContent>
                    <w:p w:rsidR="007371BD" w:rsidRDefault="007371BD" w:rsidP="00F001AD">
                      <w:pPr>
                        <w:jc w:val="center"/>
                      </w:pPr>
                      <w:r>
                        <w:t>Gütertrennung</w:t>
                      </w:r>
                    </w:p>
                    <w:p w:rsidR="007371BD" w:rsidRDefault="007371BD" w:rsidP="00F001AD">
                      <w:pPr>
                        <w:jc w:val="center"/>
                      </w:pPr>
                      <w:r>
                        <w:t>=</w:t>
                      </w:r>
                    </w:p>
                    <w:p w:rsidR="007371BD" w:rsidRPr="009A0191" w:rsidRDefault="007371BD" w:rsidP="00F001AD">
                      <w:pPr>
                        <w:jc w:val="center"/>
                      </w:pPr>
                      <w:r>
                        <w:t>ausserordentlicher G</w:t>
                      </w:r>
                      <w:r>
                        <w:t>ü</w:t>
                      </w:r>
                      <w:r>
                        <w:t>terstand</w:t>
                      </w:r>
                    </w:p>
                  </w:txbxContent>
                </v:textbox>
              </v:rect>
            </w:pict>
          </mc:Fallback>
        </mc:AlternateContent>
      </w:r>
    </w:p>
    <w:p w:rsidR="005D70F9" w:rsidRPr="005F15DA" w:rsidRDefault="005D70F9" w:rsidP="006B393B">
      <w:pPr>
        <w:tabs>
          <w:tab w:val="left" w:pos="3544"/>
          <w:tab w:val="left" w:pos="6521"/>
        </w:tabs>
        <w:spacing w:before="120"/>
        <w:jc w:val="both"/>
        <w:rPr>
          <w:spacing w:val="-5"/>
          <w:szCs w:val="22"/>
        </w:rPr>
      </w:pPr>
    </w:p>
    <w:p w:rsidR="005D70F9" w:rsidRPr="005F15DA" w:rsidRDefault="005D70F9" w:rsidP="006B393B">
      <w:pPr>
        <w:tabs>
          <w:tab w:val="left" w:pos="3544"/>
          <w:tab w:val="left" w:pos="6521"/>
        </w:tabs>
        <w:spacing w:before="120"/>
        <w:jc w:val="both"/>
        <w:rPr>
          <w:spacing w:val="-5"/>
          <w:szCs w:val="22"/>
        </w:rPr>
      </w:pPr>
    </w:p>
    <w:p w:rsidR="005D70F9" w:rsidRPr="005F15DA" w:rsidRDefault="005D70F9" w:rsidP="006B393B">
      <w:pPr>
        <w:tabs>
          <w:tab w:val="left" w:pos="3544"/>
          <w:tab w:val="left" w:pos="6521"/>
        </w:tabs>
        <w:spacing w:before="120"/>
        <w:jc w:val="both"/>
        <w:rPr>
          <w:spacing w:val="-5"/>
          <w:szCs w:val="22"/>
        </w:rPr>
      </w:pPr>
    </w:p>
    <w:p w:rsidR="005D70F9" w:rsidRPr="005F15DA" w:rsidRDefault="005D70F9" w:rsidP="006B393B">
      <w:pPr>
        <w:tabs>
          <w:tab w:val="left" w:pos="3544"/>
          <w:tab w:val="left" w:pos="6521"/>
        </w:tabs>
        <w:spacing w:before="120"/>
        <w:jc w:val="both"/>
        <w:rPr>
          <w:spacing w:val="-5"/>
          <w:szCs w:val="22"/>
        </w:rPr>
      </w:pPr>
    </w:p>
    <w:p w:rsidR="006B393B" w:rsidRPr="005F15DA" w:rsidRDefault="006B393B" w:rsidP="006B393B">
      <w:pPr>
        <w:tabs>
          <w:tab w:val="left" w:pos="426"/>
        </w:tabs>
      </w:pPr>
    </w:p>
    <w:p w:rsidR="005D70F9" w:rsidRPr="005F15DA" w:rsidRDefault="005D70F9" w:rsidP="006B393B">
      <w:pPr>
        <w:tabs>
          <w:tab w:val="left" w:pos="426"/>
        </w:tabs>
      </w:pPr>
      <w:r w:rsidRPr="005F15DA">
        <w:lastRenderedPageBreak/>
        <w:t xml:space="preserve">Weitere Möglichkeiten bestehen nicht. Einzig Ehegatten, welche vor dem 1.1.1988 getraut worden sind, können noch unter dem vorherigen ordentlichen Güterstand der </w:t>
      </w:r>
      <w:r w:rsidRPr="005F15DA">
        <w:rPr>
          <w:u w:val="single"/>
        </w:rPr>
        <w:t>Güterverbi</w:t>
      </w:r>
      <w:r w:rsidRPr="005F15DA">
        <w:rPr>
          <w:u w:val="single"/>
        </w:rPr>
        <w:t>n</w:t>
      </w:r>
      <w:r w:rsidRPr="005F15DA">
        <w:rPr>
          <w:u w:val="single"/>
        </w:rPr>
        <w:t>dung</w:t>
      </w:r>
      <w:r w:rsidRPr="005F15DA">
        <w:t xml:space="preserve"> stehen, sofern sie entweder </w:t>
      </w:r>
    </w:p>
    <w:p w:rsidR="005D70F9" w:rsidRPr="005F15DA" w:rsidRDefault="005D70F9" w:rsidP="00656BDE">
      <w:pPr>
        <w:tabs>
          <w:tab w:val="left" w:pos="426"/>
        </w:tabs>
        <w:ind w:left="426" w:hanging="426"/>
      </w:pPr>
      <w:r w:rsidRPr="005F15DA">
        <w:t>-</w:t>
      </w:r>
      <w:r w:rsidRPr="005F15DA">
        <w:tab/>
        <w:t xml:space="preserve">eine Erklärung abgegeben haben, dass sie diesen Güterstand beibehalten wollen, was wohl selten der Fall sein dürfte, </w:t>
      </w:r>
    </w:p>
    <w:p w:rsidR="005D70F9" w:rsidRPr="005F15DA" w:rsidRDefault="005D70F9" w:rsidP="00656BDE">
      <w:pPr>
        <w:tabs>
          <w:tab w:val="left" w:pos="426"/>
        </w:tabs>
        <w:ind w:left="426" w:hanging="426"/>
      </w:pPr>
      <w:r w:rsidRPr="005F15DA">
        <w:t>-</w:t>
      </w:r>
      <w:r w:rsidRPr="005F15DA">
        <w:tab/>
        <w:t>oder wenn sie vor dem 1.1.1988 einen Ehevertrag abgeschlossen haben, in welchem sie den damaligen ordentlichen Güterstand der Güterverbindung wählten.</w:t>
      </w:r>
    </w:p>
    <w:p w:rsidR="006B393B" w:rsidRPr="005F15DA" w:rsidRDefault="006B393B" w:rsidP="006B393B">
      <w:pPr>
        <w:tabs>
          <w:tab w:val="left" w:pos="426"/>
        </w:tabs>
      </w:pPr>
    </w:p>
    <w:p w:rsidR="005D70F9" w:rsidRPr="005F15DA" w:rsidRDefault="005D70F9" w:rsidP="006B393B">
      <w:pPr>
        <w:tabs>
          <w:tab w:val="left" w:pos="426"/>
        </w:tabs>
      </w:pPr>
      <w:r w:rsidRPr="005F15DA">
        <w:t>Ehegatten ohne Ehevertrag unterstehen von Gesetzes wegen dem ordentlichen Güterstand der Errungenschaftsbeteiligung (Art. 181 ZGB).</w:t>
      </w:r>
    </w:p>
    <w:p w:rsidR="006B393B" w:rsidRPr="005F15DA" w:rsidRDefault="006B393B" w:rsidP="006B393B">
      <w:pPr>
        <w:tabs>
          <w:tab w:val="left" w:pos="426"/>
        </w:tabs>
      </w:pPr>
    </w:p>
    <w:p w:rsidR="005D70F9" w:rsidRPr="005F15DA" w:rsidRDefault="005D70F9" w:rsidP="006B393B">
      <w:pPr>
        <w:tabs>
          <w:tab w:val="left" w:pos="426"/>
        </w:tabs>
      </w:pPr>
      <w:r w:rsidRPr="005F15DA">
        <w:t>Mit dem Abschluss eines Ehevertrages können die Ehegatten entweder Änderungen inne</w:t>
      </w:r>
      <w:r w:rsidRPr="005F15DA">
        <w:t>r</w:t>
      </w:r>
      <w:r w:rsidRPr="005F15DA">
        <w:t>halb des Güterstandes vornehmen oder einen anderen Güterstand (Gütergemeinschaft oder Gütertrennung) wählen (Art. 182 Abs. 2 ZGB). Der Ehevertrag ist öffentlich zu beurkunden (Art. 184 ZGB). Er kann zwischen den Verlobten bereits vor der Trauung abgeschlossen we</w:t>
      </w:r>
      <w:r w:rsidRPr="005F15DA">
        <w:t>r</w:t>
      </w:r>
      <w:r w:rsidRPr="005F15DA">
        <w:t>den (Art. 182 Abs. 1 ZGB), entfaltet in diesem Fall seine Wirkung erst mit der Eheschliessung.</w:t>
      </w:r>
    </w:p>
    <w:p w:rsidR="006B393B" w:rsidRPr="005F15DA" w:rsidRDefault="006B393B" w:rsidP="006B393B">
      <w:pPr>
        <w:tabs>
          <w:tab w:val="left" w:pos="426"/>
        </w:tabs>
      </w:pPr>
    </w:p>
    <w:p w:rsidR="005D70F9" w:rsidRPr="005F15DA" w:rsidRDefault="005D70F9" w:rsidP="006B393B">
      <w:pPr>
        <w:tabs>
          <w:tab w:val="left" w:pos="426"/>
        </w:tabs>
      </w:pPr>
      <w:r w:rsidRPr="005F15DA">
        <w:t>Die Gütertrennung kann zusätzlich auf Begehren eines Ehegatten im Rahmen eines Eh</w:t>
      </w:r>
      <w:r w:rsidRPr="005F15DA">
        <w:t>e</w:t>
      </w:r>
      <w:r w:rsidRPr="005F15DA">
        <w:t>schutzverfahrens durch den Richter angeordnet werden, wenn ein wichtiger Grund vorliegt wie Überschuldung oder bei Aufhebung des gemeinsamen Haushaltes. Schliesslich tritt die Gütertrennung sogar von Gesetzes wegen bei gerichtlicher Trennung der Ehe gemäss Art. 117 und 118 ZGB oder Konkurseröffnung eines in Gütergemeinschaft lebenden Ehegatten ein.</w:t>
      </w:r>
    </w:p>
    <w:p w:rsidR="006B393B" w:rsidRPr="005F15DA" w:rsidRDefault="006B393B" w:rsidP="006B393B">
      <w:pPr>
        <w:tabs>
          <w:tab w:val="left" w:pos="426"/>
        </w:tabs>
      </w:pPr>
    </w:p>
    <w:p w:rsidR="005D70F9" w:rsidRPr="005F15DA" w:rsidRDefault="005D70F9" w:rsidP="006B393B">
      <w:pPr>
        <w:tabs>
          <w:tab w:val="left" w:pos="426"/>
        </w:tabs>
      </w:pPr>
      <w:r w:rsidRPr="005F15DA">
        <w:t>Bei allen Güterständen sind die Ehegatten in Bezug auf die Verwaltung des Vermögens grundsätzlich gleichgestellt. Wer über welches Vermögen verfügen darf, ergibt sich aus den jeweiligen Regeln der Güterstände.</w:t>
      </w:r>
    </w:p>
    <w:p w:rsidR="006B393B" w:rsidRPr="005F15DA" w:rsidRDefault="006B393B" w:rsidP="006B393B">
      <w:pPr>
        <w:tabs>
          <w:tab w:val="left" w:pos="426"/>
        </w:tabs>
      </w:pPr>
    </w:p>
    <w:p w:rsidR="005D70F9" w:rsidRPr="005F15DA" w:rsidRDefault="005D70F9" w:rsidP="006B393B">
      <w:pPr>
        <w:tabs>
          <w:tab w:val="left" w:pos="426"/>
        </w:tabs>
      </w:pPr>
      <w:r w:rsidRPr="005F15DA">
        <w:t>Jeder Ehegatte kann jederzeit vom anderen verlangen, dass mittels öffentlicher Urkunde ein Inventar ihrer Vermögenswerte aufgenommen wird (Art. 195a ZGB). Dieses Inventar wird als richtig vermutet, wenn es innert eines Jahres nach Einbringen der Vermögenswerte errichtet wurde.</w:t>
      </w:r>
    </w:p>
    <w:p w:rsidR="006B393B" w:rsidRPr="005F15DA" w:rsidRDefault="006B393B" w:rsidP="006B393B">
      <w:pPr>
        <w:tabs>
          <w:tab w:val="left" w:pos="426"/>
        </w:tabs>
      </w:pPr>
    </w:p>
    <w:p w:rsidR="006B393B" w:rsidRPr="005F15DA" w:rsidRDefault="006B393B" w:rsidP="006B393B">
      <w:pPr>
        <w:tabs>
          <w:tab w:val="left" w:pos="426"/>
        </w:tabs>
      </w:pPr>
    </w:p>
    <w:p w:rsidR="005D70F9" w:rsidRPr="005F15DA" w:rsidRDefault="006B393B" w:rsidP="005759BE">
      <w:pPr>
        <w:pStyle w:val="berschrift3"/>
        <w:rPr>
          <w:lang w:val="de-CH"/>
        </w:rPr>
      </w:pPr>
      <w:bookmarkStart w:id="35" w:name="_Toc432175563"/>
      <w:r w:rsidRPr="005F15DA">
        <w:rPr>
          <w:lang w:val="de-CH"/>
        </w:rPr>
        <w:t>B.</w:t>
      </w:r>
      <w:r w:rsidRPr="005F15DA">
        <w:rPr>
          <w:lang w:val="de-CH"/>
        </w:rPr>
        <w:tab/>
      </w:r>
      <w:r w:rsidR="005D70F9" w:rsidRPr="005F15DA">
        <w:rPr>
          <w:lang w:val="de-CH"/>
        </w:rPr>
        <w:t xml:space="preserve">Errungenschaftsbeteiligung </w:t>
      </w:r>
      <w:r w:rsidR="005D70F9" w:rsidRPr="005F15DA">
        <w:rPr>
          <w:szCs w:val="22"/>
          <w:lang w:val="de-CH"/>
        </w:rPr>
        <w:t>(Art. 196 – 220 ZGB)</w:t>
      </w:r>
      <w:bookmarkEnd w:id="35"/>
    </w:p>
    <w:p w:rsidR="00656BDE" w:rsidRPr="005F15DA" w:rsidRDefault="00656BDE" w:rsidP="00656BDE">
      <w:pPr>
        <w:tabs>
          <w:tab w:val="left" w:pos="426"/>
        </w:tabs>
      </w:pPr>
    </w:p>
    <w:p w:rsidR="005D70F9" w:rsidRPr="005F15DA" w:rsidRDefault="005D70F9" w:rsidP="00656BDE">
      <w:pPr>
        <w:pStyle w:val="berschrift4"/>
      </w:pPr>
      <w:r w:rsidRPr="005F15DA">
        <w:rPr>
          <w:spacing w:val="-25"/>
        </w:rPr>
        <w:t>1.</w:t>
      </w:r>
      <w:r w:rsidRPr="005F15DA">
        <w:tab/>
        <w:t>Eigentumsverhältnisse</w:t>
      </w:r>
    </w:p>
    <w:p w:rsidR="005D70F9" w:rsidRPr="005F15DA" w:rsidRDefault="005D70F9" w:rsidP="00656BDE">
      <w:pPr>
        <w:ind w:left="426"/>
      </w:pPr>
      <w:r w:rsidRPr="005F15DA">
        <w:t>Der Güterstand der Errungenschaftsbeteiligung strebt eine absolute Gleichstellung der beiden Ehegatten an. Jeder Partner behält somit sein bei der Heirat vorhandenes und sein während der Ehe erworbenes Vermögen zur eigenen Verwaltung und Verfügung.</w:t>
      </w:r>
    </w:p>
    <w:p w:rsidR="006B393B" w:rsidRPr="005F15DA" w:rsidRDefault="006B393B" w:rsidP="00656BDE">
      <w:pPr>
        <w:ind w:left="426"/>
      </w:pPr>
    </w:p>
    <w:p w:rsidR="005D70F9" w:rsidRPr="005F15DA" w:rsidRDefault="005D70F9" w:rsidP="00656BDE">
      <w:pPr>
        <w:ind w:left="426"/>
      </w:pPr>
      <w:r w:rsidRPr="005F15DA">
        <w:t>Die Errungenschaftsbeteiligung unterscheidet bei jedem Ehegatten zwischen der Erru</w:t>
      </w:r>
      <w:r w:rsidRPr="005F15DA">
        <w:t>n</w:t>
      </w:r>
      <w:r w:rsidRPr="005F15DA">
        <w:t>genschaft und dem Eigengut. Damit ergeben sich in der Errungenschaftsbeteiligung in</w:t>
      </w:r>
      <w:r w:rsidRPr="005F15DA">
        <w:t>s</w:t>
      </w:r>
      <w:r w:rsidRPr="005F15DA">
        <w:t xml:space="preserve">gesamt </w:t>
      </w:r>
      <w:r w:rsidRPr="005F15DA">
        <w:rPr>
          <w:u w:val="single"/>
        </w:rPr>
        <w:t>vier</w:t>
      </w:r>
      <w:r w:rsidRPr="005F15DA">
        <w:t xml:space="preserve"> Vermögens- oder Gütermassen.</w:t>
      </w:r>
    </w:p>
    <w:p w:rsidR="006B393B" w:rsidRPr="005F15DA" w:rsidRDefault="006B393B" w:rsidP="00656BDE">
      <w:pPr>
        <w:ind w:left="426"/>
      </w:pPr>
    </w:p>
    <w:p w:rsidR="006B393B" w:rsidRPr="005F15DA" w:rsidRDefault="006B393B" w:rsidP="00656BDE">
      <w:pPr>
        <w:ind w:left="426"/>
      </w:pPr>
    </w:p>
    <w:p w:rsidR="005D70F9" w:rsidRPr="005F15DA" w:rsidRDefault="005D70F9" w:rsidP="00656BDE">
      <w:pPr>
        <w:pStyle w:val="berschrift5"/>
      </w:pPr>
      <w:r w:rsidRPr="005F15DA">
        <w:rPr>
          <w:spacing w:val="-15"/>
        </w:rPr>
        <w:lastRenderedPageBreak/>
        <w:t>1.1.</w:t>
      </w:r>
      <w:r w:rsidRPr="005F15DA">
        <w:tab/>
        <w:t>Die Errungenschaften (Art. 197 ZGB)</w:t>
      </w:r>
    </w:p>
    <w:p w:rsidR="005D70F9" w:rsidRPr="005F15DA" w:rsidRDefault="005D70F9" w:rsidP="00656BDE">
      <w:pPr>
        <w:tabs>
          <w:tab w:val="left" w:pos="1134"/>
        </w:tabs>
        <w:ind w:left="851"/>
      </w:pPr>
      <w:r w:rsidRPr="005F15DA">
        <w:t>Sämtliches während der Ehe „entgeltlich“ erworbene Vermögen stellt Errungenschaft dar, insbesondere:</w:t>
      </w:r>
    </w:p>
    <w:p w:rsidR="005D70F9" w:rsidRPr="005F15DA" w:rsidRDefault="005D70F9" w:rsidP="00656BDE">
      <w:pPr>
        <w:tabs>
          <w:tab w:val="left" w:pos="1134"/>
        </w:tabs>
        <w:ind w:left="851"/>
      </w:pPr>
      <w:r w:rsidRPr="005F15DA">
        <w:t>-</w:t>
      </w:r>
      <w:r w:rsidRPr="005F15DA">
        <w:tab/>
      </w:r>
      <w:r w:rsidR="00636AA2">
        <w:t>Angespartes</w:t>
      </w:r>
      <w:r w:rsidR="00EA593E">
        <w:t xml:space="preserve"> Vermögen aus Arbeitserwerb</w:t>
      </w:r>
    </w:p>
    <w:p w:rsidR="005D70F9" w:rsidRPr="005F15DA" w:rsidRDefault="005D70F9" w:rsidP="00656BDE">
      <w:pPr>
        <w:tabs>
          <w:tab w:val="left" w:pos="1134"/>
        </w:tabs>
        <w:ind w:left="1134" w:hanging="283"/>
      </w:pPr>
      <w:r w:rsidRPr="005F15DA">
        <w:t>-</w:t>
      </w:r>
      <w:r w:rsidRPr="005F15DA">
        <w:tab/>
      </w:r>
      <w:r w:rsidR="00B438E5">
        <w:t xml:space="preserve">Kapital oder angespartes Vermögen aus </w:t>
      </w:r>
      <w:r w:rsidRPr="005F15DA">
        <w:t>Leistungen von Personalvorsorgeeinric</w:t>
      </w:r>
      <w:r w:rsidRPr="005F15DA">
        <w:t>h</w:t>
      </w:r>
      <w:r w:rsidRPr="005F15DA">
        <w:t>tungen, Sozialversicherungen und Sozialfürsorgeeinrichtungen (BVG, AHV, IV, u.a.)</w:t>
      </w:r>
    </w:p>
    <w:p w:rsidR="005D70F9" w:rsidRPr="005F15DA" w:rsidRDefault="005D70F9" w:rsidP="00656BDE">
      <w:pPr>
        <w:tabs>
          <w:tab w:val="left" w:pos="1134"/>
        </w:tabs>
        <w:ind w:left="851"/>
      </w:pPr>
      <w:r w:rsidRPr="005F15DA">
        <w:t>-</w:t>
      </w:r>
      <w:r w:rsidRPr="005F15DA">
        <w:tab/>
        <w:t>Entschädigungen wegen Arbeitsunfähigkeit</w:t>
      </w:r>
    </w:p>
    <w:p w:rsidR="005D70F9" w:rsidRPr="005F15DA" w:rsidRDefault="005D70F9" w:rsidP="00656BDE">
      <w:pPr>
        <w:tabs>
          <w:tab w:val="left" w:pos="1134"/>
        </w:tabs>
        <w:ind w:left="851"/>
      </w:pPr>
      <w:r w:rsidRPr="005F15DA">
        <w:t>-</w:t>
      </w:r>
      <w:r w:rsidRPr="005F15DA">
        <w:tab/>
        <w:t>Erträge des Eigengutes (z.B. Zinsen, Dividenden)</w:t>
      </w:r>
    </w:p>
    <w:p w:rsidR="005D70F9" w:rsidRPr="005F15DA" w:rsidRDefault="005D70F9" w:rsidP="00656BDE">
      <w:pPr>
        <w:tabs>
          <w:tab w:val="left" w:pos="1134"/>
        </w:tabs>
        <w:ind w:left="851"/>
      </w:pPr>
      <w:r w:rsidRPr="005F15DA">
        <w:t>-</w:t>
      </w:r>
      <w:r w:rsidRPr="005F15DA">
        <w:tab/>
        <w:t>Ersatzanschaffungen für Errungenschaftsbestandteile</w:t>
      </w:r>
    </w:p>
    <w:p w:rsidR="006B393B" w:rsidRPr="005F15DA" w:rsidRDefault="006B393B" w:rsidP="005D70F9">
      <w:pPr>
        <w:tabs>
          <w:tab w:val="left" w:pos="426"/>
          <w:tab w:val="left" w:pos="851"/>
          <w:tab w:val="left" w:pos="1134"/>
        </w:tabs>
        <w:spacing w:before="60"/>
        <w:ind w:left="425"/>
        <w:jc w:val="both"/>
        <w:rPr>
          <w:spacing w:val="-2"/>
          <w:szCs w:val="22"/>
        </w:rPr>
      </w:pPr>
    </w:p>
    <w:p w:rsidR="005D70F9" w:rsidRPr="005F15DA" w:rsidRDefault="005D70F9" w:rsidP="00656BDE">
      <w:pPr>
        <w:pStyle w:val="berschrift5"/>
      </w:pPr>
      <w:r w:rsidRPr="005F15DA">
        <w:rPr>
          <w:spacing w:val="-12"/>
        </w:rPr>
        <w:t>1.2.</w:t>
      </w:r>
      <w:r w:rsidRPr="005F15DA">
        <w:tab/>
        <w:t>Die Eigengüter (Art. 198 ZGB)</w:t>
      </w:r>
    </w:p>
    <w:p w:rsidR="005D70F9" w:rsidRPr="005F15DA" w:rsidRDefault="005D70F9" w:rsidP="00656BDE">
      <w:pPr>
        <w:ind w:left="851"/>
      </w:pPr>
      <w:r w:rsidRPr="005F15DA">
        <w:t>Zum Eigengut gehört, was ein Ehegatte zu Beginn in die Ehe einbringt sowie wä</w:t>
      </w:r>
      <w:r w:rsidRPr="005F15DA">
        <w:t>h</w:t>
      </w:r>
      <w:r w:rsidRPr="005F15DA">
        <w:t>rend der Ehe unentgeltlich erworbenes Vermögen (z.B. Erbschaften und Schenku</w:t>
      </w:r>
      <w:r w:rsidRPr="005F15DA">
        <w:t>n</w:t>
      </w:r>
      <w:r w:rsidRPr="005F15DA">
        <w:t>gen). Es gibt sowohl gesetzliche, als auch mögliche vertragliche Bestimmungen, was zum Eigengut gehören soll.</w:t>
      </w:r>
    </w:p>
    <w:p w:rsidR="006B393B" w:rsidRPr="005F15DA" w:rsidRDefault="006B393B" w:rsidP="00FF2197">
      <w:pPr>
        <w:tabs>
          <w:tab w:val="left" w:pos="1134"/>
        </w:tabs>
        <w:ind w:left="851"/>
      </w:pPr>
    </w:p>
    <w:p w:rsidR="005D70F9" w:rsidRPr="005F15DA" w:rsidRDefault="005D70F9" w:rsidP="00FF2197">
      <w:pPr>
        <w:tabs>
          <w:tab w:val="left" w:pos="1134"/>
        </w:tabs>
        <w:ind w:left="851"/>
      </w:pPr>
      <w:r w:rsidRPr="005F15DA">
        <w:rPr>
          <w:szCs w:val="22"/>
          <w:u w:val="single"/>
        </w:rPr>
        <w:t>Von Gesetzes</w:t>
      </w:r>
      <w:r w:rsidRPr="005F15DA">
        <w:rPr>
          <w:szCs w:val="22"/>
        </w:rPr>
        <w:t xml:space="preserve"> wegen </w:t>
      </w:r>
      <w:proofErr w:type="gramStart"/>
      <w:r w:rsidRPr="005F15DA">
        <w:rPr>
          <w:szCs w:val="22"/>
        </w:rPr>
        <w:t>sind</w:t>
      </w:r>
      <w:proofErr w:type="gramEnd"/>
      <w:r w:rsidRPr="005F15DA">
        <w:rPr>
          <w:szCs w:val="22"/>
        </w:rPr>
        <w:t xml:space="preserve"> Eigengut:</w:t>
      </w:r>
    </w:p>
    <w:p w:rsidR="005D70F9" w:rsidRPr="005F15DA" w:rsidRDefault="005D70F9" w:rsidP="00FF2197">
      <w:pPr>
        <w:tabs>
          <w:tab w:val="left" w:pos="1134"/>
        </w:tabs>
        <w:ind w:left="1134" w:hanging="283"/>
        <w:rPr>
          <w:szCs w:val="22"/>
        </w:rPr>
      </w:pPr>
      <w:r w:rsidRPr="005F15DA">
        <w:rPr>
          <w:szCs w:val="22"/>
        </w:rPr>
        <w:t>-</w:t>
      </w:r>
      <w:r w:rsidRPr="005F15DA">
        <w:rPr>
          <w:szCs w:val="22"/>
        </w:rPr>
        <w:tab/>
        <w:t>Gegenstände, die einem Ehegatten ausschliesslich zum persönlichen Gebrauch dienen,</w:t>
      </w:r>
    </w:p>
    <w:p w:rsidR="005D70F9" w:rsidRPr="005F15DA" w:rsidRDefault="005D70F9" w:rsidP="00FF2197">
      <w:pPr>
        <w:tabs>
          <w:tab w:val="left" w:pos="1134"/>
        </w:tabs>
        <w:ind w:left="1134" w:hanging="283"/>
        <w:rPr>
          <w:szCs w:val="22"/>
        </w:rPr>
      </w:pPr>
      <w:r w:rsidRPr="005F15DA">
        <w:rPr>
          <w:szCs w:val="22"/>
        </w:rPr>
        <w:t>-</w:t>
      </w:r>
      <w:r w:rsidRPr="005F15DA">
        <w:rPr>
          <w:szCs w:val="22"/>
        </w:rPr>
        <w:tab/>
        <w:t>Vermögenswerte, die einem Ehegatten zu Beginn des Güterstandes gehören, so genanntes eingebrachtes Gut,</w:t>
      </w:r>
    </w:p>
    <w:p w:rsidR="005D70F9" w:rsidRPr="005F15DA" w:rsidRDefault="005D70F9" w:rsidP="00FF2197">
      <w:pPr>
        <w:tabs>
          <w:tab w:val="left" w:pos="1134"/>
        </w:tabs>
        <w:ind w:left="1134" w:hanging="283"/>
        <w:rPr>
          <w:szCs w:val="22"/>
        </w:rPr>
      </w:pPr>
      <w:r w:rsidRPr="005F15DA">
        <w:rPr>
          <w:szCs w:val="22"/>
        </w:rPr>
        <w:t>-</w:t>
      </w:r>
      <w:r w:rsidRPr="005F15DA">
        <w:rPr>
          <w:szCs w:val="22"/>
        </w:rPr>
        <w:tab/>
        <w:t>Vermögenswerte, welche einem Ehegatten während der Ehe durch Erbgang oder Schenkung unentgeltlich zufallen,</w:t>
      </w:r>
    </w:p>
    <w:p w:rsidR="005D70F9" w:rsidRPr="005F15DA" w:rsidRDefault="005D70F9" w:rsidP="00FF2197">
      <w:pPr>
        <w:tabs>
          <w:tab w:val="left" w:pos="1134"/>
        </w:tabs>
        <w:ind w:left="851"/>
        <w:rPr>
          <w:szCs w:val="22"/>
        </w:rPr>
      </w:pPr>
      <w:r w:rsidRPr="005F15DA">
        <w:rPr>
          <w:szCs w:val="22"/>
        </w:rPr>
        <w:t>-</w:t>
      </w:r>
      <w:r w:rsidRPr="005F15DA">
        <w:rPr>
          <w:szCs w:val="22"/>
        </w:rPr>
        <w:tab/>
        <w:t>Genugtuungsansprüche (Schmerzensgelder),</w:t>
      </w:r>
    </w:p>
    <w:p w:rsidR="005D70F9" w:rsidRPr="005F15DA" w:rsidRDefault="005D70F9" w:rsidP="00FF2197">
      <w:pPr>
        <w:tabs>
          <w:tab w:val="left" w:pos="1134"/>
        </w:tabs>
        <w:ind w:left="851"/>
        <w:rPr>
          <w:szCs w:val="22"/>
        </w:rPr>
      </w:pPr>
      <w:r w:rsidRPr="005F15DA">
        <w:rPr>
          <w:szCs w:val="22"/>
        </w:rPr>
        <w:t>-</w:t>
      </w:r>
      <w:r w:rsidRPr="005F15DA">
        <w:rPr>
          <w:szCs w:val="22"/>
        </w:rPr>
        <w:tab/>
        <w:t>Ersatzanschaffungen für Eigengut.</w:t>
      </w:r>
    </w:p>
    <w:p w:rsidR="006B393B" w:rsidRPr="005F15DA" w:rsidRDefault="006B393B" w:rsidP="00FF2197">
      <w:pPr>
        <w:tabs>
          <w:tab w:val="left" w:pos="1134"/>
        </w:tabs>
        <w:ind w:left="851"/>
        <w:rPr>
          <w:szCs w:val="22"/>
        </w:rPr>
      </w:pPr>
    </w:p>
    <w:p w:rsidR="005D70F9" w:rsidRPr="005F15DA" w:rsidRDefault="005D70F9" w:rsidP="00FF2197">
      <w:pPr>
        <w:tabs>
          <w:tab w:val="left" w:pos="1134"/>
        </w:tabs>
        <w:ind w:left="851"/>
        <w:rPr>
          <w:szCs w:val="22"/>
        </w:rPr>
      </w:pPr>
      <w:r w:rsidRPr="005F15DA">
        <w:rPr>
          <w:szCs w:val="22"/>
          <w:u w:val="single"/>
        </w:rPr>
        <w:t>Vertraglich</w:t>
      </w:r>
      <w:r w:rsidRPr="005F15DA">
        <w:rPr>
          <w:szCs w:val="22"/>
        </w:rPr>
        <w:t xml:space="preserve"> können zu Eigengut erklärt werden:</w:t>
      </w:r>
    </w:p>
    <w:p w:rsidR="005D70F9" w:rsidRPr="005F15DA" w:rsidRDefault="005D70F9" w:rsidP="00FF2197">
      <w:pPr>
        <w:tabs>
          <w:tab w:val="left" w:pos="1134"/>
        </w:tabs>
        <w:ind w:left="1134" w:hanging="283"/>
        <w:rPr>
          <w:szCs w:val="22"/>
        </w:rPr>
      </w:pPr>
      <w:r w:rsidRPr="005F15DA">
        <w:rPr>
          <w:szCs w:val="22"/>
        </w:rPr>
        <w:t>-</w:t>
      </w:r>
      <w:r w:rsidRPr="005F15DA">
        <w:rPr>
          <w:szCs w:val="22"/>
        </w:rPr>
        <w:tab/>
        <w:t>Vermögenswerte der Errungenschaft, die der Ausübung eines Berufes oder dem Betrieb eines Gewerbes dienen,</w:t>
      </w:r>
    </w:p>
    <w:p w:rsidR="005D70F9" w:rsidRPr="005F15DA" w:rsidRDefault="005D70F9" w:rsidP="00FF2197">
      <w:pPr>
        <w:tabs>
          <w:tab w:val="left" w:pos="1134"/>
        </w:tabs>
        <w:ind w:left="851"/>
        <w:rPr>
          <w:szCs w:val="22"/>
        </w:rPr>
      </w:pPr>
      <w:r w:rsidRPr="005F15DA">
        <w:rPr>
          <w:szCs w:val="22"/>
        </w:rPr>
        <w:t>-</w:t>
      </w:r>
      <w:r w:rsidRPr="005F15DA">
        <w:rPr>
          <w:szCs w:val="22"/>
        </w:rPr>
        <w:tab/>
        <w:t>Erträge aus Eigengut.</w:t>
      </w:r>
    </w:p>
    <w:p w:rsidR="006B393B" w:rsidRPr="005F15DA" w:rsidRDefault="006B393B" w:rsidP="00FF2197">
      <w:pPr>
        <w:tabs>
          <w:tab w:val="left" w:pos="1134"/>
        </w:tabs>
        <w:ind w:left="851"/>
        <w:rPr>
          <w:szCs w:val="22"/>
        </w:rPr>
      </w:pPr>
    </w:p>
    <w:p w:rsidR="005D70F9" w:rsidRPr="005F15DA" w:rsidRDefault="005D70F9" w:rsidP="00FF2197">
      <w:pPr>
        <w:tabs>
          <w:tab w:val="left" w:pos="1134"/>
        </w:tabs>
        <w:ind w:left="851"/>
        <w:rPr>
          <w:szCs w:val="22"/>
        </w:rPr>
      </w:pPr>
      <w:r w:rsidRPr="005F15DA">
        <w:rPr>
          <w:szCs w:val="22"/>
        </w:rPr>
        <w:t>Von Gesetzes wegen wird vermutet, dass alles Vermögen eines Ehegatten Erru</w:t>
      </w:r>
      <w:r w:rsidRPr="005F15DA">
        <w:rPr>
          <w:szCs w:val="22"/>
        </w:rPr>
        <w:t>n</w:t>
      </w:r>
      <w:r w:rsidRPr="005F15DA">
        <w:rPr>
          <w:szCs w:val="22"/>
        </w:rPr>
        <w:t>genschaft darstellt (Art. 200 Abs. 3 ZGB). Sofern ein Ehegatte also an einem b</w:t>
      </w:r>
      <w:r w:rsidRPr="005F15DA">
        <w:rPr>
          <w:szCs w:val="22"/>
        </w:rPr>
        <w:t>e</w:t>
      </w:r>
      <w:r w:rsidRPr="005F15DA">
        <w:rPr>
          <w:szCs w:val="22"/>
        </w:rPr>
        <w:t>stimmten Vermögenswert Eigengut geltend machen will, muss er dies beweisen.</w:t>
      </w:r>
    </w:p>
    <w:p w:rsidR="006B393B" w:rsidRPr="005F15DA" w:rsidRDefault="006B393B" w:rsidP="00FF2197">
      <w:pPr>
        <w:tabs>
          <w:tab w:val="left" w:pos="1134"/>
        </w:tabs>
        <w:ind w:left="851"/>
        <w:rPr>
          <w:szCs w:val="22"/>
        </w:rPr>
      </w:pPr>
    </w:p>
    <w:p w:rsidR="005D70F9" w:rsidRPr="005F15DA" w:rsidRDefault="005D70F9" w:rsidP="00FF2197">
      <w:pPr>
        <w:tabs>
          <w:tab w:val="left" w:pos="1134"/>
        </w:tabs>
        <w:ind w:left="851"/>
        <w:rPr>
          <w:szCs w:val="22"/>
        </w:rPr>
      </w:pPr>
      <w:r w:rsidRPr="005F15DA">
        <w:rPr>
          <w:szCs w:val="22"/>
        </w:rPr>
        <w:t>Kann nicht eruiert werden, wer genau Eigentümer eines Vermögensgegenstandes ist, vermutet das Gesetz zudem, dass Miteigentum beider Ehegatten vorliegt.</w:t>
      </w:r>
    </w:p>
    <w:p w:rsidR="006B393B" w:rsidRPr="005F15DA" w:rsidRDefault="006B393B" w:rsidP="00FF2197">
      <w:pPr>
        <w:tabs>
          <w:tab w:val="left" w:pos="1134"/>
        </w:tabs>
        <w:ind w:left="851"/>
        <w:rPr>
          <w:szCs w:val="22"/>
        </w:rPr>
      </w:pPr>
    </w:p>
    <w:p w:rsidR="006B393B" w:rsidRPr="005F15DA" w:rsidRDefault="006B393B" w:rsidP="00FF2197">
      <w:pPr>
        <w:tabs>
          <w:tab w:val="left" w:pos="1134"/>
        </w:tabs>
        <w:ind w:left="851"/>
        <w:rPr>
          <w:szCs w:val="22"/>
        </w:rPr>
      </w:pPr>
    </w:p>
    <w:p w:rsidR="005D70F9" w:rsidRPr="005F15DA" w:rsidRDefault="005D70F9" w:rsidP="00656BDE">
      <w:pPr>
        <w:pStyle w:val="berschrift4"/>
      </w:pPr>
      <w:r w:rsidRPr="005F15DA">
        <w:rPr>
          <w:spacing w:val="-11"/>
        </w:rPr>
        <w:t>2.</w:t>
      </w:r>
      <w:r w:rsidRPr="005F15DA">
        <w:tab/>
        <w:t>Rechtsverhältnisse während der Dauer des Güterstandes</w:t>
      </w:r>
    </w:p>
    <w:p w:rsidR="005D70F9" w:rsidRPr="005F15DA" w:rsidRDefault="005D70F9" w:rsidP="00656BDE">
      <w:pPr>
        <w:pStyle w:val="berschrift5"/>
      </w:pPr>
      <w:r w:rsidRPr="005F15DA">
        <w:t>2.1.</w:t>
      </w:r>
      <w:r w:rsidRPr="005F15DA">
        <w:tab/>
        <w:t>Verwaltung, Nutzung und Verfügung (Art. 201 ZGB)</w:t>
      </w:r>
    </w:p>
    <w:p w:rsidR="005D70F9" w:rsidRPr="005F15DA" w:rsidRDefault="005D70F9" w:rsidP="00FF2197">
      <w:pPr>
        <w:ind w:left="851"/>
      </w:pPr>
      <w:r w:rsidRPr="005F15DA">
        <w:t>Jeder Ehegatte verwaltet und nutzt sein ganzes Vermögen (also sein Eigengut und seine Errungenschaft) selber und kann auch allein darüber verfügen. Über seinen Miteigentumsanteil an gemeinsamen Vermögenswerten kann grundsätzlich kein Ehegatte ohne die Zustimmung des andern verfügen. Selbstverständlich kann ein Ehegatte dem anderen die Verwaltung seines Vermögens entweder mit ausdrückl</w:t>
      </w:r>
      <w:r w:rsidRPr="005F15DA">
        <w:t>i</w:t>
      </w:r>
      <w:r w:rsidRPr="005F15DA">
        <w:lastRenderedPageBreak/>
        <w:t>cher Vollmacht übertragen oder stillschweigend überlassen. Für die Verfügung über das Vermögen des Partners braucht es aber eine ausdrückliche Vollmacht.</w:t>
      </w:r>
    </w:p>
    <w:p w:rsidR="006B393B" w:rsidRPr="005F15DA" w:rsidRDefault="006B393B" w:rsidP="00FF2197">
      <w:pPr>
        <w:ind w:left="851"/>
      </w:pPr>
    </w:p>
    <w:p w:rsidR="00FF2197" w:rsidRPr="005F15DA" w:rsidRDefault="00FF2197" w:rsidP="00FF2197">
      <w:pPr>
        <w:ind w:left="851"/>
      </w:pPr>
    </w:p>
    <w:p w:rsidR="005D70F9" w:rsidRPr="005F15DA" w:rsidRDefault="005D70F9" w:rsidP="00656BDE">
      <w:pPr>
        <w:pStyle w:val="berschrift5"/>
      </w:pPr>
      <w:r w:rsidRPr="005F15DA">
        <w:t>2.2.</w:t>
      </w:r>
      <w:r w:rsidRPr="005F15DA">
        <w:tab/>
        <w:t>Haftung (Art. 202 ZGB)</w:t>
      </w:r>
    </w:p>
    <w:p w:rsidR="005D70F9" w:rsidRPr="005F15DA" w:rsidRDefault="005D70F9" w:rsidP="00FF2197">
      <w:pPr>
        <w:ind w:left="851"/>
      </w:pPr>
      <w:r w:rsidRPr="005F15DA">
        <w:t>Jeder Ehegatte haftet für Schulden, die er für sich begründet, allein und nur mit se</w:t>
      </w:r>
      <w:r w:rsidRPr="005F15DA">
        <w:t>i</w:t>
      </w:r>
      <w:r w:rsidRPr="005F15DA">
        <w:t>nem Vermögen.</w:t>
      </w:r>
    </w:p>
    <w:p w:rsidR="006B393B" w:rsidRPr="005F15DA" w:rsidRDefault="006B393B" w:rsidP="00FF2197">
      <w:pPr>
        <w:ind w:left="851"/>
      </w:pPr>
    </w:p>
    <w:p w:rsidR="00FF2197" w:rsidRPr="005F15DA" w:rsidRDefault="00FF2197" w:rsidP="00FF2197">
      <w:pPr>
        <w:ind w:left="851"/>
      </w:pPr>
    </w:p>
    <w:p w:rsidR="005D70F9" w:rsidRPr="005F15DA" w:rsidRDefault="005D70F9" w:rsidP="00656BDE">
      <w:pPr>
        <w:pStyle w:val="berschrift5"/>
      </w:pPr>
      <w:r w:rsidRPr="005F15DA">
        <w:rPr>
          <w:spacing w:val="-8"/>
        </w:rPr>
        <w:t>2.3.</w:t>
      </w:r>
      <w:r w:rsidRPr="005F15DA">
        <w:tab/>
        <w:t>Schulden zwischen den Ehegatten (Art. 203 ZGB)</w:t>
      </w:r>
    </w:p>
    <w:p w:rsidR="005D70F9" w:rsidRPr="005F15DA" w:rsidRDefault="005D70F9" w:rsidP="00FF2197">
      <w:pPr>
        <w:ind w:left="851"/>
      </w:pPr>
      <w:r w:rsidRPr="005F15DA">
        <w:t>Die Schulden zwischen den Ehegatten werden wie Schulden eines Dritten behandelt. Auch hat die Ehe keinen Einfluss auf die Fälligkeit der Schulden. Bereitet jedoch die Zahlung von Geldschulden oder die Erstattung von geschuldeten Sachen dem ve</w:t>
      </w:r>
      <w:r w:rsidRPr="005F15DA">
        <w:t>r</w:t>
      </w:r>
      <w:r w:rsidRPr="005F15DA">
        <w:t>pflichteten Ehegatten ernstliche Schwierigkeiten, welche die eheliche Gemeinschaft gefährden, so kann er verlangen, dass ihm angemessene Fristen eingeräumt we</w:t>
      </w:r>
      <w:r w:rsidRPr="005F15DA">
        <w:t>r</w:t>
      </w:r>
      <w:r w:rsidRPr="005F15DA">
        <w:t xml:space="preserve">den. Die Forderungen sind nötigenfalls sicherzustellen. </w:t>
      </w:r>
    </w:p>
    <w:p w:rsidR="006B393B" w:rsidRPr="005F15DA" w:rsidRDefault="006B393B" w:rsidP="00FF2197">
      <w:pPr>
        <w:ind w:left="851"/>
      </w:pPr>
    </w:p>
    <w:p w:rsidR="005D70F9" w:rsidRPr="005F15DA" w:rsidRDefault="005D70F9" w:rsidP="00FF2197">
      <w:pPr>
        <w:ind w:left="851"/>
      </w:pPr>
      <w:r w:rsidRPr="005F15DA">
        <w:t>Festzuhalten gilt, dass Forderungen zwischen den Ehegatten während der Dauer der Ehe nicht verjähren (Art. 134 Abs. 1 Ziffer 3 OR).</w:t>
      </w:r>
    </w:p>
    <w:p w:rsidR="006B393B" w:rsidRPr="005F15DA" w:rsidRDefault="006B393B" w:rsidP="00FF2197">
      <w:pPr>
        <w:ind w:left="851"/>
      </w:pPr>
    </w:p>
    <w:p w:rsidR="005D70F9" w:rsidRPr="005F15DA" w:rsidRDefault="005D70F9" w:rsidP="00FF2197">
      <w:pPr>
        <w:ind w:left="851"/>
      </w:pPr>
      <w:r w:rsidRPr="005F15DA">
        <w:t>Die Ehegatten regeln ihre gegenseitigen Schulden spätestens bei Auflösung des G</w:t>
      </w:r>
      <w:r w:rsidRPr="005F15DA">
        <w:t>ü</w:t>
      </w:r>
      <w:r w:rsidRPr="005F15DA">
        <w:t>terstandes (Art. 205 Abs. 3 ZGB).</w:t>
      </w:r>
    </w:p>
    <w:p w:rsidR="006B393B" w:rsidRPr="005F15DA" w:rsidRDefault="006B393B" w:rsidP="00FF2197">
      <w:pPr>
        <w:ind w:left="851"/>
      </w:pPr>
    </w:p>
    <w:p w:rsidR="006B393B" w:rsidRPr="005F15DA" w:rsidRDefault="006B393B" w:rsidP="00FF2197">
      <w:pPr>
        <w:ind w:left="851"/>
      </w:pPr>
    </w:p>
    <w:p w:rsidR="005D70F9" w:rsidRPr="005F15DA" w:rsidRDefault="005D70F9" w:rsidP="00656BDE">
      <w:pPr>
        <w:pStyle w:val="berschrift4"/>
      </w:pPr>
      <w:r w:rsidRPr="005F15DA">
        <w:t>3.</w:t>
      </w:r>
      <w:r w:rsidRPr="005F15DA">
        <w:tab/>
        <w:t>Auflösung des Güterstandes und güterrechtliche Auseinandersetzung</w:t>
      </w:r>
    </w:p>
    <w:p w:rsidR="005D70F9" w:rsidRPr="005F15DA" w:rsidRDefault="005D70F9" w:rsidP="00656BDE">
      <w:pPr>
        <w:pStyle w:val="berschrift5"/>
      </w:pPr>
      <w:r w:rsidRPr="005F15DA">
        <w:t>3.1.</w:t>
      </w:r>
      <w:r w:rsidRPr="005F15DA">
        <w:tab/>
        <w:t>Zeitpunkt der Auflösung</w:t>
      </w:r>
    </w:p>
    <w:p w:rsidR="005D70F9" w:rsidRPr="005F15DA" w:rsidRDefault="005D70F9" w:rsidP="00FF2197">
      <w:pPr>
        <w:ind w:left="851"/>
      </w:pPr>
      <w:r w:rsidRPr="005F15DA">
        <w:t>Der Güterstand wird mit der Vereinbarung eines anderen Güterstandes oder dem Tod eines Ehegatten aufgelöst (Art. 204 ZGB). Bei Scheidung, Trennung, Ungü</w:t>
      </w:r>
      <w:r w:rsidRPr="005F15DA">
        <w:t>l</w:t>
      </w:r>
      <w:r w:rsidRPr="005F15DA">
        <w:t>tigerklärung der Ehe oder gerichtlich angeordneter Gütertrennung wird die Auflösung auf denjenigen Tag zurückbezogen, an welchem das entsprechende Begehren g</w:t>
      </w:r>
      <w:r w:rsidRPr="005F15DA">
        <w:t>e</w:t>
      </w:r>
      <w:r w:rsidRPr="005F15DA">
        <w:t>stellt wurde.</w:t>
      </w:r>
    </w:p>
    <w:p w:rsidR="006B393B" w:rsidRPr="005F15DA" w:rsidRDefault="006B393B" w:rsidP="00FF2197">
      <w:pPr>
        <w:ind w:left="851"/>
      </w:pPr>
    </w:p>
    <w:p w:rsidR="006B393B" w:rsidRPr="005F15DA" w:rsidRDefault="006B393B" w:rsidP="00FF2197">
      <w:pPr>
        <w:ind w:left="851"/>
      </w:pPr>
    </w:p>
    <w:p w:rsidR="005D70F9" w:rsidRPr="005F15DA" w:rsidRDefault="005D70F9" w:rsidP="00656BDE">
      <w:pPr>
        <w:pStyle w:val="berschrift5"/>
      </w:pPr>
      <w:r w:rsidRPr="005F15DA">
        <w:t>3.2.</w:t>
      </w:r>
      <w:r w:rsidRPr="005F15DA">
        <w:tab/>
        <w:t>Rücknahme von Vermögenswerten</w:t>
      </w:r>
    </w:p>
    <w:p w:rsidR="005D70F9" w:rsidRPr="005F15DA" w:rsidRDefault="005D70F9" w:rsidP="00FF2197">
      <w:pPr>
        <w:ind w:left="851"/>
      </w:pPr>
      <w:r w:rsidRPr="005F15DA">
        <w:t>Jeder Ehegatte behält die ihm gehörenden Vermögenswerte. Er nimmt zudem seine Vermögenswerte zurück, die sich im Besitze des anderen Ehegatten befinden (Art. 205 ZGB). Steht ein Vermögenswert im Miteigentum beider Ehegatten, kann ein Ehegatte verlangen, dass ihm dieser Vermögenswert gegen Entschädigung des a</w:t>
      </w:r>
      <w:r w:rsidRPr="005F15DA">
        <w:t>n</w:t>
      </w:r>
      <w:r w:rsidRPr="005F15DA">
        <w:t>deren Ehegatten ungeteilt zugewiesen wird, wenn er ein überwiegendes Interesse nachweist. So kann z.B. derjenige Ehegatte, welcher im Rahmen einer Ehesche</w:t>
      </w:r>
      <w:r w:rsidRPr="005F15DA">
        <w:t>i</w:t>
      </w:r>
      <w:r w:rsidRPr="005F15DA">
        <w:t>dung die elterliche Sorge über die schulpflichtigen Kinder erhält, die Zuweisung der ehelichen Wohnung verlangen, sofern diese im Eigentum beider Ehegatten steht und er in der Lage ist, die Entschädigung zu leisten.</w:t>
      </w:r>
    </w:p>
    <w:p w:rsidR="006B393B" w:rsidRPr="005F15DA" w:rsidRDefault="006B393B" w:rsidP="00FF2197">
      <w:pPr>
        <w:ind w:left="851"/>
      </w:pPr>
    </w:p>
    <w:p w:rsidR="005D70F9" w:rsidRPr="005F15DA" w:rsidRDefault="005D70F9" w:rsidP="00FF2197">
      <w:pPr>
        <w:ind w:left="851"/>
      </w:pPr>
      <w:r w:rsidRPr="005F15DA">
        <w:t>Schulden bzw. Guthaben eines Ehegatten gegenüber dem anderen sind mindestens im ursprünglichen Betrag zu berücksichtigen.</w:t>
      </w:r>
    </w:p>
    <w:p w:rsidR="005D70F9" w:rsidRPr="005F15DA" w:rsidRDefault="005D70F9" w:rsidP="00FF2197">
      <w:pPr>
        <w:ind w:left="851"/>
      </w:pPr>
      <w:r w:rsidRPr="005F15DA">
        <w:lastRenderedPageBreak/>
        <w:t>Hat ein Ehegatte zum Erwerb, zur Verbesserung oder zur Erhaltung von Verm</w:t>
      </w:r>
      <w:r w:rsidRPr="005F15DA">
        <w:t>ö</w:t>
      </w:r>
      <w:r w:rsidRPr="005F15DA">
        <w:t>gensgegenständen des anderen beigetragen, ohne dafür eine Gegenleistung erha</w:t>
      </w:r>
      <w:r w:rsidRPr="005F15DA">
        <w:t>l</w:t>
      </w:r>
      <w:r w:rsidRPr="005F15DA">
        <w:t xml:space="preserve">ten zu haben, so hat er Anspruch auf den sogenannten </w:t>
      </w:r>
      <w:r w:rsidRPr="005F15DA">
        <w:rPr>
          <w:u w:val="single"/>
        </w:rPr>
        <w:t>Mehrwertanteil</w:t>
      </w:r>
      <w:r w:rsidRPr="005F15DA">
        <w:t>, wenn bei diesem Vermögenswert tatsächlich ein Mehrwert entstanden ist (Art. 206 ZGB); ist dagegen ein Minderwert eingetreten, so hat er eine Forderung in der Höhe des u</w:t>
      </w:r>
      <w:r w:rsidRPr="005F15DA">
        <w:t>r</w:t>
      </w:r>
      <w:r w:rsidRPr="005F15DA">
        <w:t>sprünglichen Beitrages, eine so genannte Ersatzforderung.</w:t>
      </w:r>
    </w:p>
    <w:p w:rsidR="006B393B" w:rsidRPr="005F15DA" w:rsidRDefault="006B393B" w:rsidP="00FF2197">
      <w:pPr>
        <w:ind w:left="851"/>
      </w:pPr>
    </w:p>
    <w:p w:rsidR="005D70F9" w:rsidRPr="005F15DA" w:rsidRDefault="005D70F9" w:rsidP="00FF2197">
      <w:pPr>
        <w:ind w:left="851"/>
      </w:pPr>
      <w:r w:rsidRPr="005F15DA">
        <w:t>Beispiel:</w:t>
      </w:r>
    </w:p>
    <w:p w:rsidR="005D70F9" w:rsidRPr="005F15DA" w:rsidRDefault="005D70F9" w:rsidP="00FF2197">
      <w:pPr>
        <w:ind w:left="851"/>
      </w:pPr>
      <w:r w:rsidRPr="005F15DA">
        <w:t>Der Ehemann kauft mit seiner Erbschaft von Fr. 12'000</w:t>
      </w:r>
      <w:proofErr w:type="gramStart"/>
      <w:r w:rsidRPr="005F15DA">
        <w:t>.—</w:t>
      </w:r>
      <w:proofErr w:type="gramEnd"/>
      <w:r w:rsidRPr="005F15DA">
        <w:t xml:space="preserve"> ein Aktienpaket, das Fr. 16'000.— kostet. Die Ehefrau gibt ihm die fehlenden Fr. 4'000</w:t>
      </w:r>
      <w:proofErr w:type="gramStart"/>
      <w:r w:rsidRPr="005F15DA">
        <w:t>.—</w:t>
      </w:r>
      <w:proofErr w:type="gramEnd"/>
      <w:r w:rsidRPr="005F15DA">
        <w:t>. Steigen die Aktien auf einen Wert von Fr. 22’400</w:t>
      </w:r>
      <w:proofErr w:type="gramStart"/>
      <w:r w:rsidRPr="005F15DA">
        <w:t>.—</w:t>
      </w:r>
      <w:proofErr w:type="gramEnd"/>
      <w:r w:rsidRPr="005F15DA">
        <w:t>, so hat die Ehefrau zusätzlich zur Forderung in der Höhe ihres Beitrages von Fr. 4'000.— einen Anspruch am Mehrwert von Fr. 6’400.— welcher sich wie folgt berechnet:</w:t>
      </w:r>
    </w:p>
    <w:p w:rsidR="005D70F9" w:rsidRPr="005F15DA" w:rsidRDefault="005D70F9" w:rsidP="00FF2197">
      <w:pPr>
        <w:tabs>
          <w:tab w:val="left" w:pos="3402"/>
          <w:tab w:val="left" w:pos="5103"/>
        </w:tabs>
        <w:ind w:left="851"/>
      </w:pPr>
      <w:r w:rsidRPr="005F15DA">
        <w:t>Wert beim Kauf</w:t>
      </w:r>
      <w:r w:rsidRPr="005F15DA">
        <w:tab/>
      </w:r>
      <w:r w:rsidRPr="005F15DA">
        <w:rPr>
          <w:spacing w:val="2"/>
        </w:rPr>
        <w:t>Mehrwert</w:t>
      </w:r>
      <w:r w:rsidRPr="005F15DA">
        <w:tab/>
        <w:t>Wert bei Auseinandersetzung</w:t>
      </w:r>
    </w:p>
    <w:p w:rsidR="005D70F9" w:rsidRPr="005F15DA" w:rsidRDefault="005D70F9" w:rsidP="00FF2197">
      <w:pPr>
        <w:tabs>
          <w:tab w:val="left" w:pos="3402"/>
          <w:tab w:val="left" w:pos="5103"/>
        </w:tabs>
        <w:ind w:left="851"/>
      </w:pPr>
      <w:r w:rsidRPr="005F15DA">
        <w:t>Ehemann</w:t>
      </w:r>
      <w:r w:rsidRPr="005F15DA">
        <w:tab/>
        <w:t>12'000.—</w:t>
      </w:r>
      <w:r w:rsidRPr="005F15DA">
        <w:tab/>
        <w:t>4'800.—</w:t>
      </w:r>
      <w:r w:rsidRPr="005F15DA">
        <w:tab/>
      </w:r>
      <w:r w:rsidRPr="005F15DA">
        <w:rPr>
          <w:spacing w:val="5"/>
        </w:rPr>
        <w:t>16'800.—</w:t>
      </w:r>
    </w:p>
    <w:p w:rsidR="005D70F9" w:rsidRPr="005F15DA" w:rsidRDefault="005D70F9" w:rsidP="00FF2197">
      <w:pPr>
        <w:tabs>
          <w:tab w:val="left" w:pos="3402"/>
          <w:tab w:val="left" w:pos="5103"/>
        </w:tabs>
        <w:ind w:left="851"/>
      </w:pPr>
      <w:r w:rsidRPr="005F15DA">
        <w:t>(3/4)</w:t>
      </w:r>
    </w:p>
    <w:p w:rsidR="005D70F9" w:rsidRPr="005F15DA" w:rsidRDefault="005D70F9" w:rsidP="00FF2197">
      <w:pPr>
        <w:tabs>
          <w:tab w:val="left" w:pos="3402"/>
          <w:tab w:val="left" w:pos="5103"/>
        </w:tabs>
        <w:ind w:left="851"/>
      </w:pPr>
      <w:r w:rsidRPr="005F15DA">
        <w:rPr>
          <w:spacing w:val="-10"/>
        </w:rPr>
        <w:t>Ehefrau</w:t>
      </w:r>
      <w:r w:rsidRPr="005F15DA">
        <w:tab/>
      </w:r>
      <w:r w:rsidRPr="005F15DA">
        <w:rPr>
          <w:spacing w:val="9"/>
        </w:rPr>
        <w:t>4'000.—</w:t>
      </w:r>
      <w:r w:rsidRPr="005F15DA">
        <w:tab/>
      </w:r>
      <w:r w:rsidRPr="005F15DA">
        <w:rPr>
          <w:spacing w:val="4"/>
        </w:rPr>
        <w:t>1'600.—</w:t>
      </w:r>
      <w:r w:rsidRPr="005F15DA">
        <w:tab/>
      </w:r>
      <w:r w:rsidRPr="005F15DA">
        <w:rPr>
          <w:spacing w:val="10"/>
        </w:rPr>
        <w:t>5'600.—</w:t>
      </w:r>
    </w:p>
    <w:p w:rsidR="005D70F9" w:rsidRPr="005F15DA" w:rsidRDefault="005D70F9" w:rsidP="00FF2197">
      <w:pPr>
        <w:tabs>
          <w:tab w:val="left" w:pos="3402"/>
          <w:tab w:val="left" w:pos="5103"/>
        </w:tabs>
        <w:ind w:left="851"/>
      </w:pPr>
      <w:r w:rsidRPr="005F15DA">
        <w:t>(1/4)</w:t>
      </w:r>
    </w:p>
    <w:p w:rsidR="005D70F9" w:rsidRPr="005F15DA" w:rsidRDefault="005D70F9" w:rsidP="00FF2197">
      <w:pPr>
        <w:tabs>
          <w:tab w:val="left" w:pos="3402"/>
          <w:tab w:val="left" w:pos="5103"/>
        </w:tabs>
        <w:ind w:left="851"/>
      </w:pPr>
      <w:r w:rsidRPr="005F15DA">
        <w:rPr>
          <w:spacing w:val="-11"/>
        </w:rPr>
        <w:t>Total</w:t>
      </w:r>
      <w:r w:rsidRPr="005F15DA">
        <w:tab/>
      </w:r>
      <w:r w:rsidRPr="005F15DA">
        <w:rPr>
          <w:spacing w:val="3"/>
        </w:rPr>
        <w:t>16'000.—</w:t>
      </w:r>
      <w:r w:rsidRPr="005F15DA">
        <w:tab/>
      </w:r>
      <w:r w:rsidRPr="005F15DA">
        <w:rPr>
          <w:spacing w:val="7"/>
        </w:rPr>
        <w:t>6'400.—</w:t>
      </w:r>
      <w:r w:rsidRPr="005F15DA">
        <w:tab/>
      </w:r>
      <w:r w:rsidRPr="005F15DA">
        <w:rPr>
          <w:spacing w:val="8"/>
        </w:rPr>
        <w:t>22'400.—</w:t>
      </w:r>
    </w:p>
    <w:p w:rsidR="005D70F9" w:rsidRPr="005F15DA" w:rsidRDefault="005D70F9" w:rsidP="00FF2197">
      <w:pPr>
        <w:tabs>
          <w:tab w:val="left" w:pos="3402"/>
          <w:tab w:val="left" w:pos="5103"/>
        </w:tabs>
        <w:ind w:left="851"/>
      </w:pPr>
      <w:r w:rsidRPr="005F15DA">
        <w:t>(4/4)</w:t>
      </w:r>
    </w:p>
    <w:p w:rsidR="005D70F9" w:rsidRPr="005F15DA" w:rsidRDefault="005D70F9" w:rsidP="00FF2197">
      <w:pPr>
        <w:tabs>
          <w:tab w:val="left" w:pos="851"/>
          <w:tab w:val="left" w:pos="1701"/>
          <w:tab w:val="left" w:pos="3402"/>
          <w:tab w:val="left" w:pos="5245"/>
          <w:tab w:val="left" w:pos="7088"/>
          <w:tab w:val="left" w:pos="7513"/>
        </w:tabs>
        <w:ind w:left="851"/>
        <w:jc w:val="both"/>
        <w:rPr>
          <w:spacing w:val="-3"/>
          <w:sz w:val="18"/>
          <w:szCs w:val="18"/>
          <w:vertAlign w:val="subscript"/>
        </w:rPr>
      </w:pPr>
      <w:r w:rsidRPr="005F15DA">
        <w:rPr>
          <w:spacing w:val="-3"/>
          <w:sz w:val="18"/>
          <w:szCs w:val="18"/>
        </w:rPr>
        <w:tab/>
      </w:r>
      <w:r w:rsidRPr="005F15DA">
        <w:rPr>
          <w:spacing w:val="-3"/>
          <w:sz w:val="18"/>
          <w:szCs w:val="18"/>
        </w:rPr>
        <w:tab/>
      </w:r>
      <w:r w:rsidRPr="005F15DA">
        <w:rPr>
          <w:spacing w:val="-3"/>
          <w:sz w:val="18"/>
          <w:szCs w:val="18"/>
          <w:vertAlign w:val="subscript"/>
        </w:rPr>
        <w:t>Mehrwert (Fr. 6'400.—)  x  Investition Ehefrau (Fr. 4'000.—)</w:t>
      </w:r>
    </w:p>
    <w:p w:rsidR="005D70F9" w:rsidRPr="005F15DA" w:rsidRDefault="005D70F9" w:rsidP="00FF2197">
      <w:pPr>
        <w:tabs>
          <w:tab w:val="left" w:pos="851"/>
          <w:tab w:val="left" w:pos="1701"/>
          <w:tab w:val="left" w:pos="3402"/>
          <w:tab w:val="left" w:pos="5245"/>
          <w:tab w:val="left" w:pos="7088"/>
          <w:tab w:val="left" w:pos="7513"/>
        </w:tabs>
        <w:ind w:left="851"/>
        <w:jc w:val="both"/>
        <w:rPr>
          <w:spacing w:val="-3"/>
          <w:sz w:val="18"/>
          <w:szCs w:val="18"/>
        </w:rPr>
      </w:pPr>
      <w:r w:rsidRPr="005F15DA">
        <w:rPr>
          <w:spacing w:val="-3"/>
          <w:sz w:val="18"/>
          <w:szCs w:val="18"/>
        </w:rPr>
        <w:t>Oder:</w:t>
      </w:r>
      <w:r w:rsidRPr="005F15DA">
        <w:rPr>
          <w:spacing w:val="-3"/>
          <w:sz w:val="18"/>
          <w:szCs w:val="18"/>
        </w:rPr>
        <w:tab/>
        <w:t>Mehrwertanteil =</w:t>
      </w:r>
      <w:r w:rsidRPr="005F15DA">
        <w:rPr>
          <w:spacing w:val="-3"/>
          <w:sz w:val="18"/>
          <w:szCs w:val="18"/>
        </w:rPr>
        <w:tab/>
        <w:t>—————————————————</w:t>
      </w:r>
      <w:r w:rsidRPr="005F15DA">
        <w:rPr>
          <w:spacing w:val="-3"/>
          <w:sz w:val="18"/>
          <w:szCs w:val="18"/>
        </w:rPr>
        <w:tab/>
        <w:t>=</w:t>
      </w:r>
      <w:r w:rsidRPr="005F15DA">
        <w:rPr>
          <w:spacing w:val="-3"/>
          <w:sz w:val="18"/>
          <w:szCs w:val="18"/>
        </w:rPr>
        <w:tab/>
        <w:t>Fr. 1'600.—</w:t>
      </w:r>
    </w:p>
    <w:p w:rsidR="005D70F9" w:rsidRPr="005F15DA" w:rsidRDefault="005D70F9" w:rsidP="00FF2197">
      <w:pPr>
        <w:tabs>
          <w:tab w:val="left" w:pos="851"/>
          <w:tab w:val="left" w:pos="1701"/>
          <w:tab w:val="left" w:pos="3402"/>
          <w:tab w:val="left" w:pos="5245"/>
          <w:tab w:val="left" w:pos="7088"/>
          <w:tab w:val="left" w:pos="7513"/>
        </w:tabs>
        <w:ind w:left="851" w:hanging="426"/>
        <w:jc w:val="both"/>
        <w:rPr>
          <w:spacing w:val="-3"/>
          <w:sz w:val="18"/>
          <w:szCs w:val="18"/>
          <w:vertAlign w:val="superscript"/>
        </w:rPr>
      </w:pPr>
      <w:r w:rsidRPr="005F15DA">
        <w:rPr>
          <w:spacing w:val="-3"/>
          <w:sz w:val="18"/>
          <w:szCs w:val="18"/>
        </w:rPr>
        <w:tab/>
      </w:r>
      <w:r w:rsidRPr="005F15DA">
        <w:rPr>
          <w:spacing w:val="-3"/>
          <w:sz w:val="18"/>
          <w:szCs w:val="18"/>
        </w:rPr>
        <w:tab/>
      </w:r>
      <w:r w:rsidR="00FF2197" w:rsidRPr="005F15DA">
        <w:rPr>
          <w:spacing w:val="-3"/>
          <w:sz w:val="18"/>
          <w:szCs w:val="18"/>
        </w:rPr>
        <w:tab/>
      </w:r>
      <w:r w:rsidRPr="005F15DA">
        <w:rPr>
          <w:spacing w:val="-3"/>
          <w:sz w:val="18"/>
          <w:szCs w:val="18"/>
          <w:vertAlign w:val="superscript"/>
        </w:rPr>
        <w:t>Gesamtinvestition (Fr. 16'000.—)</w:t>
      </w:r>
    </w:p>
    <w:p w:rsidR="006B393B" w:rsidRPr="005F15DA" w:rsidRDefault="006B393B" w:rsidP="00FF2197">
      <w:pPr>
        <w:ind w:left="851"/>
      </w:pPr>
    </w:p>
    <w:p w:rsidR="005D70F9" w:rsidRPr="005F15DA" w:rsidRDefault="005D70F9" w:rsidP="00FF2197">
      <w:pPr>
        <w:ind w:left="851"/>
      </w:pPr>
      <w:r w:rsidRPr="005F15DA">
        <w:t>Die Ehefrau erhält also Fr. 5'600</w:t>
      </w:r>
      <w:proofErr w:type="gramStart"/>
      <w:r w:rsidRPr="005F15DA">
        <w:t>.—</w:t>
      </w:r>
      <w:proofErr w:type="gramEnd"/>
      <w:r w:rsidRPr="005F15DA">
        <w:t xml:space="preserve"> zurück.</w:t>
      </w:r>
    </w:p>
    <w:p w:rsidR="00FF2197" w:rsidRPr="005F15DA" w:rsidRDefault="00FF2197" w:rsidP="00FF2197">
      <w:pPr>
        <w:ind w:left="851"/>
      </w:pPr>
    </w:p>
    <w:p w:rsidR="005D70F9" w:rsidRPr="005F15DA" w:rsidRDefault="005D70F9" w:rsidP="00FF2197">
      <w:pPr>
        <w:ind w:left="851"/>
      </w:pPr>
      <w:r w:rsidRPr="005F15DA">
        <w:t>Wäre der Marktwert der Aktien im Zeitpunkt der güterrechtlichen Auseinanderse</w:t>
      </w:r>
      <w:r w:rsidRPr="005F15DA">
        <w:t>t</w:t>
      </w:r>
      <w:r w:rsidRPr="005F15DA">
        <w:t>zung unter Fr. 12'000</w:t>
      </w:r>
      <w:proofErr w:type="gramStart"/>
      <w:r w:rsidRPr="005F15DA">
        <w:t>.—</w:t>
      </w:r>
      <w:proofErr w:type="gramEnd"/>
      <w:r w:rsidRPr="005F15DA">
        <w:t xml:space="preserve"> gesunken, so hätte die Ehefrau immer noch einen Anspruch in der Höhe von Fr. 4'000.—, entsprechend ihrer ursprünglichen Investition.</w:t>
      </w:r>
    </w:p>
    <w:p w:rsidR="006B393B" w:rsidRPr="005F15DA" w:rsidRDefault="006B393B" w:rsidP="00FF2197">
      <w:pPr>
        <w:ind w:left="851"/>
      </w:pPr>
    </w:p>
    <w:p w:rsidR="005D70F9" w:rsidRPr="005F15DA" w:rsidRDefault="005D70F9" w:rsidP="00FF2197">
      <w:pPr>
        <w:ind w:left="851"/>
      </w:pPr>
      <w:r w:rsidRPr="005F15DA">
        <w:t>Die Ehegatten können die Mehrwertbeteiligung schriftlich verändern oder ganz au</w:t>
      </w:r>
      <w:r w:rsidRPr="005F15DA">
        <w:t>s</w:t>
      </w:r>
      <w:r w:rsidRPr="005F15DA">
        <w:t xml:space="preserve">schliessen. </w:t>
      </w:r>
    </w:p>
    <w:p w:rsidR="006B393B" w:rsidRPr="005F15DA" w:rsidRDefault="006B393B" w:rsidP="00FF2197">
      <w:pPr>
        <w:ind w:left="851"/>
      </w:pPr>
    </w:p>
    <w:p w:rsidR="005D70F9" w:rsidRPr="005F15DA" w:rsidRDefault="005D70F9" w:rsidP="00FF2197">
      <w:pPr>
        <w:ind w:left="851"/>
      </w:pPr>
      <w:r w:rsidRPr="005F15DA">
        <w:t>Dasselbe gilt gemäss Art. 209 ZGB auch, wenn eine Gütermasse eines Ehegatten zum Erwerb, zur Verbesserung oder zur Erhaltung von Vermögensgegenständen seiner anderen Gütermasse beigetragen hat. Allerdings entspricht in diesem Fall die Ersatzforderung bei einem allfälligen Mehr- oder Minderwert dem Anteil des Beitr</w:t>
      </w:r>
      <w:r w:rsidRPr="005F15DA">
        <w:t>a</w:t>
      </w:r>
      <w:r w:rsidRPr="005F15DA">
        <w:t>ges an der Gesamtinvestition im Verhältnis zum Wert des Vermögensgegenstandes im Zeitpunkt der güterrechtlichen Auseinandersetzung, d.h. hier wird auch ein Mi</w:t>
      </w:r>
      <w:r w:rsidRPr="005F15DA">
        <w:t>n</w:t>
      </w:r>
      <w:r w:rsidRPr="005F15DA">
        <w:t>derwert berücksichtigt.</w:t>
      </w:r>
    </w:p>
    <w:p w:rsidR="006B393B" w:rsidRPr="005F15DA" w:rsidRDefault="006B393B" w:rsidP="00FF2197">
      <w:pPr>
        <w:ind w:left="851"/>
      </w:pPr>
    </w:p>
    <w:p w:rsidR="005D70F9" w:rsidRPr="005F15DA" w:rsidRDefault="005D70F9" w:rsidP="00FF2197">
      <w:pPr>
        <w:ind w:left="851"/>
      </w:pPr>
      <w:r w:rsidRPr="005F15DA">
        <w:rPr>
          <w:u w:val="single"/>
        </w:rPr>
        <w:t>Beispiel</w:t>
      </w:r>
      <w:r w:rsidRPr="005F15DA">
        <w:t>:</w:t>
      </w:r>
    </w:p>
    <w:p w:rsidR="005D70F9" w:rsidRPr="005F15DA" w:rsidRDefault="005D70F9" w:rsidP="00FF2197">
      <w:pPr>
        <w:ind w:left="851"/>
      </w:pPr>
      <w:r w:rsidRPr="005F15DA">
        <w:t>Der Ehemann kauft mit seiner Erbschaft von Fr. 12'000</w:t>
      </w:r>
      <w:proofErr w:type="gramStart"/>
      <w:r w:rsidRPr="005F15DA">
        <w:t>.—</w:t>
      </w:r>
      <w:proofErr w:type="gramEnd"/>
      <w:r w:rsidRPr="005F15DA">
        <w:t xml:space="preserve"> (Eigengut) ein Aktienp</w:t>
      </w:r>
      <w:r w:rsidRPr="005F15DA">
        <w:t>a</w:t>
      </w:r>
      <w:r w:rsidRPr="005F15DA">
        <w:t>ket, das Fr. 16'000.— kostet; die fehlenden Fr. 4'000.— bezieht er von seinen wä</w:t>
      </w:r>
      <w:r w:rsidRPr="005F15DA">
        <w:t>h</w:t>
      </w:r>
      <w:r w:rsidRPr="005F15DA">
        <w:t>rend der Ehe geäufneten Ersparnissen (Errungenschaft). Steigen die Aktien auf e</w:t>
      </w:r>
      <w:r w:rsidRPr="005F15DA">
        <w:t>i</w:t>
      </w:r>
      <w:r w:rsidRPr="005F15DA">
        <w:t>nen Wert von Fr. 22’400</w:t>
      </w:r>
      <w:proofErr w:type="gramStart"/>
      <w:r w:rsidRPr="005F15DA">
        <w:t>.—</w:t>
      </w:r>
      <w:proofErr w:type="gramEnd"/>
      <w:r w:rsidRPr="005F15DA">
        <w:t xml:space="preserve"> im Zeitpunkt der güterrechtlichen Auseinandersetzung, </w:t>
      </w:r>
      <w:r w:rsidRPr="005F15DA">
        <w:lastRenderedPageBreak/>
        <w:t>so hat seine Errungenschaft gegenüber dem Eigengut eine Forderung, welche sich gleich berechnet, wie diejenige der Ehefrau im obigen Beispiel.</w:t>
      </w:r>
    </w:p>
    <w:p w:rsidR="006B393B" w:rsidRPr="005F15DA" w:rsidRDefault="006B393B" w:rsidP="00FF2197">
      <w:pPr>
        <w:ind w:left="851"/>
      </w:pPr>
    </w:p>
    <w:p w:rsidR="005D70F9" w:rsidRPr="005F15DA" w:rsidRDefault="005D70F9" w:rsidP="00FF2197">
      <w:pPr>
        <w:tabs>
          <w:tab w:val="left" w:pos="3402"/>
          <w:tab w:val="left" w:pos="5103"/>
        </w:tabs>
        <w:ind w:left="851"/>
      </w:pPr>
      <w:r w:rsidRPr="005F15DA">
        <w:t>Sinkt der Marktwert jedoch auf Fr. 12'000</w:t>
      </w:r>
      <w:proofErr w:type="gramStart"/>
      <w:r w:rsidRPr="005F15DA">
        <w:t>.—</w:t>
      </w:r>
      <w:proofErr w:type="gramEnd"/>
      <w:r w:rsidRPr="005F15DA">
        <w:t xml:space="preserve"> ergibt sich hier folgende Berechnung:</w:t>
      </w:r>
    </w:p>
    <w:p w:rsidR="005D70F9" w:rsidRPr="005F15DA" w:rsidRDefault="005D70F9" w:rsidP="00FF2197">
      <w:pPr>
        <w:tabs>
          <w:tab w:val="left" w:pos="3402"/>
          <w:tab w:val="left" w:pos="5103"/>
        </w:tabs>
        <w:ind w:left="851"/>
      </w:pPr>
      <w:r w:rsidRPr="005F15DA">
        <w:t>Wert beim Kauf</w:t>
      </w:r>
      <w:r w:rsidRPr="005F15DA">
        <w:tab/>
      </w:r>
      <w:r w:rsidRPr="005F15DA">
        <w:rPr>
          <w:spacing w:val="2"/>
        </w:rPr>
        <w:t>Minderwert</w:t>
      </w:r>
      <w:r w:rsidRPr="005F15DA">
        <w:tab/>
        <w:t>Wert bei Auseinandersetzung</w:t>
      </w:r>
    </w:p>
    <w:p w:rsidR="005D70F9" w:rsidRPr="005F15DA" w:rsidRDefault="005D70F9" w:rsidP="00FF2197">
      <w:pPr>
        <w:tabs>
          <w:tab w:val="left" w:pos="3402"/>
          <w:tab w:val="left" w:pos="5103"/>
        </w:tabs>
        <w:ind w:left="851"/>
      </w:pPr>
      <w:r w:rsidRPr="005F15DA">
        <w:t>Eigengut</w:t>
      </w:r>
      <w:r w:rsidRPr="005F15DA">
        <w:tab/>
        <w:t>12'000.—</w:t>
      </w:r>
      <w:r w:rsidRPr="005F15DA">
        <w:tab/>
        <w:t>3'000.—</w:t>
      </w:r>
      <w:r w:rsidRPr="005F15DA">
        <w:tab/>
      </w:r>
      <w:r w:rsidRPr="005F15DA">
        <w:rPr>
          <w:spacing w:val="5"/>
        </w:rPr>
        <w:t>9'000.—</w:t>
      </w:r>
    </w:p>
    <w:p w:rsidR="005D70F9" w:rsidRPr="005F15DA" w:rsidRDefault="005D70F9" w:rsidP="00FF2197">
      <w:pPr>
        <w:tabs>
          <w:tab w:val="left" w:pos="3402"/>
          <w:tab w:val="left" w:pos="5103"/>
        </w:tabs>
        <w:ind w:left="851"/>
      </w:pPr>
      <w:r w:rsidRPr="005F15DA">
        <w:t>(3/4)</w:t>
      </w:r>
    </w:p>
    <w:p w:rsidR="005D70F9" w:rsidRPr="005F15DA" w:rsidRDefault="005D70F9" w:rsidP="00FF2197">
      <w:pPr>
        <w:tabs>
          <w:tab w:val="left" w:pos="3402"/>
          <w:tab w:val="left" w:pos="5103"/>
        </w:tabs>
        <w:ind w:left="851"/>
      </w:pPr>
      <w:r w:rsidRPr="005F15DA">
        <w:rPr>
          <w:spacing w:val="-10"/>
        </w:rPr>
        <w:t>Errungenschaft</w:t>
      </w:r>
      <w:r w:rsidRPr="005F15DA">
        <w:tab/>
      </w:r>
      <w:r w:rsidRPr="005F15DA">
        <w:rPr>
          <w:spacing w:val="9"/>
        </w:rPr>
        <w:t>4'000.—</w:t>
      </w:r>
      <w:r w:rsidRPr="005F15DA">
        <w:tab/>
      </w:r>
      <w:r w:rsidRPr="005F15DA">
        <w:rPr>
          <w:spacing w:val="4"/>
        </w:rPr>
        <w:t>1'000.—</w:t>
      </w:r>
      <w:r w:rsidRPr="005F15DA">
        <w:tab/>
      </w:r>
      <w:r w:rsidRPr="005F15DA">
        <w:rPr>
          <w:spacing w:val="10"/>
        </w:rPr>
        <w:t>3'000.—</w:t>
      </w:r>
    </w:p>
    <w:p w:rsidR="005D70F9" w:rsidRPr="005F15DA" w:rsidRDefault="005D70F9" w:rsidP="00FF2197">
      <w:pPr>
        <w:tabs>
          <w:tab w:val="left" w:pos="3402"/>
          <w:tab w:val="left" w:pos="5103"/>
        </w:tabs>
        <w:ind w:left="851"/>
      </w:pPr>
      <w:r w:rsidRPr="005F15DA">
        <w:t>(1/4)</w:t>
      </w:r>
    </w:p>
    <w:p w:rsidR="005D70F9" w:rsidRPr="005F15DA" w:rsidRDefault="005D70F9" w:rsidP="00FF2197">
      <w:pPr>
        <w:tabs>
          <w:tab w:val="left" w:pos="3402"/>
          <w:tab w:val="left" w:pos="5103"/>
        </w:tabs>
        <w:ind w:left="851"/>
      </w:pPr>
      <w:r w:rsidRPr="005F15DA">
        <w:rPr>
          <w:spacing w:val="-11"/>
        </w:rPr>
        <w:t>Total</w:t>
      </w:r>
      <w:r w:rsidRPr="005F15DA">
        <w:tab/>
      </w:r>
      <w:r w:rsidRPr="005F15DA">
        <w:rPr>
          <w:spacing w:val="3"/>
        </w:rPr>
        <w:t>16'000.—</w:t>
      </w:r>
      <w:r w:rsidRPr="005F15DA">
        <w:tab/>
        <w:t>4'000.—</w:t>
      </w:r>
      <w:r w:rsidRPr="005F15DA">
        <w:tab/>
      </w:r>
      <w:r w:rsidRPr="005F15DA">
        <w:rPr>
          <w:spacing w:val="8"/>
        </w:rPr>
        <w:t>12'000.—</w:t>
      </w:r>
    </w:p>
    <w:p w:rsidR="005D70F9" w:rsidRPr="005F15DA" w:rsidRDefault="005D70F9" w:rsidP="00FF2197">
      <w:pPr>
        <w:tabs>
          <w:tab w:val="left" w:pos="3402"/>
          <w:tab w:val="left" w:pos="5103"/>
        </w:tabs>
        <w:ind w:left="851"/>
      </w:pPr>
      <w:r w:rsidRPr="005F15DA">
        <w:t>(4/4)</w:t>
      </w:r>
    </w:p>
    <w:p w:rsidR="005D70F9" w:rsidRPr="005F15DA" w:rsidRDefault="005D70F9" w:rsidP="00FF2197">
      <w:pPr>
        <w:tabs>
          <w:tab w:val="left" w:pos="851"/>
          <w:tab w:val="left" w:pos="3686"/>
          <w:tab w:val="left" w:pos="7371"/>
          <w:tab w:val="left" w:pos="7655"/>
        </w:tabs>
        <w:ind w:left="851"/>
        <w:jc w:val="both"/>
        <w:rPr>
          <w:spacing w:val="-3"/>
          <w:sz w:val="18"/>
          <w:szCs w:val="18"/>
          <w:vertAlign w:val="subscript"/>
        </w:rPr>
      </w:pPr>
      <w:r w:rsidRPr="005F15DA">
        <w:rPr>
          <w:spacing w:val="-3"/>
          <w:sz w:val="18"/>
          <w:szCs w:val="18"/>
        </w:rPr>
        <w:tab/>
      </w:r>
      <w:r w:rsidRPr="005F15DA">
        <w:rPr>
          <w:spacing w:val="-3"/>
          <w:sz w:val="18"/>
          <w:szCs w:val="18"/>
          <w:vertAlign w:val="subscript"/>
        </w:rPr>
        <w:t>Wert Aktien (Fr. 12’000</w:t>
      </w:r>
      <w:proofErr w:type="gramStart"/>
      <w:r w:rsidRPr="005F15DA">
        <w:rPr>
          <w:spacing w:val="-3"/>
          <w:sz w:val="18"/>
          <w:szCs w:val="18"/>
          <w:vertAlign w:val="subscript"/>
        </w:rPr>
        <w:t>.—</w:t>
      </w:r>
      <w:proofErr w:type="gramEnd"/>
      <w:r w:rsidRPr="005F15DA">
        <w:rPr>
          <w:spacing w:val="-3"/>
          <w:sz w:val="18"/>
          <w:szCs w:val="18"/>
          <w:vertAlign w:val="subscript"/>
        </w:rPr>
        <w:t>)  x  Anteil Errungenschaft (Fr. 4'000.—)</w:t>
      </w:r>
    </w:p>
    <w:p w:rsidR="005D70F9" w:rsidRPr="005F15DA" w:rsidRDefault="005D70F9" w:rsidP="00FF2197">
      <w:pPr>
        <w:tabs>
          <w:tab w:val="left" w:pos="851"/>
          <w:tab w:val="left" w:pos="1560"/>
          <w:tab w:val="left" w:pos="3686"/>
          <w:tab w:val="left" w:pos="7371"/>
          <w:tab w:val="left" w:pos="7655"/>
          <w:tab w:val="left" w:pos="8080"/>
        </w:tabs>
        <w:ind w:left="851"/>
        <w:jc w:val="both"/>
        <w:rPr>
          <w:spacing w:val="-3"/>
          <w:sz w:val="18"/>
          <w:szCs w:val="18"/>
        </w:rPr>
      </w:pPr>
      <w:r w:rsidRPr="005F15DA">
        <w:rPr>
          <w:spacing w:val="-3"/>
          <w:sz w:val="18"/>
          <w:szCs w:val="18"/>
        </w:rPr>
        <w:t>Oder:</w:t>
      </w:r>
      <w:r w:rsidRPr="005F15DA">
        <w:rPr>
          <w:spacing w:val="-3"/>
          <w:sz w:val="18"/>
          <w:szCs w:val="18"/>
        </w:rPr>
        <w:tab/>
        <w:t>Anteil Errungenschaft =</w:t>
      </w:r>
      <w:r w:rsidRPr="005F15DA">
        <w:rPr>
          <w:spacing w:val="-3"/>
          <w:sz w:val="18"/>
          <w:szCs w:val="18"/>
        </w:rPr>
        <w:tab/>
        <w:t>———————————————————</w:t>
      </w:r>
      <w:r w:rsidRPr="005F15DA">
        <w:rPr>
          <w:spacing w:val="-3"/>
          <w:sz w:val="18"/>
          <w:szCs w:val="18"/>
        </w:rPr>
        <w:tab/>
        <w:t>=</w:t>
      </w:r>
      <w:r w:rsidRPr="005F15DA">
        <w:rPr>
          <w:spacing w:val="-3"/>
          <w:sz w:val="18"/>
          <w:szCs w:val="18"/>
        </w:rPr>
        <w:tab/>
        <w:t>Fr. 3'000.—</w:t>
      </w:r>
    </w:p>
    <w:p w:rsidR="005D70F9" w:rsidRPr="005F15DA" w:rsidRDefault="005D70F9" w:rsidP="00FF2197">
      <w:pPr>
        <w:tabs>
          <w:tab w:val="left" w:pos="851"/>
          <w:tab w:val="left" w:pos="3686"/>
          <w:tab w:val="left" w:pos="7371"/>
          <w:tab w:val="left" w:pos="7655"/>
        </w:tabs>
        <w:ind w:left="851" w:hanging="426"/>
        <w:jc w:val="both"/>
        <w:rPr>
          <w:spacing w:val="-3"/>
          <w:sz w:val="18"/>
          <w:szCs w:val="18"/>
          <w:vertAlign w:val="superscript"/>
        </w:rPr>
      </w:pPr>
      <w:r w:rsidRPr="005F15DA">
        <w:rPr>
          <w:spacing w:val="-3"/>
          <w:sz w:val="18"/>
          <w:szCs w:val="18"/>
        </w:rPr>
        <w:tab/>
      </w:r>
      <w:r w:rsidRPr="005F15DA">
        <w:rPr>
          <w:spacing w:val="-3"/>
          <w:sz w:val="18"/>
          <w:szCs w:val="18"/>
        </w:rPr>
        <w:tab/>
      </w:r>
      <w:r w:rsidRPr="005F15DA">
        <w:rPr>
          <w:spacing w:val="-3"/>
          <w:sz w:val="18"/>
          <w:szCs w:val="18"/>
          <w:vertAlign w:val="superscript"/>
        </w:rPr>
        <w:t>Gesamtinvestition (Fr. 16'000.—)</w:t>
      </w:r>
    </w:p>
    <w:p w:rsidR="006B393B" w:rsidRPr="005F15DA" w:rsidRDefault="006B393B" w:rsidP="00FF2197">
      <w:pPr>
        <w:ind w:left="851"/>
      </w:pPr>
    </w:p>
    <w:p w:rsidR="005D70F9" w:rsidRPr="005F15DA" w:rsidRDefault="005D70F9" w:rsidP="00FF2197">
      <w:pPr>
        <w:ind w:left="851"/>
      </w:pPr>
      <w:r w:rsidRPr="005F15DA">
        <w:t>Seine Errungenschaft erhält somit eine Ersatzforderung in der Höhe von Fr. 3'000</w:t>
      </w:r>
      <w:proofErr w:type="gramStart"/>
      <w:r w:rsidRPr="005F15DA">
        <w:t>.—</w:t>
      </w:r>
      <w:proofErr w:type="gramEnd"/>
      <w:r w:rsidRPr="005F15DA">
        <w:t xml:space="preserve"> gegenüber dem Eigengut.</w:t>
      </w:r>
    </w:p>
    <w:p w:rsidR="006B393B" w:rsidRPr="005F15DA" w:rsidRDefault="006B393B" w:rsidP="00FF2197">
      <w:pPr>
        <w:ind w:left="851"/>
      </w:pPr>
    </w:p>
    <w:p w:rsidR="005D70F9" w:rsidRPr="005F15DA" w:rsidRDefault="005D70F9" w:rsidP="00FF2197">
      <w:pPr>
        <w:ind w:left="851"/>
      </w:pPr>
      <w:r w:rsidRPr="005F15DA">
        <w:t>Bei der güterrechtlichen Auseinandersetzung sind dann das Eigengut und die Erru</w:t>
      </w:r>
      <w:r w:rsidRPr="005F15DA">
        <w:t>n</w:t>
      </w:r>
      <w:r w:rsidRPr="005F15DA">
        <w:t>genschaft eines jeden Ehegatten unter Berücksichtigung der Ersatzforderungen und Mehrwertansprüche zu ermitteln und auszuscheiden (Art. 207 ZGB).</w:t>
      </w:r>
    </w:p>
    <w:p w:rsidR="006B393B" w:rsidRPr="005F15DA" w:rsidRDefault="006B393B" w:rsidP="00FF2197">
      <w:pPr>
        <w:ind w:left="851"/>
      </w:pPr>
    </w:p>
    <w:p w:rsidR="005D70F9" w:rsidRPr="005F15DA" w:rsidRDefault="005D70F9" w:rsidP="00FF2197">
      <w:pPr>
        <w:ind w:left="851"/>
      </w:pPr>
      <w:r w:rsidRPr="005F15DA">
        <w:t>Zur Errungenschaft werden zudem unentgeltliche Zuwendungen an Dritte hinzug</w:t>
      </w:r>
      <w:r w:rsidRPr="005F15DA">
        <w:t>e</w:t>
      </w:r>
      <w:r w:rsidRPr="005F15DA">
        <w:t>rechnet, welche ein Ehegatte in den letzten 5 Jahren vor der Auflösung des Güte</w:t>
      </w:r>
      <w:r w:rsidRPr="005F15DA">
        <w:t>r</w:t>
      </w:r>
      <w:r w:rsidRPr="005F15DA">
        <w:t>standes ohne Zustimmung des Partners gemacht hat und Vermögensveräusseru</w:t>
      </w:r>
      <w:r w:rsidRPr="005F15DA">
        <w:t>n</w:t>
      </w:r>
      <w:r w:rsidRPr="005F15DA">
        <w:t>gen, die allein deswegen vorgenommen wurden, um die Ansprüche des anderen Ehegatten zu schmälern (Art. 208 ZGB).</w:t>
      </w:r>
    </w:p>
    <w:p w:rsidR="006B393B" w:rsidRPr="005F15DA" w:rsidRDefault="006B393B" w:rsidP="00FF2197">
      <w:pPr>
        <w:ind w:left="851"/>
      </w:pPr>
    </w:p>
    <w:p w:rsidR="006B393B" w:rsidRPr="005F15DA" w:rsidRDefault="006B393B" w:rsidP="00FF2197">
      <w:pPr>
        <w:ind w:left="851"/>
      </w:pPr>
    </w:p>
    <w:p w:rsidR="005D70F9" w:rsidRPr="005F15DA" w:rsidRDefault="005D70F9" w:rsidP="00656BDE">
      <w:pPr>
        <w:pStyle w:val="berschrift5"/>
      </w:pPr>
      <w:r w:rsidRPr="005F15DA">
        <w:t>3.3.</w:t>
      </w:r>
      <w:r w:rsidRPr="005F15DA">
        <w:tab/>
        <w:t>Vorschlagsberechnung</w:t>
      </w:r>
    </w:p>
    <w:p w:rsidR="005D70F9" w:rsidRPr="005F15DA" w:rsidRDefault="005D70F9" w:rsidP="00FF2197">
      <w:pPr>
        <w:ind w:left="851"/>
      </w:pPr>
      <w:r w:rsidRPr="005F15DA">
        <w:t>Was vom Gesamtwert der Errungenschaft, einschliesslich der hinzugerechneten Vermögenswerte, Ersatzforderungen und Mehrwertanteile nach Abzug der darauf lastenden Schulden übrig bleibt, bildet den Vorschlag (Art. 210 Abs. 1 ZGB). Der Vorschlag jedes Ehegatten ist gesondert zu berechnen.</w:t>
      </w:r>
    </w:p>
    <w:p w:rsidR="006B393B" w:rsidRPr="005F15DA" w:rsidRDefault="006B393B" w:rsidP="00FF2197">
      <w:pPr>
        <w:ind w:left="851"/>
      </w:pPr>
    </w:p>
    <w:p w:rsidR="005D70F9" w:rsidRPr="005F15DA" w:rsidRDefault="005D70F9" w:rsidP="00FF2197">
      <w:pPr>
        <w:ind w:left="851"/>
      </w:pPr>
      <w:r w:rsidRPr="005F15DA">
        <w:t>Resultiert bei einem Ehegatten ein so genannter Rückschlag, d.h. die Schulden der Errungenschaft übersteigen die Aktiven der Errungenschaft, wird dies nicht berüc</w:t>
      </w:r>
      <w:r w:rsidRPr="005F15DA">
        <w:t>k</w:t>
      </w:r>
      <w:r w:rsidRPr="005F15DA">
        <w:t>sichtigt, d.h. der Rückschlag wird nicht aufgeteilt (Art. 210 Abs. 2 ZGB).</w:t>
      </w:r>
    </w:p>
    <w:p w:rsidR="006B393B" w:rsidRPr="005F15DA" w:rsidRDefault="006B393B" w:rsidP="00FF2197">
      <w:pPr>
        <w:ind w:left="851"/>
      </w:pPr>
    </w:p>
    <w:p w:rsidR="006B393B" w:rsidRPr="005F15DA" w:rsidRDefault="006B393B" w:rsidP="00FF2197">
      <w:pPr>
        <w:ind w:left="851"/>
      </w:pPr>
    </w:p>
    <w:p w:rsidR="005D70F9" w:rsidRPr="005F15DA" w:rsidRDefault="005D70F9" w:rsidP="00656BDE">
      <w:pPr>
        <w:pStyle w:val="berschrift5"/>
      </w:pPr>
      <w:r w:rsidRPr="005F15DA">
        <w:rPr>
          <w:spacing w:val="-5"/>
        </w:rPr>
        <w:t>3.4.</w:t>
      </w:r>
      <w:r w:rsidRPr="005F15DA">
        <w:tab/>
        <w:t>Wertbestimmung</w:t>
      </w:r>
    </w:p>
    <w:p w:rsidR="005D70F9" w:rsidRPr="005F15DA" w:rsidRDefault="005D70F9" w:rsidP="00FF2197">
      <w:pPr>
        <w:ind w:left="851"/>
      </w:pPr>
      <w:r w:rsidRPr="005F15DA">
        <w:t>Bei der güterrechtlichen Auseinandersetzung sind die Vermögensgegenstände zu i</w:t>
      </w:r>
      <w:r w:rsidRPr="005F15DA">
        <w:t>h</w:t>
      </w:r>
      <w:r w:rsidRPr="005F15DA">
        <w:t>rem Verkehrswert im Zeitpunkt der Auseinandersetzung einzusetzen, d.h. zu demj</w:t>
      </w:r>
      <w:r w:rsidRPr="005F15DA">
        <w:t>e</w:t>
      </w:r>
      <w:r w:rsidRPr="005F15DA">
        <w:t>nigen Wert, den ein Dritter bezahlen würde (Art. 211 ZGB). Eine Ausnahme bilden landwirtschaftliche Gewerbe, für welche der Ertragswert massgebend ist (Art. 212 ZGB).</w:t>
      </w:r>
    </w:p>
    <w:p w:rsidR="006B393B" w:rsidRPr="005F15DA" w:rsidRDefault="006B393B" w:rsidP="00FF2197">
      <w:pPr>
        <w:ind w:left="851"/>
      </w:pPr>
    </w:p>
    <w:p w:rsidR="005D70F9" w:rsidRPr="005F15DA" w:rsidRDefault="005D70F9" w:rsidP="00656BDE">
      <w:pPr>
        <w:pStyle w:val="berschrift5"/>
      </w:pPr>
      <w:r w:rsidRPr="005F15DA">
        <w:rPr>
          <w:spacing w:val="-5"/>
        </w:rPr>
        <w:lastRenderedPageBreak/>
        <w:t>3.5.</w:t>
      </w:r>
      <w:r w:rsidRPr="005F15DA">
        <w:tab/>
        <w:t>Vorschlagsbeteiligung</w:t>
      </w:r>
    </w:p>
    <w:p w:rsidR="005D70F9" w:rsidRPr="005F15DA" w:rsidRDefault="005D70F9" w:rsidP="00FF2197">
      <w:pPr>
        <w:ind w:left="851"/>
      </w:pPr>
      <w:r w:rsidRPr="005F15DA">
        <w:t>Jedem Ehegatten oder dessen Erben steht gemäss Art. 215 ZGB die Hälfte am Vo</w:t>
      </w:r>
      <w:r w:rsidRPr="005F15DA">
        <w:t>r</w:t>
      </w:r>
      <w:r w:rsidRPr="005F15DA">
        <w:t>schlag des anderen zu. Forderungen sind gegenseitig zu verrechnen.</w:t>
      </w:r>
    </w:p>
    <w:p w:rsidR="006B393B" w:rsidRPr="005F15DA" w:rsidRDefault="006B393B" w:rsidP="00FF2197">
      <w:pPr>
        <w:ind w:left="851"/>
      </w:pPr>
    </w:p>
    <w:p w:rsidR="005D70F9" w:rsidRPr="005F15DA" w:rsidRDefault="005D70F9" w:rsidP="00FF2197">
      <w:pPr>
        <w:ind w:left="851"/>
      </w:pPr>
      <w:r w:rsidRPr="005F15DA">
        <w:t>Am Rückschlag eines Ehegatten ist der andere nicht beteiligt.</w:t>
      </w:r>
    </w:p>
    <w:p w:rsidR="006B393B" w:rsidRPr="005F15DA" w:rsidRDefault="006B393B" w:rsidP="00FF2197">
      <w:pPr>
        <w:ind w:left="851"/>
      </w:pPr>
    </w:p>
    <w:p w:rsidR="005D70F9" w:rsidRPr="005F15DA" w:rsidRDefault="005D70F9" w:rsidP="00FF2197">
      <w:pPr>
        <w:ind w:left="851"/>
      </w:pPr>
      <w:r w:rsidRPr="005F15DA">
        <w:t>Die Ehegatten können durch Abschluss eines Ehevertrages eine andere Beteiligung am Vorschlag (z.B. ganze Vorschlagszuweisung) vereinbaren (Art. 216 ZGB). Die Pflichtteilsansprüche nichtgemeinsamer Nachkommen dürfen dabei nicht beeinträc</w:t>
      </w:r>
      <w:r w:rsidRPr="005F15DA">
        <w:t>h</w:t>
      </w:r>
      <w:r w:rsidRPr="005F15DA">
        <w:t>tigt werden. Auf diese Weise kann bei gemeinsamen Nachkommen oder wenn keine Nachkommen vorhanden sind die gesamte Errungenschaft beider Ehegatten dem überlebenden Ehegatten zu Alleineigentum zugewiesen werden, ohne dass die er</w:t>
      </w:r>
      <w:r w:rsidRPr="005F15DA">
        <w:t>b</w:t>
      </w:r>
      <w:r w:rsidRPr="005F15DA">
        <w:t>rechtlichen Pflichtteilsansprüche berücksichtigt werden müssen.</w:t>
      </w:r>
    </w:p>
    <w:p w:rsidR="006B393B" w:rsidRPr="005F15DA" w:rsidRDefault="006B393B" w:rsidP="00FF2197">
      <w:pPr>
        <w:ind w:left="851"/>
      </w:pPr>
    </w:p>
    <w:p w:rsidR="005D70F9" w:rsidRPr="005F15DA" w:rsidRDefault="005D70F9" w:rsidP="00FF2197">
      <w:pPr>
        <w:ind w:left="851"/>
      </w:pPr>
      <w:r w:rsidRPr="005F15DA">
        <w:t>Bei Scheidung, Trennung, Ungültigerklärung der Ehe oder gerichtlicher Anordnung der Gütertrennung gelten vertragliche Vereinbarungen über die Änderung der im G</w:t>
      </w:r>
      <w:r w:rsidRPr="005F15DA">
        <w:t>e</w:t>
      </w:r>
      <w:r w:rsidRPr="005F15DA">
        <w:t>setz vorgesehenen hälftigen Beteiligung am Vorschlag nur, wenn der Ehevertrag dies ausdrücklich vorsieht (Art. 217 ZGB).</w:t>
      </w:r>
    </w:p>
    <w:p w:rsidR="006B393B" w:rsidRPr="005F15DA" w:rsidRDefault="006B393B" w:rsidP="00FF2197">
      <w:pPr>
        <w:ind w:left="851"/>
      </w:pPr>
    </w:p>
    <w:p w:rsidR="006B393B" w:rsidRPr="005F15DA" w:rsidRDefault="006B393B" w:rsidP="00FF2197">
      <w:pPr>
        <w:ind w:left="851"/>
      </w:pPr>
    </w:p>
    <w:p w:rsidR="005D70F9" w:rsidRPr="005F15DA" w:rsidRDefault="005D70F9" w:rsidP="00656BDE">
      <w:pPr>
        <w:pStyle w:val="berschrift5"/>
      </w:pPr>
      <w:r w:rsidRPr="005F15DA">
        <w:rPr>
          <w:spacing w:val="-7"/>
        </w:rPr>
        <w:t>3.6.</w:t>
      </w:r>
      <w:r w:rsidRPr="005F15DA">
        <w:tab/>
        <w:t>Schutzbestimmung</w:t>
      </w:r>
    </w:p>
    <w:p w:rsidR="005D70F9" w:rsidRPr="005F15DA" w:rsidRDefault="005D70F9" w:rsidP="00FF2197">
      <w:pPr>
        <w:ind w:left="851"/>
      </w:pPr>
      <w:r w:rsidRPr="005F15DA">
        <w:t>Kommt ein Ehegatte durch die aus der güterrechtlichen Auseinandersetzung en</w:t>
      </w:r>
      <w:r w:rsidRPr="005F15DA">
        <w:t>t</w:t>
      </w:r>
      <w:r w:rsidRPr="005F15DA">
        <w:t>standenen Zahlungsverpflichtungen in Schwierigkeiten, so kann er die Einräumung angemessener Fristen verlangen.</w:t>
      </w:r>
    </w:p>
    <w:p w:rsidR="006B393B" w:rsidRPr="005F15DA" w:rsidRDefault="006B393B" w:rsidP="00FF2197"/>
    <w:p w:rsidR="006B393B" w:rsidRPr="005F15DA" w:rsidRDefault="006B393B" w:rsidP="00FF2197"/>
    <w:p w:rsidR="006B393B" w:rsidRPr="005F15DA" w:rsidRDefault="006B393B" w:rsidP="00FF2197"/>
    <w:p w:rsidR="005D70F9" w:rsidRPr="005F15DA" w:rsidRDefault="005D70F9" w:rsidP="005759BE">
      <w:pPr>
        <w:pStyle w:val="berschrift3"/>
        <w:rPr>
          <w:lang w:val="de-CH"/>
        </w:rPr>
      </w:pPr>
      <w:bookmarkStart w:id="36" w:name="_Toc432175564"/>
      <w:r w:rsidRPr="005F15DA">
        <w:rPr>
          <w:spacing w:val="-19"/>
          <w:lang w:val="de-CH"/>
        </w:rPr>
        <w:t>C.</w:t>
      </w:r>
      <w:r w:rsidRPr="005F15DA">
        <w:rPr>
          <w:lang w:val="de-CH"/>
        </w:rPr>
        <w:tab/>
        <w:t xml:space="preserve">Gütergemeinschaft </w:t>
      </w:r>
      <w:r w:rsidRPr="005F15DA">
        <w:rPr>
          <w:szCs w:val="22"/>
          <w:lang w:val="de-CH"/>
        </w:rPr>
        <w:t>(Art. 221 – 246 ZGB)</w:t>
      </w:r>
      <w:bookmarkEnd w:id="36"/>
    </w:p>
    <w:p w:rsidR="00B438E5" w:rsidRDefault="00B438E5" w:rsidP="006B393B">
      <w:pPr>
        <w:tabs>
          <w:tab w:val="left" w:pos="426"/>
        </w:tabs>
      </w:pPr>
    </w:p>
    <w:p w:rsidR="005D70F9" w:rsidRPr="005F15DA" w:rsidRDefault="005D70F9" w:rsidP="006B393B">
      <w:pPr>
        <w:tabs>
          <w:tab w:val="left" w:pos="426"/>
        </w:tabs>
      </w:pPr>
      <w:r w:rsidRPr="005F15DA">
        <w:t>Die Gütergemeinschaft kann nur durch einen Ehevertrag begründet werden. Bei der Güte</w:t>
      </w:r>
      <w:r w:rsidRPr="005F15DA">
        <w:t>r</w:t>
      </w:r>
      <w:r w:rsidRPr="005F15DA">
        <w:t xml:space="preserve">gemeinschaft gibt es das Gesamtgut sowie die Eigengüter beider Ehegatten, also </w:t>
      </w:r>
      <w:r w:rsidRPr="005F15DA">
        <w:rPr>
          <w:u w:val="single"/>
        </w:rPr>
        <w:t>drei</w:t>
      </w:r>
      <w:r w:rsidRPr="005F15DA">
        <w:t xml:space="preserve"> Ve</w:t>
      </w:r>
      <w:r w:rsidRPr="005F15DA">
        <w:t>r</w:t>
      </w:r>
      <w:r w:rsidRPr="005F15DA">
        <w:t>mögens- bzw. Gütermassen.</w:t>
      </w:r>
    </w:p>
    <w:p w:rsidR="006B393B" w:rsidRPr="005F15DA" w:rsidRDefault="006B393B" w:rsidP="006B393B">
      <w:pPr>
        <w:tabs>
          <w:tab w:val="left" w:pos="426"/>
        </w:tabs>
      </w:pPr>
    </w:p>
    <w:p w:rsidR="005D70F9" w:rsidRPr="005F15DA" w:rsidRDefault="005D70F9" w:rsidP="006B393B">
      <w:pPr>
        <w:tabs>
          <w:tab w:val="left" w:pos="426"/>
        </w:tabs>
      </w:pPr>
      <w:r w:rsidRPr="005F15DA">
        <w:t xml:space="preserve">Bei der </w:t>
      </w:r>
      <w:r w:rsidRPr="005F15DA">
        <w:rPr>
          <w:u w:val="single"/>
        </w:rPr>
        <w:t>allgemeinen Gütergemeinschaft</w:t>
      </w:r>
      <w:r w:rsidRPr="005F15DA">
        <w:t xml:space="preserve"> (Art. 222 ZGB) werden das Vermögen und die Ei</w:t>
      </w:r>
      <w:r w:rsidRPr="005F15DA">
        <w:t>n</w:t>
      </w:r>
      <w:r w:rsidRPr="005F15DA">
        <w:t>künfte beider Ehegatten zum Gesamtgut verschmolzen, welches beiden ungeteilt gehört, d.h. sie haben an diesem Vermögen Gesamteigentum, mit Ausnahme der Gegenstände, welche von Gesetzes wegen Eigengut darstellen.</w:t>
      </w:r>
    </w:p>
    <w:p w:rsidR="006B393B" w:rsidRPr="005F15DA" w:rsidRDefault="006B393B" w:rsidP="006B393B">
      <w:pPr>
        <w:tabs>
          <w:tab w:val="left" w:pos="426"/>
        </w:tabs>
      </w:pPr>
    </w:p>
    <w:p w:rsidR="005D70F9" w:rsidRPr="005F15DA" w:rsidRDefault="005D70F9" w:rsidP="006B393B">
      <w:pPr>
        <w:tabs>
          <w:tab w:val="left" w:pos="426"/>
        </w:tabs>
      </w:pPr>
      <w:r w:rsidRPr="005F15DA">
        <w:t>Eigengut sind gemäss Art. 225 Abs. 2 ZGB die Gegenstände des persönlichen Gebrauchs sowie die Genugtuungsansprüche. Weiter können Dritte bei einer Vermögenszuwendung (Erbschaft oder Schenkung) an einen einzelnen Ehegatten festlegen, dass dieses Vermögen Eigengut darstellt, ausser der Ehegatte hat diese Vermögenszuwendung als Pflichtteil zu b</w:t>
      </w:r>
      <w:r w:rsidRPr="005F15DA">
        <w:t>e</w:t>
      </w:r>
      <w:r w:rsidRPr="005F15DA">
        <w:t>anspruchen und der Ehevertrag sieht vor, dass solche Zuwendungen Gesamtgut darstellen (Art. 225 Abs. 3 ZGB).</w:t>
      </w:r>
    </w:p>
    <w:p w:rsidR="006B393B" w:rsidRPr="005F15DA" w:rsidRDefault="006B393B" w:rsidP="006B393B">
      <w:pPr>
        <w:tabs>
          <w:tab w:val="left" w:pos="426"/>
        </w:tabs>
      </w:pPr>
    </w:p>
    <w:p w:rsidR="005D70F9" w:rsidRPr="005F15DA" w:rsidRDefault="005D70F9" w:rsidP="006B393B">
      <w:pPr>
        <w:tabs>
          <w:tab w:val="left" w:pos="426"/>
        </w:tabs>
      </w:pPr>
      <w:r w:rsidRPr="005F15DA">
        <w:t xml:space="preserve">Neben der allgemeinen Gütergemeinschaft besteht zusätzlich die Möglichkeit einer </w:t>
      </w:r>
      <w:r w:rsidRPr="005F15DA">
        <w:rPr>
          <w:u w:val="single"/>
        </w:rPr>
        <w:t>b</w:t>
      </w:r>
      <w:r w:rsidRPr="005F15DA">
        <w:rPr>
          <w:u w:val="single"/>
        </w:rPr>
        <w:t>e</w:t>
      </w:r>
      <w:r w:rsidRPr="005F15DA">
        <w:rPr>
          <w:u w:val="single"/>
        </w:rPr>
        <w:t>schränkten Gütergemeinschaft</w:t>
      </w:r>
      <w:r w:rsidRPr="005F15DA">
        <w:t>.</w:t>
      </w:r>
    </w:p>
    <w:p w:rsidR="005D70F9" w:rsidRPr="005F15DA" w:rsidRDefault="005D70F9" w:rsidP="006B393B">
      <w:pPr>
        <w:tabs>
          <w:tab w:val="left" w:pos="426"/>
        </w:tabs>
      </w:pPr>
      <w:r w:rsidRPr="005F15DA">
        <w:lastRenderedPageBreak/>
        <w:t xml:space="preserve">Einerseits besteht die Möglichkeit einer </w:t>
      </w:r>
      <w:r w:rsidRPr="005F15DA">
        <w:rPr>
          <w:u w:val="single"/>
        </w:rPr>
        <w:t>Errungenschaftsgemeinschaft</w:t>
      </w:r>
      <w:r w:rsidRPr="005F15DA">
        <w:t xml:space="preserve"> (Art. 223 ZGB). Bei dieser wird nur die Errungenschaft der Ehegatten zu Gesamtgut, die Eigengüter gemäss den Regeln der Errungenschaftsbeteiligung bleiben im jeweiligen Eigengut eines Ehegatten.</w:t>
      </w:r>
    </w:p>
    <w:p w:rsidR="006B393B" w:rsidRPr="005F15DA" w:rsidRDefault="006B393B" w:rsidP="006B393B">
      <w:pPr>
        <w:tabs>
          <w:tab w:val="left" w:pos="426"/>
        </w:tabs>
      </w:pPr>
    </w:p>
    <w:p w:rsidR="005D70F9" w:rsidRPr="005F15DA" w:rsidRDefault="005D70F9" w:rsidP="006B393B">
      <w:pPr>
        <w:tabs>
          <w:tab w:val="left" w:pos="426"/>
        </w:tabs>
      </w:pPr>
      <w:r w:rsidRPr="005F15DA">
        <w:t xml:space="preserve">Andererseits besteht die Möglichkeit einer </w:t>
      </w:r>
      <w:r w:rsidRPr="005F15DA">
        <w:rPr>
          <w:u w:val="single"/>
        </w:rPr>
        <w:t>Ausschlussgemeinschaft</w:t>
      </w:r>
      <w:r w:rsidRPr="005F15DA">
        <w:t xml:space="preserve"> (Art. 224 ZGB). Bei dieser können die Ehegatten beliebige Vermögenswerte wie Liegenschaften oder ein Gewerbe ve</w:t>
      </w:r>
      <w:r w:rsidRPr="005F15DA">
        <w:t>r</w:t>
      </w:r>
      <w:r w:rsidRPr="005F15DA">
        <w:t>traglich von der Gemeinschaft ausschliessen, d.h. diese verbleiben im Eigengut des jeweil</w:t>
      </w:r>
      <w:r w:rsidRPr="005F15DA">
        <w:t>i</w:t>
      </w:r>
      <w:r w:rsidRPr="005F15DA">
        <w:t>gen Ehegatten. Das gesamte übrige Vermögen der Ehegatten bildet das Gesamtgut.</w:t>
      </w:r>
    </w:p>
    <w:p w:rsidR="006B393B" w:rsidRPr="005F15DA" w:rsidRDefault="006B393B" w:rsidP="006B393B">
      <w:pPr>
        <w:tabs>
          <w:tab w:val="left" w:pos="426"/>
        </w:tabs>
      </w:pPr>
    </w:p>
    <w:p w:rsidR="005D70F9" w:rsidRPr="005F15DA" w:rsidRDefault="005D70F9" w:rsidP="006B393B">
      <w:pPr>
        <w:tabs>
          <w:tab w:val="left" w:pos="426"/>
        </w:tabs>
      </w:pPr>
      <w:r w:rsidRPr="005F15DA">
        <w:t>Die Gütergemeinschaft ist also in Hinblick auf das Eigengut sehr flexibel.</w:t>
      </w:r>
    </w:p>
    <w:p w:rsidR="006B393B" w:rsidRPr="005F15DA" w:rsidRDefault="006B393B" w:rsidP="006B393B">
      <w:pPr>
        <w:tabs>
          <w:tab w:val="left" w:pos="426"/>
        </w:tabs>
      </w:pPr>
    </w:p>
    <w:p w:rsidR="005D70F9" w:rsidRPr="005F15DA" w:rsidRDefault="005D70F9" w:rsidP="006B393B">
      <w:pPr>
        <w:tabs>
          <w:tab w:val="left" w:pos="426"/>
        </w:tabs>
      </w:pPr>
      <w:r w:rsidRPr="005F15DA">
        <w:t>Bezüglich der Verwaltung des ehelichen Vermögens muss zwischen der Verwaltung des G</w:t>
      </w:r>
      <w:r w:rsidRPr="005F15DA">
        <w:t>e</w:t>
      </w:r>
      <w:r w:rsidRPr="005F15DA">
        <w:t>samtgutes (Art. 227 – 231 ZGB) und der Verwaltung des Eigengutes (Art. 232 ZGB) unte</w:t>
      </w:r>
      <w:r w:rsidRPr="005F15DA">
        <w:t>r</w:t>
      </w:r>
      <w:r w:rsidRPr="005F15DA">
        <w:t>schieden werden.</w:t>
      </w:r>
    </w:p>
    <w:p w:rsidR="006B393B" w:rsidRPr="005F15DA" w:rsidRDefault="006B393B" w:rsidP="006B393B">
      <w:pPr>
        <w:tabs>
          <w:tab w:val="left" w:pos="426"/>
        </w:tabs>
      </w:pPr>
    </w:p>
    <w:p w:rsidR="005D70F9" w:rsidRPr="005F15DA" w:rsidRDefault="005D70F9" w:rsidP="006B393B">
      <w:pPr>
        <w:tabs>
          <w:tab w:val="left" w:pos="426"/>
        </w:tabs>
      </w:pPr>
      <w:r w:rsidRPr="005F15DA">
        <w:t>Mit Ausnahme der ordentlichen Verwaltung können die Ehegatten das Gesamtgut nur g</w:t>
      </w:r>
      <w:r w:rsidRPr="005F15DA">
        <w:t>e</w:t>
      </w:r>
      <w:r w:rsidRPr="005F15DA">
        <w:t>meinsam verwalten und darüber verfügen. Übt jedoch ein Ehegatte mit Zustimmung des a</w:t>
      </w:r>
      <w:r w:rsidRPr="005F15DA">
        <w:t>n</w:t>
      </w:r>
      <w:r w:rsidRPr="005F15DA">
        <w:t>deren aus Mitteln des Gesamtgutes alleine einen Beruf aus oder betreibt er ein Gewerbe, so kann er alle damit zusammenhängenden Rechtsgeschäfte alleine abschliessen. Erbt ein Eh</w:t>
      </w:r>
      <w:r w:rsidRPr="005F15DA">
        <w:t>e</w:t>
      </w:r>
      <w:r w:rsidRPr="005F15DA">
        <w:t>gatte, kann er die Erbschaft nur mit Zustimmung des anderen ausschlagen, wenn die Er</w:t>
      </w:r>
      <w:r w:rsidRPr="005F15DA">
        <w:t>b</w:t>
      </w:r>
      <w:r w:rsidRPr="005F15DA">
        <w:t>schaft in das Gesamtgut fallen würde, bzw. eine überschuldete Erbschaft annehmen.</w:t>
      </w:r>
    </w:p>
    <w:p w:rsidR="006B393B" w:rsidRPr="005F15DA" w:rsidRDefault="006B393B" w:rsidP="006B393B">
      <w:pPr>
        <w:tabs>
          <w:tab w:val="left" w:pos="426"/>
        </w:tabs>
      </w:pPr>
    </w:p>
    <w:p w:rsidR="005D70F9" w:rsidRPr="005F15DA" w:rsidRDefault="005D70F9" w:rsidP="006B393B">
      <w:pPr>
        <w:tabs>
          <w:tab w:val="left" w:pos="426"/>
        </w:tabs>
      </w:pPr>
      <w:r w:rsidRPr="005F15DA">
        <w:t>Das Eigengut wird von jedem Ehegatten selber verwaltet.</w:t>
      </w:r>
    </w:p>
    <w:p w:rsidR="006B393B" w:rsidRPr="005F15DA" w:rsidRDefault="006B393B" w:rsidP="006B393B">
      <w:pPr>
        <w:tabs>
          <w:tab w:val="left" w:pos="426"/>
        </w:tabs>
      </w:pPr>
    </w:p>
    <w:p w:rsidR="005D70F9" w:rsidRPr="005F15DA" w:rsidRDefault="005D70F9" w:rsidP="006B393B">
      <w:pPr>
        <w:tabs>
          <w:tab w:val="left" w:pos="426"/>
        </w:tabs>
      </w:pPr>
      <w:r w:rsidRPr="005F15DA">
        <w:t>Bezüglich der Haftung gegenüber Dritten wird zwischen den sogenannten Vollschulden (Art. 233 ZGB) und den Eigenschulden (Art. 234 ZGB) unterschieden:</w:t>
      </w:r>
    </w:p>
    <w:p w:rsidR="005D70F9" w:rsidRPr="005F15DA" w:rsidRDefault="006B393B" w:rsidP="006B393B">
      <w:pPr>
        <w:tabs>
          <w:tab w:val="left" w:pos="426"/>
        </w:tabs>
        <w:ind w:left="426" w:hanging="426"/>
      </w:pPr>
      <w:r w:rsidRPr="005F15DA">
        <w:t>-</w:t>
      </w:r>
      <w:r w:rsidRPr="005F15DA">
        <w:tab/>
      </w:r>
      <w:r w:rsidR="005D70F9" w:rsidRPr="005F15DA">
        <w:t>Für die Vollschulden haftet jeder Ehegatte sowohl mit seinem Eigengut als auch mit dem gesamten Gesamtgut. Es handelt sich dabei um Schulden, welche ein Ehegatte in Au</w:t>
      </w:r>
      <w:r w:rsidR="005D70F9" w:rsidRPr="005F15DA">
        <w:t>s</w:t>
      </w:r>
      <w:r w:rsidR="005D70F9" w:rsidRPr="005F15DA">
        <w:t>übung seiner Befugnis zur Vertretung der ehelichen Gemeinschaft, zur Verwaltung des Gesamtgutes, oder in Ausübung seines Berufes oder Gewerbes mit Mitteln des Gesam</w:t>
      </w:r>
      <w:r w:rsidR="005D70F9" w:rsidRPr="005F15DA">
        <w:t>t</w:t>
      </w:r>
      <w:r w:rsidR="005D70F9" w:rsidRPr="005F15DA">
        <w:t>gutes eingeht; weiter Schulden, für welche beide Ehegatten haften oder bei deren Eing</w:t>
      </w:r>
      <w:r w:rsidR="005D70F9" w:rsidRPr="005F15DA">
        <w:t>e</w:t>
      </w:r>
      <w:r w:rsidR="005D70F9" w:rsidRPr="005F15DA">
        <w:t>hung beide mit dem Dritten vereinbart haben, dass neben dem Eigengut des Schuldners auch das Gesamtgut haftet.</w:t>
      </w:r>
    </w:p>
    <w:p w:rsidR="005D70F9" w:rsidRPr="005F15DA" w:rsidRDefault="005D70F9" w:rsidP="006B393B">
      <w:pPr>
        <w:tabs>
          <w:tab w:val="left" w:pos="426"/>
        </w:tabs>
        <w:ind w:left="426" w:hanging="426"/>
      </w:pPr>
      <w:r w:rsidRPr="005F15DA">
        <w:t>-</w:t>
      </w:r>
      <w:r w:rsidRPr="005F15DA">
        <w:tab/>
        <w:t>Für alle übrigen Schulden eines Ehegatten haften nur sein Eigengut und die Hälfte des Wertes des Gesamtgutes.</w:t>
      </w:r>
    </w:p>
    <w:p w:rsidR="006B393B" w:rsidRPr="005F15DA" w:rsidRDefault="006B393B" w:rsidP="006B393B">
      <w:pPr>
        <w:tabs>
          <w:tab w:val="left" w:pos="426"/>
        </w:tabs>
      </w:pPr>
    </w:p>
    <w:p w:rsidR="005D70F9" w:rsidRPr="005F15DA" w:rsidRDefault="005D70F9" w:rsidP="006B393B">
      <w:pPr>
        <w:tabs>
          <w:tab w:val="left" w:pos="426"/>
        </w:tabs>
      </w:pPr>
      <w:r w:rsidRPr="005F15DA">
        <w:t>Der Güterstand der Gütergemeinschaft wird mit dem Tod eines Ehegatten, mit der Vereinb</w:t>
      </w:r>
      <w:r w:rsidRPr="005F15DA">
        <w:t>a</w:t>
      </w:r>
      <w:r w:rsidRPr="005F15DA">
        <w:t>rung eines anderen Güterstandes oder mit der Konkurseröffnung über einen Ehegatten aufg</w:t>
      </w:r>
      <w:r w:rsidRPr="005F15DA">
        <w:t>e</w:t>
      </w:r>
      <w:r w:rsidRPr="005F15DA">
        <w:t>löst (Art. 236 ZGB).</w:t>
      </w:r>
    </w:p>
    <w:p w:rsidR="006B393B" w:rsidRPr="005F15DA" w:rsidRDefault="006B393B" w:rsidP="006B393B">
      <w:pPr>
        <w:tabs>
          <w:tab w:val="left" w:pos="426"/>
        </w:tabs>
      </w:pPr>
    </w:p>
    <w:p w:rsidR="005D70F9" w:rsidRPr="005F15DA" w:rsidRDefault="005D70F9" w:rsidP="006B393B">
      <w:pPr>
        <w:tabs>
          <w:tab w:val="left" w:pos="426"/>
        </w:tabs>
      </w:pPr>
      <w:r w:rsidRPr="005F15DA">
        <w:t>Wird die Gütergemeinschaft infolge Scheidung, Trennung, Ungültigerklärung der Ehe oder gerichtlicher Anordnung der Gütertrennung aufgelöst, wird die Auflösung des Güterstandes auf den Tag der Einreichung des Begehrens zurückbezogen (Art. 236 Abs. 2 und 3 ZGB). Dieses Datum ist massgeblich für die Zusammensetzung des Eigengutes bzw. Gesamtgutes, während für den Wert der Gegenstände der Zeitpunkt der effektiven Auseinandersetzung massgeblich ist (Art. 240 ZGB).</w:t>
      </w:r>
    </w:p>
    <w:p w:rsidR="005D70F9" w:rsidRPr="005F15DA" w:rsidRDefault="005D70F9" w:rsidP="006B393B">
      <w:pPr>
        <w:tabs>
          <w:tab w:val="left" w:pos="426"/>
        </w:tabs>
      </w:pPr>
      <w:r w:rsidRPr="005F15DA">
        <w:lastRenderedPageBreak/>
        <w:t>Wie bei der Errungenschaftsbeteiligung sind auch bei der Gütergemeinschaft Ersatzforderu</w:t>
      </w:r>
      <w:r w:rsidRPr="005F15DA">
        <w:t>n</w:t>
      </w:r>
      <w:r w:rsidRPr="005F15DA">
        <w:t>gen und Mehrwertansprüche zwischen den verschiedenen Gütermassen möglich, welche bei der güterrechtlichen Auseinandersetzung zu berücksichtigen sind (Art. 238 und 240 ZGB).</w:t>
      </w:r>
    </w:p>
    <w:p w:rsidR="006B393B" w:rsidRPr="005F15DA" w:rsidRDefault="006B393B" w:rsidP="006B393B">
      <w:pPr>
        <w:tabs>
          <w:tab w:val="left" w:pos="426"/>
        </w:tabs>
      </w:pPr>
    </w:p>
    <w:p w:rsidR="005D70F9" w:rsidRPr="005F15DA" w:rsidRDefault="005D70F9" w:rsidP="006B393B">
      <w:pPr>
        <w:tabs>
          <w:tab w:val="left" w:pos="426"/>
        </w:tabs>
      </w:pPr>
      <w:r w:rsidRPr="005F15DA">
        <w:t>Erfolgt die Teilung infolge Todes eines Ehegatten, so hat von Gesetzes wegen (Art. 241 ZGB) jeder Ehegatte Anspruch auf sein Eigengut sowie auf die Hälfte des Gesamtgutes. Mittels Ehevertrag kann eine andere Teilung des Gesamtgutes vereinbart werden; diese Vereinb</w:t>
      </w:r>
      <w:r w:rsidRPr="005F15DA">
        <w:t>a</w:t>
      </w:r>
      <w:r w:rsidRPr="005F15DA">
        <w:t>rung darf aber die erbrechtlichen Pflichtteilsansprüche aller Nachkommen nicht beeinträcht</w:t>
      </w:r>
      <w:r w:rsidRPr="005F15DA">
        <w:t>i</w:t>
      </w:r>
      <w:r w:rsidRPr="005F15DA">
        <w:t>gen.</w:t>
      </w:r>
    </w:p>
    <w:p w:rsidR="006B393B" w:rsidRPr="005F15DA" w:rsidRDefault="006B393B" w:rsidP="006B393B">
      <w:pPr>
        <w:tabs>
          <w:tab w:val="left" w:pos="426"/>
        </w:tabs>
      </w:pPr>
    </w:p>
    <w:p w:rsidR="005D70F9" w:rsidRPr="005F15DA" w:rsidRDefault="005D70F9" w:rsidP="006B393B">
      <w:pPr>
        <w:tabs>
          <w:tab w:val="left" w:pos="426"/>
        </w:tabs>
      </w:pPr>
      <w:r w:rsidRPr="005F15DA">
        <w:t>Erfolgt die Teilung infolge Scheidung, Trennung, Ungültigerklärung der Ehe oder gerichtlicher bzw. gesetzlicher Gütertrennung, nimmt jeder Ehegatte vom Gesamtgut zurück, was unter der Errungenschaftsbeteiligung sein Eigengut gewesen wäre; das übrige Gesamtgut wird, vorb</w:t>
      </w:r>
      <w:r w:rsidRPr="005F15DA">
        <w:t>e</w:t>
      </w:r>
      <w:r w:rsidRPr="005F15DA">
        <w:t>hältlich einer anderen ausdrücklichen Regelung im Ehevertrag, hälftig aufgeteilt (Art. 242 ZGB).</w:t>
      </w:r>
    </w:p>
    <w:p w:rsidR="006B393B" w:rsidRPr="005F15DA" w:rsidRDefault="006B393B" w:rsidP="006B393B">
      <w:pPr>
        <w:tabs>
          <w:tab w:val="left" w:pos="426"/>
        </w:tabs>
      </w:pPr>
    </w:p>
    <w:p w:rsidR="005D70F9" w:rsidRPr="005F15DA" w:rsidRDefault="005D70F9" w:rsidP="006B393B">
      <w:pPr>
        <w:tabs>
          <w:tab w:val="left" w:pos="426"/>
        </w:tabs>
      </w:pPr>
      <w:r w:rsidRPr="005F15DA">
        <w:t>Bei der güterrechtlichen Auseinandersetzung im Falle des Todes eines Ehegatten hat der Überlebende Anspruch darauf, dass ihm diejenigen Gegenstände in Anrechnung an seine güterrechtliche Forderung zu Alleineigentum zugewiesen werden, welche bei der Errunge</w:t>
      </w:r>
      <w:r w:rsidRPr="005F15DA">
        <w:t>n</w:t>
      </w:r>
      <w:r w:rsidRPr="005F15DA">
        <w:t>schaftsbeteiligung Eigengut dargestellt hätten (Art. 243 ZGB). Weiter kann der überlebende Ehegatte die Zuteilung der ehelichen Wohnung oder die Nutzniessung bzw. ein Wohnrecht daran, sowie die Zuteilung der Hausratsgegenstände verlangen, wenn sich diese im Gesam</w:t>
      </w:r>
      <w:r w:rsidRPr="005F15DA">
        <w:t>t</w:t>
      </w:r>
      <w:r w:rsidRPr="005F15DA">
        <w:t>gut befinden (Art. 244 ZGB). Weitere Gegenstände kann er sich zuweisen lassen, wenn er ein überwiegendes Interesse nachweist (Art. 245 ZGB).</w:t>
      </w:r>
    </w:p>
    <w:p w:rsidR="006B393B" w:rsidRPr="005F15DA" w:rsidRDefault="006B393B" w:rsidP="006B393B">
      <w:pPr>
        <w:tabs>
          <w:tab w:val="left" w:pos="426"/>
        </w:tabs>
      </w:pPr>
    </w:p>
    <w:p w:rsidR="005D70F9" w:rsidRPr="005F15DA" w:rsidRDefault="005D70F9" w:rsidP="006B393B">
      <w:pPr>
        <w:tabs>
          <w:tab w:val="left" w:pos="426"/>
        </w:tabs>
      </w:pPr>
      <w:r w:rsidRPr="005F15DA">
        <w:t>Die Gütergemeinschaft wird hauptsächlich von kinderlosen Ehepaaren gewählt. Mit der Z</w:t>
      </w:r>
      <w:r w:rsidRPr="005F15DA">
        <w:t>u</w:t>
      </w:r>
      <w:r w:rsidRPr="005F15DA">
        <w:t>weisung des Gesamtgutes nach dem Tod eines Ehegatten kann so das Pflichtteilsrecht der Eltern beschränkt oder bei fehlendem Eigengut ausgeschlossen werden. Beim Vorhande</w:t>
      </w:r>
      <w:r w:rsidRPr="005F15DA">
        <w:t>n</w:t>
      </w:r>
      <w:r w:rsidRPr="005F15DA">
        <w:t>sein gemeinsamer Nachkommen ist die Gütergemeinschaft nur empfehlenswert, wenn eine Zuweisung des Vorschlages bei der Errungenschaftsbeteiligung keine bessere Begünstigung des überlebenden Ehegatten bringt.</w:t>
      </w:r>
    </w:p>
    <w:p w:rsidR="006B393B" w:rsidRPr="005F15DA" w:rsidRDefault="006B393B" w:rsidP="006B393B"/>
    <w:p w:rsidR="006B393B" w:rsidRPr="005F15DA" w:rsidRDefault="006B393B" w:rsidP="006B393B"/>
    <w:p w:rsidR="006B393B" w:rsidRPr="005F15DA" w:rsidRDefault="006B393B" w:rsidP="006B393B"/>
    <w:p w:rsidR="005D70F9" w:rsidRPr="005F15DA" w:rsidRDefault="005D70F9" w:rsidP="005759BE">
      <w:pPr>
        <w:pStyle w:val="berschrift3"/>
        <w:rPr>
          <w:lang w:val="de-CH"/>
        </w:rPr>
      </w:pPr>
      <w:bookmarkStart w:id="37" w:name="_Toc432175565"/>
      <w:r w:rsidRPr="005F15DA">
        <w:rPr>
          <w:spacing w:val="-17"/>
          <w:lang w:val="de-CH"/>
        </w:rPr>
        <w:t>D.</w:t>
      </w:r>
      <w:r w:rsidRPr="005F15DA">
        <w:rPr>
          <w:lang w:val="de-CH"/>
        </w:rPr>
        <w:tab/>
        <w:t>Gütertrennung (Art. 247 – 251 ZGB)</w:t>
      </w:r>
      <w:bookmarkEnd w:id="37"/>
    </w:p>
    <w:p w:rsidR="00B438E5" w:rsidRDefault="00B438E5" w:rsidP="006B393B"/>
    <w:p w:rsidR="005D70F9" w:rsidRPr="005F15DA" w:rsidRDefault="005D70F9" w:rsidP="006B393B">
      <w:r w:rsidRPr="005F15DA">
        <w:t xml:space="preserve">Bei der Gütertrennung bleiben die Vermögen der Ehegatten getrennt. </w:t>
      </w:r>
    </w:p>
    <w:p w:rsidR="006B393B" w:rsidRPr="005F15DA" w:rsidRDefault="006B393B" w:rsidP="006B393B"/>
    <w:p w:rsidR="005D70F9" w:rsidRPr="005F15DA" w:rsidRDefault="005D70F9" w:rsidP="006B393B">
      <w:r w:rsidRPr="005F15DA">
        <w:t>Jeder Ehegatte verwaltet sein ganzes Vermögen selber und haftet mit seinem Vermögen für seine Schulden.</w:t>
      </w:r>
    </w:p>
    <w:p w:rsidR="006B393B" w:rsidRPr="005F15DA" w:rsidRDefault="006B393B" w:rsidP="006B393B"/>
    <w:p w:rsidR="005D70F9" w:rsidRPr="005F15DA" w:rsidRDefault="005D70F9" w:rsidP="006B393B">
      <w:r w:rsidRPr="005F15DA">
        <w:t>Ist nicht bekannt, in wessen Eigentum sich ein Vermögenswert befindet, wird von Gesetzes wegen angenommen, er befinde sich im Miteigentum der Ehegatten.</w:t>
      </w:r>
    </w:p>
    <w:p w:rsidR="006B393B" w:rsidRPr="005F15DA" w:rsidRDefault="006B393B" w:rsidP="006B393B"/>
    <w:p w:rsidR="005D70F9" w:rsidRPr="005F15DA" w:rsidRDefault="005D70F9" w:rsidP="006B393B">
      <w:r w:rsidRPr="005F15DA">
        <w:t>Verfügungen über sein Vermögen trifft jeder Ehegatte selbstständig. Bei Auflösung der Güte</w:t>
      </w:r>
      <w:r w:rsidRPr="005F15DA">
        <w:t>r</w:t>
      </w:r>
      <w:r w:rsidRPr="005F15DA">
        <w:t>trennung gibt es daher auch keine güterrechtliche Auseinandersetzung. Einzig die Gege</w:t>
      </w:r>
      <w:r w:rsidRPr="005F15DA">
        <w:t>n</w:t>
      </w:r>
      <w:r w:rsidRPr="005F15DA">
        <w:t>stände, welche sich im Miteigentum der Ehegatten befinden sind aufzuteilen, wobei der Eh</w:t>
      </w:r>
      <w:r w:rsidRPr="005F15DA">
        <w:t>e</w:t>
      </w:r>
      <w:r w:rsidRPr="005F15DA">
        <w:lastRenderedPageBreak/>
        <w:t>gatte, welcher ein überwiegendes Interesse nachweist, die Zuteilung dieses Gegenstandes verlangen kann.</w:t>
      </w:r>
    </w:p>
    <w:p w:rsidR="006B393B" w:rsidRPr="005F15DA" w:rsidRDefault="006B393B" w:rsidP="006B393B"/>
    <w:p w:rsidR="006B393B" w:rsidRPr="005F15DA" w:rsidRDefault="005D70F9" w:rsidP="006B393B">
      <w:r w:rsidRPr="005F15DA">
        <w:t>Die Gütertrennung als ausserordentlicher Güterstand ist für Situationen vorgesehen, bei we</w:t>
      </w:r>
      <w:r w:rsidRPr="005F15DA">
        <w:t>l</w:t>
      </w:r>
      <w:r w:rsidRPr="005F15DA">
        <w:t>chen einem Ehegatten wirtschaftliche Verluste drohen oder bereits eingetreten sind. In diesen Fällen wird die Gütertrennung vom Richter auf Begehren eines Ehegatten angeordnet. Von Gesetzes wegen tritt die Gütertrennung ein, wenn eine Ehe gerichtlich getrennt wird, oder, wenn über einen Ehegatten, der in Gütergemeinschaft lebt, der Konkurs eröffnet wird.</w:t>
      </w:r>
    </w:p>
    <w:p w:rsidR="006B393B" w:rsidRPr="005F15DA" w:rsidRDefault="006B393B" w:rsidP="006B393B"/>
    <w:p w:rsidR="005D70F9" w:rsidRPr="005F15DA" w:rsidRDefault="005D70F9" w:rsidP="006B393B">
      <w:r w:rsidRPr="005F15DA">
        <w:t>Selbstverständlich können Eheleute auch aus anderen Gründen den Güterstand der Güte</w:t>
      </w:r>
      <w:r w:rsidRPr="005F15DA">
        <w:t>r</w:t>
      </w:r>
      <w:r w:rsidRPr="005F15DA">
        <w:t>trennung durch Abschluss eines Ehevertrages wählen.</w:t>
      </w:r>
    </w:p>
    <w:p w:rsidR="00B11D0F" w:rsidRDefault="00B11D0F" w:rsidP="006B393B"/>
    <w:p w:rsidR="00B438E5" w:rsidRPr="005F15DA" w:rsidRDefault="00B438E5" w:rsidP="006B393B"/>
    <w:p w:rsidR="006B393B" w:rsidRPr="005F15DA" w:rsidRDefault="006B393B" w:rsidP="006B393B"/>
    <w:p w:rsidR="005D70F9" w:rsidRPr="005F15DA" w:rsidRDefault="005D70F9" w:rsidP="005759BE">
      <w:pPr>
        <w:pStyle w:val="berschrift3"/>
        <w:rPr>
          <w:lang w:val="de-CH"/>
        </w:rPr>
      </w:pPr>
      <w:bookmarkStart w:id="38" w:name="_Toc432175566"/>
      <w:r w:rsidRPr="005F15DA">
        <w:rPr>
          <w:lang w:val="de-CH"/>
        </w:rPr>
        <w:t>E.</w:t>
      </w:r>
      <w:r w:rsidRPr="005F15DA">
        <w:rPr>
          <w:lang w:val="de-CH"/>
        </w:rPr>
        <w:tab/>
        <w:t>Zusammenfassung der drei Güterstände:</w:t>
      </w:r>
      <w:bookmarkEnd w:id="38"/>
    </w:p>
    <w:p w:rsidR="005D70F9" w:rsidRPr="005F15DA" w:rsidRDefault="005D70F9" w:rsidP="005D70F9">
      <w:pPr>
        <w:tabs>
          <w:tab w:val="left" w:pos="851"/>
          <w:tab w:val="left" w:pos="5103"/>
        </w:tabs>
        <w:spacing w:before="120"/>
        <w:ind w:left="425"/>
        <w:jc w:val="both"/>
        <w:rPr>
          <w:szCs w:val="22"/>
        </w:rPr>
      </w:pPr>
      <w:r w:rsidRPr="005F15DA">
        <w:rPr>
          <w:szCs w:val="22"/>
        </w:rPr>
        <w:t>1.</w:t>
      </w:r>
      <w:r w:rsidRPr="005F15DA">
        <w:rPr>
          <w:szCs w:val="22"/>
        </w:rPr>
        <w:tab/>
      </w:r>
      <w:r w:rsidRPr="005F15DA">
        <w:rPr>
          <w:szCs w:val="22"/>
          <w:u w:val="single"/>
        </w:rPr>
        <w:t>Errungenschaftsbeteiligung</w:t>
      </w:r>
    </w:p>
    <w:p w:rsidR="005D70F9" w:rsidRPr="005F15DA" w:rsidRDefault="005D70F9" w:rsidP="005D70F9">
      <w:pPr>
        <w:pBdr>
          <w:top w:val="single" w:sz="4" w:space="1" w:color="auto"/>
          <w:left w:val="single" w:sz="4" w:space="4" w:color="auto"/>
          <w:bottom w:val="single" w:sz="4" w:space="1" w:color="auto"/>
          <w:right w:val="single" w:sz="4" w:space="4" w:color="auto"/>
        </w:pBdr>
        <w:tabs>
          <w:tab w:val="left" w:pos="851"/>
          <w:tab w:val="bar" w:pos="4820"/>
          <w:tab w:val="left" w:pos="5103"/>
        </w:tabs>
        <w:spacing w:before="120"/>
        <w:ind w:left="851"/>
        <w:jc w:val="both"/>
        <w:rPr>
          <w:szCs w:val="22"/>
        </w:rPr>
      </w:pPr>
      <w:r w:rsidRPr="005F15DA">
        <w:rPr>
          <w:szCs w:val="22"/>
        </w:rPr>
        <w:t>Eigengut Ehemann</w:t>
      </w:r>
      <w:r w:rsidRPr="005F15DA">
        <w:rPr>
          <w:szCs w:val="22"/>
        </w:rPr>
        <w:tab/>
        <w:t>Eigengut Ehefrau</w:t>
      </w:r>
    </w:p>
    <w:p w:rsidR="005D70F9" w:rsidRPr="005F15DA" w:rsidRDefault="005D70F9" w:rsidP="005D70F9">
      <w:pPr>
        <w:tabs>
          <w:tab w:val="left" w:pos="851"/>
          <w:tab w:val="left" w:pos="5103"/>
          <w:tab w:val="left" w:pos="7371"/>
        </w:tabs>
        <w:spacing w:line="120" w:lineRule="auto"/>
        <w:ind w:left="425"/>
        <w:jc w:val="both"/>
        <w:rPr>
          <w:szCs w:val="22"/>
        </w:rPr>
      </w:pPr>
    </w:p>
    <w:p w:rsidR="005D70F9" w:rsidRPr="005F15DA" w:rsidRDefault="005D70F9" w:rsidP="005D70F9">
      <w:pPr>
        <w:pBdr>
          <w:top w:val="single" w:sz="4" w:space="1" w:color="auto"/>
          <w:left w:val="single" w:sz="4" w:space="4" w:color="auto"/>
          <w:bottom w:val="single" w:sz="4" w:space="1" w:color="auto"/>
          <w:right w:val="single" w:sz="4" w:space="4" w:color="auto"/>
        </w:pBdr>
        <w:tabs>
          <w:tab w:val="left" w:pos="851"/>
          <w:tab w:val="bar" w:pos="4820"/>
          <w:tab w:val="left" w:pos="5103"/>
        </w:tabs>
        <w:spacing w:before="120"/>
        <w:ind w:left="851"/>
        <w:jc w:val="both"/>
        <w:rPr>
          <w:szCs w:val="22"/>
        </w:rPr>
      </w:pPr>
      <w:r w:rsidRPr="005F15DA">
        <w:rPr>
          <w:szCs w:val="22"/>
        </w:rPr>
        <w:t>Errungenschaft Ehemann</w:t>
      </w:r>
      <w:r w:rsidRPr="005F15DA">
        <w:rPr>
          <w:szCs w:val="22"/>
        </w:rPr>
        <w:tab/>
        <w:t>Errungenschaft Ehefrau</w:t>
      </w:r>
    </w:p>
    <w:p w:rsidR="005D70F9" w:rsidRPr="005F15DA" w:rsidRDefault="005D70F9" w:rsidP="005D70F9">
      <w:pPr>
        <w:tabs>
          <w:tab w:val="left" w:pos="851"/>
          <w:tab w:val="left" w:pos="5103"/>
          <w:tab w:val="left" w:pos="7371"/>
        </w:tabs>
        <w:spacing w:before="120"/>
        <w:ind w:left="425"/>
        <w:jc w:val="both"/>
        <w:rPr>
          <w:szCs w:val="22"/>
        </w:rPr>
      </w:pPr>
    </w:p>
    <w:p w:rsidR="005D70F9" w:rsidRPr="005F15DA" w:rsidRDefault="005D70F9" w:rsidP="005D70F9">
      <w:pPr>
        <w:tabs>
          <w:tab w:val="left" w:pos="851"/>
          <w:tab w:val="left" w:pos="5103"/>
          <w:tab w:val="left" w:pos="7371"/>
        </w:tabs>
        <w:spacing w:before="120"/>
        <w:ind w:left="425"/>
        <w:jc w:val="both"/>
        <w:rPr>
          <w:szCs w:val="22"/>
        </w:rPr>
      </w:pPr>
      <w:r w:rsidRPr="005F15DA">
        <w:rPr>
          <w:szCs w:val="22"/>
        </w:rPr>
        <w:t>2.</w:t>
      </w:r>
      <w:r w:rsidRPr="005F15DA">
        <w:rPr>
          <w:szCs w:val="22"/>
        </w:rPr>
        <w:tab/>
      </w:r>
      <w:r w:rsidRPr="005F15DA">
        <w:rPr>
          <w:szCs w:val="22"/>
          <w:u w:val="single"/>
        </w:rPr>
        <w:t>Gütergemeinschaft</w:t>
      </w:r>
    </w:p>
    <w:p w:rsidR="005D70F9" w:rsidRPr="005F15DA" w:rsidRDefault="005D70F9" w:rsidP="005D70F9">
      <w:pPr>
        <w:pBdr>
          <w:top w:val="single" w:sz="4" w:space="1" w:color="auto"/>
          <w:left w:val="single" w:sz="4" w:space="4" w:color="auto"/>
          <w:bottom w:val="single" w:sz="4" w:space="1" w:color="auto"/>
          <w:right w:val="single" w:sz="4" w:space="4" w:color="auto"/>
        </w:pBdr>
        <w:tabs>
          <w:tab w:val="left" w:pos="851"/>
          <w:tab w:val="bar" w:pos="4820"/>
          <w:tab w:val="left" w:pos="5103"/>
        </w:tabs>
        <w:spacing w:before="120"/>
        <w:ind w:left="851"/>
        <w:jc w:val="both"/>
        <w:rPr>
          <w:szCs w:val="22"/>
        </w:rPr>
      </w:pPr>
      <w:r w:rsidRPr="005F15DA">
        <w:rPr>
          <w:szCs w:val="22"/>
        </w:rPr>
        <w:t>Eigengut Ehemann</w:t>
      </w:r>
      <w:r w:rsidRPr="005F15DA">
        <w:rPr>
          <w:szCs w:val="22"/>
        </w:rPr>
        <w:tab/>
        <w:t>Eigengut Ehefrau</w:t>
      </w:r>
    </w:p>
    <w:p w:rsidR="005D70F9" w:rsidRPr="005F15DA" w:rsidRDefault="005D70F9" w:rsidP="005D70F9">
      <w:pPr>
        <w:tabs>
          <w:tab w:val="left" w:pos="851"/>
          <w:tab w:val="left" w:pos="5103"/>
          <w:tab w:val="left" w:pos="7371"/>
        </w:tabs>
        <w:spacing w:line="120" w:lineRule="auto"/>
        <w:ind w:left="425"/>
        <w:jc w:val="both"/>
        <w:rPr>
          <w:szCs w:val="22"/>
        </w:rPr>
      </w:pPr>
    </w:p>
    <w:p w:rsidR="005D70F9" w:rsidRPr="005F15DA" w:rsidRDefault="005D70F9" w:rsidP="005D70F9">
      <w:pPr>
        <w:pBdr>
          <w:top w:val="single" w:sz="4" w:space="1" w:color="auto"/>
          <w:left w:val="single" w:sz="4" w:space="4" w:color="auto"/>
          <w:bottom w:val="single" w:sz="4" w:space="1" w:color="auto"/>
          <w:right w:val="single" w:sz="4" w:space="4" w:color="auto"/>
        </w:pBdr>
        <w:tabs>
          <w:tab w:val="left" w:pos="851"/>
        </w:tabs>
        <w:spacing w:before="120"/>
        <w:ind w:left="851"/>
        <w:jc w:val="center"/>
        <w:rPr>
          <w:szCs w:val="22"/>
        </w:rPr>
      </w:pPr>
      <w:r w:rsidRPr="005F15DA">
        <w:rPr>
          <w:szCs w:val="22"/>
        </w:rPr>
        <w:t>Gesamtgut</w:t>
      </w:r>
    </w:p>
    <w:p w:rsidR="005D70F9" w:rsidRPr="005F15DA" w:rsidRDefault="005D70F9" w:rsidP="005D70F9">
      <w:pPr>
        <w:tabs>
          <w:tab w:val="left" w:pos="851"/>
          <w:tab w:val="left" w:pos="5103"/>
          <w:tab w:val="left" w:pos="7371"/>
        </w:tabs>
        <w:spacing w:before="120"/>
        <w:ind w:left="425"/>
        <w:jc w:val="both"/>
        <w:rPr>
          <w:szCs w:val="22"/>
        </w:rPr>
      </w:pPr>
    </w:p>
    <w:p w:rsidR="005D70F9" w:rsidRPr="005F15DA" w:rsidRDefault="005D70F9" w:rsidP="005D70F9">
      <w:pPr>
        <w:tabs>
          <w:tab w:val="left" w:pos="851"/>
          <w:tab w:val="left" w:pos="5103"/>
          <w:tab w:val="left" w:pos="7371"/>
        </w:tabs>
        <w:spacing w:before="120"/>
        <w:ind w:left="425"/>
        <w:jc w:val="both"/>
        <w:rPr>
          <w:szCs w:val="22"/>
        </w:rPr>
      </w:pPr>
      <w:r w:rsidRPr="005F15DA">
        <w:rPr>
          <w:szCs w:val="22"/>
        </w:rPr>
        <w:t>3.</w:t>
      </w:r>
      <w:r w:rsidRPr="005F15DA">
        <w:rPr>
          <w:szCs w:val="22"/>
        </w:rPr>
        <w:tab/>
      </w:r>
      <w:r w:rsidRPr="005F15DA">
        <w:rPr>
          <w:szCs w:val="22"/>
          <w:u w:val="single"/>
        </w:rPr>
        <w:t>Gütertrennung</w:t>
      </w:r>
    </w:p>
    <w:p w:rsidR="005D70F9" w:rsidRPr="005F15DA" w:rsidRDefault="005D70F9" w:rsidP="005D70F9">
      <w:pPr>
        <w:pBdr>
          <w:top w:val="single" w:sz="4" w:space="1" w:color="auto"/>
          <w:left w:val="single" w:sz="4" w:space="4" w:color="auto"/>
          <w:bottom w:val="single" w:sz="4" w:space="1" w:color="auto"/>
          <w:right w:val="single" w:sz="4" w:space="4" w:color="auto"/>
        </w:pBdr>
        <w:tabs>
          <w:tab w:val="left" w:pos="851"/>
          <w:tab w:val="bar" w:pos="4820"/>
          <w:tab w:val="left" w:pos="5103"/>
        </w:tabs>
        <w:spacing w:before="120"/>
        <w:ind w:left="851"/>
        <w:jc w:val="both"/>
        <w:rPr>
          <w:szCs w:val="22"/>
        </w:rPr>
      </w:pPr>
      <w:r w:rsidRPr="005F15DA">
        <w:rPr>
          <w:szCs w:val="22"/>
        </w:rPr>
        <w:t>Vermögen Ehemann</w:t>
      </w:r>
      <w:r w:rsidRPr="005F15DA">
        <w:rPr>
          <w:szCs w:val="22"/>
        </w:rPr>
        <w:tab/>
        <w:t>Vermögen Ehefrau</w:t>
      </w:r>
    </w:p>
    <w:p w:rsidR="00BA3675" w:rsidRPr="005F15DA" w:rsidRDefault="00BA3675" w:rsidP="00BA3675"/>
    <w:p w:rsidR="00BA3675" w:rsidRPr="005F15DA" w:rsidRDefault="00BA3675" w:rsidP="00BA3675"/>
    <w:p w:rsidR="00BA3675" w:rsidRPr="005F15DA" w:rsidRDefault="00BA3675" w:rsidP="00BA3675"/>
    <w:p w:rsidR="005D70F9" w:rsidRPr="005F15DA" w:rsidRDefault="005D70F9" w:rsidP="005759BE">
      <w:pPr>
        <w:pStyle w:val="berschrift3"/>
        <w:rPr>
          <w:lang w:val="de-CH"/>
        </w:rPr>
      </w:pPr>
      <w:bookmarkStart w:id="39" w:name="_Toc432175567"/>
      <w:r w:rsidRPr="005F15DA">
        <w:rPr>
          <w:spacing w:val="-17"/>
          <w:lang w:val="de-CH"/>
        </w:rPr>
        <w:t>F.</w:t>
      </w:r>
      <w:r w:rsidRPr="005F15DA">
        <w:rPr>
          <w:lang w:val="de-CH"/>
        </w:rPr>
        <w:tab/>
        <w:t>Wirkungen des Güterstandes auf grundbuchliche Verfügungen</w:t>
      </w:r>
      <w:bookmarkEnd w:id="39"/>
    </w:p>
    <w:p w:rsidR="00BA3675" w:rsidRPr="005F15DA" w:rsidRDefault="00BA3675" w:rsidP="00BA3675"/>
    <w:p w:rsidR="005D70F9" w:rsidRPr="005F15DA" w:rsidRDefault="005D70F9" w:rsidP="00BA3675">
      <w:pPr>
        <w:pStyle w:val="berschrift4"/>
      </w:pPr>
      <w:r w:rsidRPr="005F15DA">
        <w:t>1.</w:t>
      </w:r>
      <w:r w:rsidRPr="005F15DA">
        <w:tab/>
        <w:t xml:space="preserve">Errungenschaftsbeteiligung: </w:t>
      </w:r>
    </w:p>
    <w:p w:rsidR="005D70F9" w:rsidRPr="005F15DA" w:rsidRDefault="005D70F9" w:rsidP="00BA3675">
      <w:pPr>
        <w:ind w:left="426"/>
      </w:pPr>
      <w:r w:rsidRPr="005F15DA">
        <w:t>Jeder Ehegatte kann über Grundstücke selbständig verfügen, wenn er im Grundbuch als Eigentümer eingetragen ist. Bei der Verfügung über die Familienwohnung (Art. 169 ZGB) ist die Zustimmung des anderen Ehegatten notwendig.</w:t>
      </w:r>
    </w:p>
    <w:p w:rsidR="00BA3675" w:rsidRPr="005F15DA" w:rsidRDefault="00BA3675" w:rsidP="00BA3675">
      <w:pPr>
        <w:ind w:left="426"/>
      </w:pPr>
    </w:p>
    <w:p w:rsidR="00BA3675" w:rsidRPr="005F15DA" w:rsidRDefault="00BA3675" w:rsidP="00BA3675">
      <w:pPr>
        <w:ind w:left="426"/>
      </w:pPr>
    </w:p>
    <w:p w:rsidR="005D70F9" w:rsidRPr="005F15DA" w:rsidRDefault="005D70F9" w:rsidP="00BA3675">
      <w:pPr>
        <w:pStyle w:val="berschrift4"/>
      </w:pPr>
      <w:r w:rsidRPr="005F15DA">
        <w:t>2.</w:t>
      </w:r>
      <w:r w:rsidRPr="005F15DA">
        <w:tab/>
        <w:t>Gütergemeinschaft:</w:t>
      </w:r>
    </w:p>
    <w:p w:rsidR="005D70F9" w:rsidRPr="005F15DA" w:rsidRDefault="005D70F9" w:rsidP="00BA3675">
      <w:pPr>
        <w:ind w:left="426"/>
      </w:pPr>
      <w:r w:rsidRPr="005F15DA">
        <w:t>Für grundbuchliche Verfügungen über das Gesamtgut sind die Unterschriften beider Ehegatten notwendig.</w:t>
      </w:r>
    </w:p>
    <w:p w:rsidR="00BA3675" w:rsidRPr="005F15DA" w:rsidRDefault="00BA3675" w:rsidP="00BA3675">
      <w:pPr>
        <w:ind w:left="426"/>
      </w:pPr>
    </w:p>
    <w:p w:rsidR="005D70F9" w:rsidRPr="005F15DA" w:rsidRDefault="005D70F9" w:rsidP="00BA3675">
      <w:pPr>
        <w:pStyle w:val="berschrift4"/>
      </w:pPr>
      <w:r w:rsidRPr="005F15DA">
        <w:lastRenderedPageBreak/>
        <w:t>3.</w:t>
      </w:r>
      <w:r w:rsidRPr="005F15DA">
        <w:tab/>
        <w:t>Gütertrennung:</w:t>
      </w:r>
    </w:p>
    <w:p w:rsidR="005D70F9" w:rsidRPr="005F15DA" w:rsidRDefault="005D70F9" w:rsidP="00BA3675">
      <w:pPr>
        <w:ind w:left="426"/>
      </w:pPr>
      <w:r w:rsidRPr="005F15DA">
        <w:t>Jeder Ehegatte kann über Grundstücke selbständig verfügen, wenn er im Grundbuch als Eigentümer eingetragen ist. Bei der Verfügung über die Familienwohnung (Art. 169 ZGB) ist die Zustimmung des anderen Ehegatten notwendig.</w:t>
      </w:r>
    </w:p>
    <w:p w:rsidR="00B11D0F" w:rsidRPr="005F15DA" w:rsidRDefault="00B11D0F" w:rsidP="00F93E94"/>
    <w:p w:rsidR="00B11D0F" w:rsidRPr="005F15DA" w:rsidRDefault="00B11D0F" w:rsidP="00F93E94"/>
    <w:p w:rsidR="006B393B" w:rsidRPr="005F15DA" w:rsidRDefault="006B393B" w:rsidP="00F93E94"/>
    <w:p w:rsidR="00B11D0F" w:rsidRPr="005F15DA" w:rsidRDefault="00B11D0F" w:rsidP="00F93E94"/>
    <w:p w:rsidR="00AE6D4D" w:rsidRDefault="00AE6D4D">
      <w:pPr>
        <w:spacing w:after="200"/>
        <w:rPr>
          <w:rFonts w:eastAsiaTheme="majorEastAsia" w:cstheme="majorBidi"/>
          <w:b/>
          <w:bCs/>
          <w:color w:val="000000" w:themeColor="text1"/>
          <w:sz w:val="32"/>
          <w:szCs w:val="26"/>
        </w:rPr>
      </w:pPr>
      <w:r>
        <w:br w:type="page"/>
      </w:r>
    </w:p>
    <w:p w:rsidR="005D70F9" w:rsidRPr="005F15DA" w:rsidRDefault="005D70F9" w:rsidP="00E36E8F">
      <w:pPr>
        <w:pStyle w:val="berschrift2"/>
      </w:pPr>
      <w:bookmarkStart w:id="40" w:name="_Toc432175568"/>
      <w:r w:rsidRPr="005F15DA">
        <w:lastRenderedPageBreak/>
        <w:t>III. Kindesrecht (Art. 252 – 359 ZGB)</w:t>
      </w:r>
      <w:bookmarkEnd w:id="40"/>
    </w:p>
    <w:p w:rsidR="00B11D0F" w:rsidRPr="005F15DA" w:rsidRDefault="00B11D0F" w:rsidP="00B438E5">
      <w:r w:rsidRPr="005F15DA">
        <w:t>____________________________________</w:t>
      </w:r>
      <w:r w:rsidR="00B438E5">
        <w:t>_________</w:t>
      </w:r>
    </w:p>
    <w:p w:rsidR="00F93E94" w:rsidRPr="005F15DA" w:rsidRDefault="00F93E94" w:rsidP="00F93E94"/>
    <w:p w:rsidR="00F93E94" w:rsidRPr="005F15DA" w:rsidRDefault="00F93E94" w:rsidP="00F93E94"/>
    <w:p w:rsidR="005D70F9" w:rsidRPr="005F15DA" w:rsidRDefault="005D70F9" w:rsidP="00F93E94">
      <w:pPr>
        <w:tabs>
          <w:tab w:val="left" w:pos="426"/>
          <w:tab w:val="left" w:pos="851"/>
        </w:tabs>
      </w:pPr>
      <w:r w:rsidRPr="005F15DA">
        <w:t>-</w:t>
      </w:r>
      <w:r w:rsidRPr="005F15DA">
        <w:tab/>
        <w:t>Wie können Kindesverhältnisse entstehen?</w:t>
      </w:r>
    </w:p>
    <w:p w:rsidR="005D70F9" w:rsidRPr="005F15DA" w:rsidRDefault="00F93E94" w:rsidP="00F93E94">
      <w:pPr>
        <w:tabs>
          <w:tab w:val="left" w:pos="426"/>
          <w:tab w:val="left" w:pos="851"/>
        </w:tabs>
      </w:pPr>
      <w:r w:rsidRPr="005F15DA">
        <w:tab/>
      </w:r>
      <w:r w:rsidR="005D70F9" w:rsidRPr="005F15DA">
        <w:t>-</w:t>
      </w:r>
      <w:r w:rsidR="005D70F9" w:rsidRPr="005F15DA">
        <w:tab/>
        <w:t>Geburt</w:t>
      </w:r>
    </w:p>
    <w:p w:rsidR="005D70F9" w:rsidRPr="005F15DA" w:rsidRDefault="00F93E94" w:rsidP="00F93E94">
      <w:pPr>
        <w:tabs>
          <w:tab w:val="left" w:pos="426"/>
          <w:tab w:val="left" w:pos="851"/>
        </w:tabs>
      </w:pPr>
      <w:r w:rsidRPr="005F15DA">
        <w:tab/>
      </w:r>
      <w:r w:rsidR="005D70F9" w:rsidRPr="005F15DA">
        <w:t>-</w:t>
      </w:r>
      <w:r w:rsidR="005D70F9" w:rsidRPr="005F15DA">
        <w:tab/>
        <w:t>Ehe mit der Mutter</w:t>
      </w:r>
    </w:p>
    <w:p w:rsidR="005D70F9" w:rsidRPr="005F15DA" w:rsidRDefault="00F93E94" w:rsidP="00F93E94">
      <w:pPr>
        <w:tabs>
          <w:tab w:val="left" w:pos="426"/>
          <w:tab w:val="left" w:pos="851"/>
        </w:tabs>
      </w:pPr>
      <w:r w:rsidRPr="005F15DA">
        <w:tab/>
      </w:r>
      <w:r w:rsidR="005D70F9" w:rsidRPr="005F15DA">
        <w:t>-</w:t>
      </w:r>
      <w:r w:rsidR="005D70F9" w:rsidRPr="005F15DA">
        <w:tab/>
        <w:t>freiwillige Anerkennung</w:t>
      </w:r>
    </w:p>
    <w:p w:rsidR="005D70F9" w:rsidRPr="005F15DA" w:rsidRDefault="00F93E94" w:rsidP="00F93E94">
      <w:pPr>
        <w:tabs>
          <w:tab w:val="left" w:pos="426"/>
          <w:tab w:val="left" w:pos="851"/>
        </w:tabs>
      </w:pPr>
      <w:r w:rsidRPr="005F15DA">
        <w:tab/>
      </w:r>
      <w:r w:rsidR="005D70F9" w:rsidRPr="005F15DA">
        <w:t>-</w:t>
      </w:r>
      <w:r w:rsidR="005D70F9" w:rsidRPr="005F15DA">
        <w:tab/>
        <w:t>Vaterschaftsurteil</w:t>
      </w:r>
    </w:p>
    <w:p w:rsidR="005D70F9" w:rsidRPr="005F15DA" w:rsidRDefault="00F93E94" w:rsidP="00F93E94">
      <w:pPr>
        <w:tabs>
          <w:tab w:val="left" w:pos="426"/>
          <w:tab w:val="left" w:pos="851"/>
        </w:tabs>
      </w:pPr>
      <w:r w:rsidRPr="005F15DA">
        <w:tab/>
      </w:r>
      <w:r w:rsidR="005D70F9" w:rsidRPr="005F15DA">
        <w:t>-</w:t>
      </w:r>
      <w:r w:rsidR="005D70F9" w:rsidRPr="005F15DA">
        <w:tab/>
        <w:t>Adoption</w:t>
      </w:r>
    </w:p>
    <w:p w:rsidR="005D70F9" w:rsidRPr="005F15DA" w:rsidRDefault="005D70F9" w:rsidP="00F93E94">
      <w:pPr>
        <w:tabs>
          <w:tab w:val="left" w:pos="426"/>
          <w:tab w:val="left" w:pos="851"/>
        </w:tabs>
      </w:pPr>
      <w:r w:rsidRPr="005F15DA">
        <w:t>-</w:t>
      </w:r>
      <w:r w:rsidRPr="005F15DA">
        <w:tab/>
      </w:r>
      <w:r w:rsidRPr="005F15DA">
        <w:rPr>
          <w:spacing w:val="-4"/>
        </w:rPr>
        <w:t>Welche Wirkungen bringt ein Kindesverhältnis mit sich?</w:t>
      </w:r>
    </w:p>
    <w:p w:rsidR="005D70F9" w:rsidRPr="005F15DA" w:rsidRDefault="005D70F9" w:rsidP="00F93E94">
      <w:pPr>
        <w:tabs>
          <w:tab w:val="left" w:pos="426"/>
          <w:tab w:val="left" w:pos="851"/>
        </w:tabs>
        <w:rPr>
          <w:spacing w:val="-2"/>
        </w:rPr>
      </w:pPr>
      <w:r w:rsidRPr="005F15DA">
        <w:rPr>
          <w:spacing w:val="-2"/>
        </w:rPr>
        <w:t>-</w:t>
      </w:r>
      <w:r w:rsidRPr="005F15DA">
        <w:rPr>
          <w:spacing w:val="-2"/>
        </w:rPr>
        <w:tab/>
        <w:t>Welche gesetzliche Vertretungen kennt das Familienrecht?</w:t>
      </w:r>
    </w:p>
    <w:p w:rsidR="005D70F9" w:rsidRPr="005F15DA" w:rsidRDefault="005D70F9" w:rsidP="00F93E94">
      <w:pPr>
        <w:tabs>
          <w:tab w:val="left" w:pos="426"/>
          <w:tab w:val="left" w:pos="851"/>
        </w:tabs>
      </w:pPr>
      <w:r w:rsidRPr="005F15DA">
        <w:t>-</w:t>
      </w:r>
      <w:r w:rsidRPr="005F15DA">
        <w:tab/>
        <w:t>Eltern als Inhaber der elterlichen Gewalt</w:t>
      </w:r>
    </w:p>
    <w:p w:rsidR="00F93E94" w:rsidRPr="005F15DA" w:rsidRDefault="00F93E94" w:rsidP="00F93E94"/>
    <w:p w:rsidR="00F93E94" w:rsidRPr="005F15DA" w:rsidRDefault="00F93E94" w:rsidP="00F93E94"/>
    <w:p w:rsidR="005D70F9" w:rsidRPr="005F15DA" w:rsidRDefault="005D70F9" w:rsidP="00F93E94">
      <w:r w:rsidRPr="005F15DA">
        <w:t>Im Kindesrecht wird geregelt, wie ein Kindesverhältnis entstehen kann und welche rechtlichen Wirkungen sich daraus ergeben.</w:t>
      </w:r>
    </w:p>
    <w:p w:rsidR="00F93E94" w:rsidRPr="005F15DA" w:rsidRDefault="00F93E94" w:rsidP="00F93E94"/>
    <w:p w:rsidR="005D70F9" w:rsidRPr="005F15DA" w:rsidRDefault="005D70F9" w:rsidP="00F93E94">
      <w:r w:rsidRPr="005F15DA">
        <w:t>Mit dem Begriff «Kindesverhältnis» wird ausgedrückt, dass zwischen zwei Menschen eine Eltern-Kind-Beziehung besteht. Diese Beziehung kann auf natürliche oder auf gewillkürte Weise entstehen. Das Kind wird dadurch rechtlich einer Mutter, einem Vater oder beiden z</w:t>
      </w:r>
      <w:r w:rsidRPr="005F15DA">
        <w:t>u</w:t>
      </w:r>
      <w:r w:rsidRPr="005F15DA">
        <w:t>geordnet.</w:t>
      </w:r>
    </w:p>
    <w:p w:rsidR="00F93E94" w:rsidRPr="005F15DA" w:rsidRDefault="00F93E94" w:rsidP="00F93E94"/>
    <w:p w:rsidR="00F93E94" w:rsidRPr="005F15DA" w:rsidRDefault="00F93E94" w:rsidP="00F93E94"/>
    <w:p w:rsidR="00F93E94" w:rsidRPr="005F15DA" w:rsidRDefault="00F93E94" w:rsidP="00F93E94"/>
    <w:p w:rsidR="005D70F9" w:rsidRPr="005F15DA" w:rsidRDefault="00F93E94" w:rsidP="005759BE">
      <w:pPr>
        <w:pStyle w:val="berschrift3"/>
        <w:rPr>
          <w:lang w:val="de-CH"/>
        </w:rPr>
      </w:pPr>
      <w:bookmarkStart w:id="41" w:name="_Toc432175569"/>
      <w:r w:rsidRPr="005F15DA">
        <w:rPr>
          <w:spacing w:val="-22"/>
          <w:lang w:val="de-CH"/>
        </w:rPr>
        <w:t>A</w:t>
      </w:r>
      <w:r w:rsidR="005D70F9" w:rsidRPr="005F15DA">
        <w:rPr>
          <w:spacing w:val="-22"/>
          <w:lang w:val="de-CH"/>
        </w:rPr>
        <w:t>.</w:t>
      </w:r>
      <w:r w:rsidR="005D70F9" w:rsidRPr="005F15DA">
        <w:rPr>
          <w:lang w:val="de-CH"/>
        </w:rPr>
        <w:tab/>
        <w:t>Entstehung</w:t>
      </w:r>
      <w:bookmarkEnd w:id="41"/>
    </w:p>
    <w:p w:rsidR="00F93E94" w:rsidRPr="005F15DA" w:rsidRDefault="00F93E94" w:rsidP="00F93E94"/>
    <w:p w:rsidR="005D70F9" w:rsidRPr="005F15DA" w:rsidRDefault="005D70F9" w:rsidP="00F93E94">
      <w:pPr>
        <w:pStyle w:val="berschrift4"/>
        <w:tabs>
          <w:tab w:val="left" w:pos="851"/>
        </w:tabs>
      </w:pPr>
      <w:r w:rsidRPr="005F15DA">
        <w:rPr>
          <w:spacing w:val="-16"/>
        </w:rPr>
        <w:t>1.</w:t>
      </w:r>
      <w:r w:rsidR="00F93E94" w:rsidRPr="005F15DA">
        <w:rPr>
          <w:spacing w:val="-16"/>
        </w:rPr>
        <w:tab/>
      </w:r>
      <w:r w:rsidRPr="005F15DA">
        <w:t>Natürliche Entstehung</w:t>
      </w:r>
    </w:p>
    <w:p w:rsidR="005D70F9" w:rsidRPr="005F15DA" w:rsidRDefault="005D70F9" w:rsidP="0046410C">
      <w:pPr>
        <w:tabs>
          <w:tab w:val="left" w:pos="709"/>
        </w:tabs>
        <w:ind w:left="426"/>
      </w:pPr>
      <w:r w:rsidRPr="005F15DA">
        <w:t>Das Kindesverhältnis entsteht durch einen biologischen Vorgang. Im Verhältnis zur Mu</w:t>
      </w:r>
      <w:r w:rsidRPr="005F15DA">
        <w:t>t</w:t>
      </w:r>
      <w:r w:rsidRPr="005F15DA">
        <w:t>ter besteht das Kindesverhältnis - mit Ausnahme der Adoption - immer zur biologischen Mutter. Es gilt daher der Grundsatz: Die Mutter ist immer sicher. Deshalb und weil man die Mutter eines Kindes fast immer kennt, nennt das Gesetz als Entstehungsgrund des Mutter-Kind-Verhältnisses nur die Geburt. Dies unabhängig davon, ob das Kind ehelich oder ausserehelich geboren wird.</w:t>
      </w:r>
    </w:p>
    <w:p w:rsidR="0046410C" w:rsidRPr="005F15DA" w:rsidRDefault="0046410C" w:rsidP="0046410C">
      <w:pPr>
        <w:tabs>
          <w:tab w:val="left" w:pos="709"/>
        </w:tabs>
        <w:ind w:left="426"/>
      </w:pPr>
    </w:p>
    <w:p w:rsidR="005D70F9" w:rsidRPr="005F15DA" w:rsidRDefault="005D70F9" w:rsidP="0046410C">
      <w:pPr>
        <w:tabs>
          <w:tab w:val="left" w:pos="709"/>
        </w:tabs>
        <w:ind w:left="426"/>
      </w:pPr>
      <w:r w:rsidRPr="005F15DA">
        <w:t>Im Verhältnis zum Vater kann der äusserlich feststellbare Vorgang der Geburt nicht g</w:t>
      </w:r>
      <w:r w:rsidRPr="005F15DA">
        <w:t>e</w:t>
      </w:r>
      <w:r w:rsidRPr="005F15DA">
        <w:t>nügen, um das Kindesverhältnis klar zu erkennen. Es bedarf weiterer Anhaltspunkte. Das Gesetz nennt drei Entstehungsgründe für die Vater-Kind-Beziehung.</w:t>
      </w:r>
    </w:p>
    <w:p w:rsidR="005D70F9" w:rsidRPr="005F15DA" w:rsidRDefault="0046410C" w:rsidP="0046410C">
      <w:pPr>
        <w:tabs>
          <w:tab w:val="left" w:pos="709"/>
        </w:tabs>
        <w:ind w:left="426"/>
      </w:pPr>
      <w:r w:rsidRPr="005F15DA">
        <w:t>-</w:t>
      </w:r>
      <w:r w:rsidRPr="005F15DA">
        <w:tab/>
      </w:r>
      <w:r w:rsidR="005D70F9" w:rsidRPr="005F15DA">
        <w:t>Die Ehe mit der Mutter bei einem ehelichen Kind</w:t>
      </w:r>
    </w:p>
    <w:p w:rsidR="005D70F9" w:rsidRPr="005F15DA" w:rsidRDefault="0046410C" w:rsidP="0046410C">
      <w:pPr>
        <w:tabs>
          <w:tab w:val="left" w:pos="709"/>
        </w:tabs>
        <w:ind w:left="426"/>
      </w:pPr>
      <w:r w:rsidRPr="005F15DA">
        <w:t>-</w:t>
      </w:r>
      <w:r w:rsidRPr="005F15DA">
        <w:tab/>
      </w:r>
      <w:r w:rsidR="005D70F9" w:rsidRPr="005F15DA">
        <w:t>Die freiwillige Anerkennung</w:t>
      </w:r>
    </w:p>
    <w:p w:rsidR="005D70F9" w:rsidRPr="005F15DA" w:rsidRDefault="0046410C" w:rsidP="0046410C">
      <w:pPr>
        <w:tabs>
          <w:tab w:val="left" w:pos="709"/>
        </w:tabs>
        <w:ind w:left="426"/>
      </w:pPr>
      <w:r w:rsidRPr="005F15DA">
        <w:t>-</w:t>
      </w:r>
      <w:r w:rsidRPr="005F15DA">
        <w:tab/>
      </w:r>
      <w:r w:rsidR="005D70F9" w:rsidRPr="005F15DA">
        <w:t>Das richterliche Urteil bei einem ausserehelichen Kind</w:t>
      </w:r>
    </w:p>
    <w:p w:rsidR="00F93E94" w:rsidRPr="005F15DA" w:rsidRDefault="00F93E94" w:rsidP="00F93E94"/>
    <w:p w:rsidR="00F93E94" w:rsidRPr="005F15DA" w:rsidRDefault="00F93E94" w:rsidP="00F93E94"/>
    <w:p w:rsidR="005D70F9" w:rsidRPr="005F15DA" w:rsidRDefault="005D70F9" w:rsidP="0046410C">
      <w:pPr>
        <w:pStyle w:val="berschrift4"/>
      </w:pPr>
      <w:r w:rsidRPr="005F15DA">
        <w:rPr>
          <w:spacing w:val="-12"/>
        </w:rPr>
        <w:t>2.</w:t>
      </w:r>
      <w:r w:rsidRPr="005F15DA">
        <w:tab/>
        <w:t>Gewillkürte Entstehung</w:t>
      </w:r>
    </w:p>
    <w:p w:rsidR="005D70F9" w:rsidRPr="005F15DA" w:rsidRDefault="005D70F9" w:rsidP="0046410C">
      <w:pPr>
        <w:ind w:left="426"/>
      </w:pPr>
      <w:r w:rsidRPr="005F15DA">
        <w:t>Mit der Adoption, der Kindesannahme, wird das Kindesverhältnis unabhängig einer biol</w:t>
      </w:r>
      <w:r w:rsidRPr="005F15DA">
        <w:t>o</w:t>
      </w:r>
      <w:r w:rsidRPr="005F15DA">
        <w:t>gischen Abstammung begründet. So kann sowohl eine Mutterschaft als auch eine Vate</w:t>
      </w:r>
      <w:r w:rsidRPr="005F15DA">
        <w:t>r</w:t>
      </w:r>
      <w:r w:rsidRPr="005F15DA">
        <w:t xml:space="preserve">schaft beginnen. Mit der Adoption wird das adoptierte Kind einem biologischen Kind der </w:t>
      </w:r>
      <w:r w:rsidRPr="005F15DA">
        <w:lastRenderedPageBreak/>
        <w:t>Adoptiveltern gleichgestellt. Es erhält die gleichen Rechte und Pflichten. Die rechtlichen Beziehungen, namentlich das Erbrecht, zu den bisherigen Eltern und Verwandten erl</w:t>
      </w:r>
      <w:r w:rsidRPr="005F15DA">
        <w:t>ö</w:t>
      </w:r>
      <w:r w:rsidRPr="005F15DA">
        <w:t>schen. Diese Beziehungen entstehen neu zu den Adoptiveltern und deren Verwandten.</w:t>
      </w:r>
    </w:p>
    <w:p w:rsidR="0046410C" w:rsidRPr="005F15DA" w:rsidRDefault="0046410C" w:rsidP="0046410C">
      <w:pPr>
        <w:ind w:left="426"/>
      </w:pPr>
    </w:p>
    <w:p w:rsidR="005D70F9" w:rsidRPr="005F15DA" w:rsidRDefault="005D70F9" w:rsidP="0046410C">
      <w:pPr>
        <w:ind w:left="426"/>
      </w:pPr>
      <w:r w:rsidRPr="005F15DA">
        <w:t>Sofern die Adoption vor dem 1.1.1973 erfolgte, gilt es zu beachten, dass die Adoption nicht immer dieselben Wirkungen hatte, insbesondere auch in Hinblick auf die erbrechtl</w:t>
      </w:r>
      <w:r w:rsidRPr="005F15DA">
        <w:t>i</w:t>
      </w:r>
      <w:r w:rsidRPr="005F15DA">
        <w:t>chen Folgen. In einem solchen Fall muss die rechtliche Situation genau abgeklärt we</w:t>
      </w:r>
      <w:r w:rsidRPr="005F15DA">
        <w:t>r</w:t>
      </w:r>
      <w:r w:rsidRPr="005F15DA">
        <w:t>den.</w:t>
      </w:r>
    </w:p>
    <w:p w:rsidR="00F93E94" w:rsidRPr="005F15DA" w:rsidRDefault="00F93E94" w:rsidP="00F93E94"/>
    <w:p w:rsidR="00F93E94" w:rsidRPr="005F15DA" w:rsidRDefault="00F93E94" w:rsidP="00F93E94"/>
    <w:p w:rsidR="00F93E94" w:rsidRPr="005F15DA" w:rsidRDefault="00F93E94" w:rsidP="00F93E94"/>
    <w:p w:rsidR="005D70F9" w:rsidRPr="005F15DA" w:rsidRDefault="00F93E94" w:rsidP="005759BE">
      <w:pPr>
        <w:pStyle w:val="berschrift3"/>
        <w:rPr>
          <w:lang w:val="de-CH"/>
        </w:rPr>
      </w:pPr>
      <w:bookmarkStart w:id="42" w:name="_Toc432175570"/>
      <w:r w:rsidRPr="005F15DA">
        <w:rPr>
          <w:spacing w:val="-9"/>
          <w:lang w:val="de-CH"/>
        </w:rPr>
        <w:t>B</w:t>
      </w:r>
      <w:r w:rsidR="005D70F9" w:rsidRPr="005F15DA">
        <w:rPr>
          <w:spacing w:val="-9"/>
          <w:lang w:val="de-CH"/>
        </w:rPr>
        <w:t>.</w:t>
      </w:r>
      <w:r w:rsidR="005D70F9" w:rsidRPr="005F15DA">
        <w:rPr>
          <w:lang w:val="de-CH"/>
        </w:rPr>
        <w:tab/>
        <w:t>Wirkungen</w:t>
      </w:r>
      <w:bookmarkEnd w:id="42"/>
    </w:p>
    <w:p w:rsidR="00B438E5" w:rsidRDefault="00B438E5" w:rsidP="0046410C">
      <w:pPr>
        <w:ind w:left="426"/>
      </w:pPr>
    </w:p>
    <w:p w:rsidR="005D70F9" w:rsidRPr="005F15DA" w:rsidRDefault="005D70F9" w:rsidP="0046410C">
      <w:pPr>
        <w:ind w:left="426"/>
      </w:pPr>
      <w:r w:rsidRPr="005F15DA">
        <w:t>Mit einem Kindesverhältnis werden die Eltern und die Kinder zu einer Gemeinschaft ve</w:t>
      </w:r>
      <w:r w:rsidRPr="005F15DA">
        <w:t>r</w:t>
      </w:r>
      <w:r w:rsidRPr="005F15DA">
        <w:t xml:space="preserve">bunden. Beide schulden einander gegenseitig Beistand und Achtung. </w:t>
      </w:r>
    </w:p>
    <w:p w:rsidR="0046410C" w:rsidRPr="005F15DA" w:rsidRDefault="0046410C" w:rsidP="0046410C">
      <w:pPr>
        <w:ind w:left="426"/>
      </w:pPr>
    </w:p>
    <w:p w:rsidR="005D70F9" w:rsidRPr="005F15DA" w:rsidRDefault="00201B7A" w:rsidP="0046410C">
      <w:pPr>
        <w:ind w:left="426"/>
      </w:pPr>
      <w:r>
        <w:t>Sind die Eltern miteinander verheiratet und tragen verschiedene Namen, erhält das Kind denjenigen Namen, den die Eltern bei Eheschliessung für ihre Kinder gewählt haben. Die Eltern können innerhalb eines Jahres ab Geburt des ersten Kindes gemeinsam verla</w:t>
      </w:r>
      <w:r>
        <w:t>n</w:t>
      </w:r>
      <w:r>
        <w:t>gen, dass das Kind den Ledignamen des anderen Elternteils trägt. Bei einem gemeins</w:t>
      </w:r>
      <w:r>
        <w:t>a</w:t>
      </w:r>
      <w:r>
        <w:t>men Familiennamen der Eltern, erhält das Kind diesen Namen. Sind die Eltern nicht mi</w:t>
      </w:r>
      <w:r>
        <w:t>t</w:t>
      </w:r>
      <w:r>
        <w:t>einander verheiratet erhält das Kind den Familiennamen der Mutter. Wird die gemeins</w:t>
      </w:r>
      <w:r>
        <w:t>a</w:t>
      </w:r>
      <w:r>
        <w:t>me elterliche Sorge verfügt resp. dem Vater die alleinige elterliche Sorge zugewiesen, können die Eltern resp. der Vater beantragen, dass das Kind den Ledignamen des Vaters tragen soll. Das Kind erhält das Bürgerrecht desjenigen Elternteils, dessen Namen es trägt.</w:t>
      </w:r>
    </w:p>
    <w:p w:rsidR="0046410C" w:rsidRPr="005F15DA" w:rsidRDefault="0046410C" w:rsidP="0046410C">
      <w:pPr>
        <w:ind w:left="426"/>
      </w:pPr>
    </w:p>
    <w:p w:rsidR="005D70F9" w:rsidRPr="005F15DA" w:rsidRDefault="005D70F9" w:rsidP="0046410C">
      <w:pPr>
        <w:ind w:left="426"/>
      </w:pPr>
      <w:r w:rsidRPr="005F15DA">
        <w:t>Die Eltern haben Unterhaltspflichten gegenüber dem Kind. Sie haben für das Wohl des Kindes entweder durch Pflege und Erziehung oder durch Geldzahlungen zu sorgen. Di</w:t>
      </w:r>
      <w:r w:rsidRPr="005F15DA">
        <w:t>e</w:t>
      </w:r>
      <w:r w:rsidRPr="005F15DA">
        <w:t>se Pflicht dauert bis zur Volljährigkeit des Kindes bzw. bis zum Abschluss einer Erstau</w:t>
      </w:r>
      <w:r w:rsidRPr="005F15DA">
        <w:t>s</w:t>
      </w:r>
      <w:r w:rsidRPr="005F15DA">
        <w:t>bildung. Erzielt das Kind einen Arbeitserwerb, z.B. Lehrlingslohn, hat es im Rahmen des zumutbaren an seinen Unterhalt beizutragen.</w:t>
      </w:r>
    </w:p>
    <w:p w:rsidR="0046410C" w:rsidRPr="005F15DA" w:rsidRDefault="0046410C" w:rsidP="0046410C">
      <w:pPr>
        <w:ind w:left="426"/>
      </w:pPr>
    </w:p>
    <w:p w:rsidR="005D70F9" w:rsidRPr="005F15DA" w:rsidRDefault="005D70F9" w:rsidP="0046410C">
      <w:pPr>
        <w:ind w:left="426"/>
      </w:pPr>
      <w:r w:rsidRPr="005F15DA">
        <w:t>Verheiratete Eltern üben gemeinsam die elterliche Sorge aus. Bei unverheirateten Eltern steht die elterliche Sorge der Mutter zu. Bei geschiedenen Eltern hat das Gericht über die Zuteilung der elterlichen Sorge zu entscheiden; auf Antrag beider Ehegatten hin kann das Gericht auch weiterhin beiden Eltern die gemeinsame elterliche Sorge zuteilen. Der Inh</w:t>
      </w:r>
      <w:r w:rsidRPr="005F15DA">
        <w:t>a</w:t>
      </w:r>
      <w:r w:rsidRPr="005F15DA">
        <w:t xml:space="preserve">ber der elterlichen Sorge vertritt von Gesetzes wegen das Kind gegenüber Dritten bis </w:t>
      </w:r>
      <w:r w:rsidR="006947F4">
        <w:t>es das 18. Lebensjahr zurückgelegt hat</w:t>
      </w:r>
      <w:r w:rsidRPr="005F15DA">
        <w:t>. Das Kind kann sich nur mit Zustimmung der Eltern verpflichten; seine Handlungsfähigkeit ist beschränkt.</w:t>
      </w:r>
    </w:p>
    <w:p w:rsidR="0046410C" w:rsidRPr="005F15DA" w:rsidRDefault="0046410C" w:rsidP="0046410C"/>
    <w:p w:rsidR="00F93E94" w:rsidRDefault="00F93E94" w:rsidP="0046410C"/>
    <w:p w:rsidR="001019E0" w:rsidRPr="005F15DA" w:rsidRDefault="001019E0">
      <w:pPr>
        <w:spacing w:after="200"/>
        <w:rPr>
          <w:rFonts w:eastAsiaTheme="majorEastAsia" w:cstheme="majorBidi"/>
          <w:b/>
          <w:bCs/>
          <w:color w:val="000000" w:themeColor="text1"/>
          <w:sz w:val="32"/>
          <w:szCs w:val="26"/>
        </w:rPr>
      </w:pPr>
      <w:r w:rsidRPr="005F15DA">
        <w:br w:type="page"/>
      </w:r>
    </w:p>
    <w:p w:rsidR="00284C4D" w:rsidRPr="005F15DA" w:rsidRDefault="00284C4D" w:rsidP="00284C4D">
      <w:pPr>
        <w:pStyle w:val="berschrift2"/>
      </w:pPr>
      <w:bookmarkStart w:id="43" w:name="_Toc432175571"/>
      <w:r w:rsidRPr="005F15DA">
        <w:lastRenderedPageBreak/>
        <w:t xml:space="preserve">IV. Das Erwachsenenschutzrecht </w:t>
      </w:r>
      <w:r w:rsidRPr="005F15DA">
        <w:rPr>
          <w:szCs w:val="22"/>
        </w:rPr>
        <w:t>(Art. 360 – 456 ZGB)</w:t>
      </w:r>
      <w:bookmarkEnd w:id="43"/>
    </w:p>
    <w:p w:rsidR="00284C4D" w:rsidRPr="005F15DA" w:rsidRDefault="00284C4D" w:rsidP="00B438E5">
      <w:r w:rsidRPr="005F15DA">
        <w:t>_____________________________________________________</w:t>
      </w:r>
      <w:r w:rsidR="00B438E5">
        <w:t>______________</w:t>
      </w:r>
    </w:p>
    <w:p w:rsidR="00284C4D" w:rsidRPr="005F15DA" w:rsidRDefault="00284C4D" w:rsidP="00284C4D"/>
    <w:p w:rsidR="00284C4D" w:rsidRPr="005F15DA" w:rsidRDefault="00284C4D" w:rsidP="00284C4D"/>
    <w:p w:rsidR="00284C4D" w:rsidRPr="005F15DA" w:rsidRDefault="00284C4D" w:rsidP="00284C4D">
      <w:pPr>
        <w:tabs>
          <w:tab w:val="left" w:pos="426"/>
          <w:tab w:val="left" w:pos="851"/>
        </w:tabs>
      </w:pPr>
      <w:r w:rsidRPr="005F15DA">
        <w:t>Welche Massnahmen kennt das Gesetz?</w:t>
      </w:r>
    </w:p>
    <w:p w:rsidR="00284C4D" w:rsidRPr="005F15DA" w:rsidRDefault="00284C4D" w:rsidP="00284C4D">
      <w:pPr>
        <w:tabs>
          <w:tab w:val="left" w:pos="426"/>
          <w:tab w:val="left" w:pos="851"/>
        </w:tabs>
      </w:pPr>
      <w:r w:rsidRPr="005F15DA">
        <w:t>-</w:t>
      </w:r>
      <w:r w:rsidRPr="005F15DA">
        <w:tab/>
        <w:t>Eigene Vorsorge und Massnahmen von Gesetzes wegen</w:t>
      </w:r>
    </w:p>
    <w:p w:rsidR="00284C4D" w:rsidRPr="005F15DA" w:rsidRDefault="00284C4D" w:rsidP="00284C4D">
      <w:pPr>
        <w:tabs>
          <w:tab w:val="left" w:pos="426"/>
          <w:tab w:val="left" w:pos="851"/>
        </w:tabs>
      </w:pPr>
      <w:r w:rsidRPr="005F15DA">
        <w:tab/>
        <w:t>-</w:t>
      </w:r>
      <w:r w:rsidRPr="005F15DA">
        <w:tab/>
        <w:t>Vorsorgeauftrag</w:t>
      </w:r>
    </w:p>
    <w:p w:rsidR="00284C4D" w:rsidRPr="005F15DA" w:rsidRDefault="00284C4D" w:rsidP="00284C4D">
      <w:pPr>
        <w:tabs>
          <w:tab w:val="left" w:pos="426"/>
          <w:tab w:val="left" w:pos="851"/>
        </w:tabs>
      </w:pPr>
      <w:r w:rsidRPr="005F15DA">
        <w:tab/>
        <w:t>-</w:t>
      </w:r>
      <w:r w:rsidRPr="005F15DA">
        <w:tab/>
        <w:t>Patientenverfügung</w:t>
      </w:r>
    </w:p>
    <w:p w:rsidR="00284C4D" w:rsidRPr="005F15DA" w:rsidRDefault="00284C4D" w:rsidP="00284C4D">
      <w:pPr>
        <w:tabs>
          <w:tab w:val="left" w:pos="426"/>
          <w:tab w:val="left" w:pos="851"/>
        </w:tabs>
      </w:pPr>
      <w:r w:rsidRPr="005F15DA">
        <w:tab/>
        <w:t>-</w:t>
      </w:r>
      <w:r w:rsidRPr="005F15DA">
        <w:tab/>
        <w:t>Vertretung durch Ehegatten oder eingetragenen Partner</w:t>
      </w:r>
    </w:p>
    <w:p w:rsidR="00284C4D" w:rsidRPr="005F15DA" w:rsidRDefault="00284C4D" w:rsidP="00284C4D">
      <w:pPr>
        <w:tabs>
          <w:tab w:val="left" w:pos="426"/>
          <w:tab w:val="left" w:pos="851"/>
        </w:tabs>
      </w:pPr>
      <w:r w:rsidRPr="005F15DA">
        <w:tab/>
        <w:t>-</w:t>
      </w:r>
      <w:r w:rsidRPr="005F15DA">
        <w:tab/>
        <w:t>Vertretung für medizinische Massnahmen</w:t>
      </w:r>
    </w:p>
    <w:p w:rsidR="00284C4D" w:rsidRPr="005F15DA" w:rsidRDefault="00284C4D" w:rsidP="00284C4D">
      <w:pPr>
        <w:tabs>
          <w:tab w:val="left" w:pos="426"/>
          <w:tab w:val="left" w:pos="851"/>
        </w:tabs>
      </w:pPr>
      <w:r w:rsidRPr="005F15DA">
        <w:tab/>
        <w:t>-</w:t>
      </w:r>
      <w:r w:rsidRPr="005F15DA">
        <w:tab/>
        <w:t>Aufenthalt in Wohn- und Pflegeeinrichtungen</w:t>
      </w:r>
    </w:p>
    <w:p w:rsidR="00284C4D" w:rsidRPr="005F15DA" w:rsidRDefault="00284C4D" w:rsidP="00284C4D">
      <w:pPr>
        <w:tabs>
          <w:tab w:val="left" w:pos="426"/>
          <w:tab w:val="left" w:pos="851"/>
        </w:tabs>
      </w:pPr>
      <w:r w:rsidRPr="005F15DA">
        <w:t>-</w:t>
      </w:r>
      <w:r w:rsidRPr="005F15DA">
        <w:tab/>
        <w:t>Behördliche Massnahmen</w:t>
      </w:r>
    </w:p>
    <w:p w:rsidR="00284C4D" w:rsidRPr="005F15DA" w:rsidRDefault="00284C4D" w:rsidP="00284C4D">
      <w:pPr>
        <w:tabs>
          <w:tab w:val="left" w:pos="426"/>
          <w:tab w:val="left" w:pos="851"/>
        </w:tabs>
      </w:pPr>
      <w:r w:rsidRPr="005F15DA">
        <w:tab/>
        <w:t>-</w:t>
      </w:r>
      <w:r w:rsidRPr="005F15DA">
        <w:tab/>
        <w:t>Begleitbeistandschaft</w:t>
      </w:r>
    </w:p>
    <w:p w:rsidR="00284C4D" w:rsidRPr="005F15DA" w:rsidRDefault="00284C4D" w:rsidP="00284C4D">
      <w:pPr>
        <w:tabs>
          <w:tab w:val="left" w:pos="426"/>
          <w:tab w:val="left" w:pos="851"/>
        </w:tabs>
      </w:pPr>
      <w:r w:rsidRPr="005F15DA">
        <w:tab/>
        <w:t>-</w:t>
      </w:r>
      <w:r w:rsidRPr="005F15DA">
        <w:tab/>
        <w:t>Vertretungsbeistandschaft</w:t>
      </w:r>
    </w:p>
    <w:p w:rsidR="00284C4D" w:rsidRPr="005F15DA" w:rsidRDefault="00284C4D" w:rsidP="00284C4D">
      <w:pPr>
        <w:tabs>
          <w:tab w:val="left" w:pos="426"/>
          <w:tab w:val="left" w:pos="851"/>
        </w:tabs>
      </w:pPr>
      <w:r w:rsidRPr="005F15DA">
        <w:tab/>
        <w:t>-</w:t>
      </w:r>
      <w:r w:rsidRPr="005F15DA">
        <w:tab/>
        <w:t>Mitwirkungsbeistandschaft</w:t>
      </w:r>
    </w:p>
    <w:p w:rsidR="00284C4D" w:rsidRPr="005F15DA" w:rsidRDefault="00284C4D" w:rsidP="00284C4D">
      <w:pPr>
        <w:tabs>
          <w:tab w:val="left" w:pos="426"/>
          <w:tab w:val="left" w:pos="851"/>
        </w:tabs>
      </w:pPr>
      <w:r w:rsidRPr="005F15DA">
        <w:tab/>
        <w:t>-</w:t>
      </w:r>
      <w:r w:rsidRPr="005F15DA">
        <w:tab/>
        <w:t>Kombinierte Beistandschaft</w:t>
      </w:r>
    </w:p>
    <w:p w:rsidR="00284C4D" w:rsidRPr="005F15DA" w:rsidRDefault="00284C4D" w:rsidP="00284C4D">
      <w:pPr>
        <w:tabs>
          <w:tab w:val="left" w:pos="426"/>
          <w:tab w:val="left" w:pos="851"/>
        </w:tabs>
      </w:pPr>
      <w:r w:rsidRPr="005F15DA">
        <w:tab/>
        <w:t>-</w:t>
      </w:r>
      <w:r w:rsidRPr="005F15DA">
        <w:tab/>
        <w:t>Umfassende Beistandschaft</w:t>
      </w:r>
    </w:p>
    <w:p w:rsidR="00284C4D" w:rsidRPr="005F15DA" w:rsidRDefault="00284C4D" w:rsidP="00284C4D">
      <w:pPr>
        <w:tabs>
          <w:tab w:val="left" w:pos="426"/>
          <w:tab w:val="left" w:pos="851"/>
        </w:tabs>
      </w:pPr>
      <w:r w:rsidRPr="005F15DA">
        <w:t>-</w:t>
      </w:r>
      <w:r w:rsidRPr="005F15DA">
        <w:tab/>
        <w:t>Fürsorgerische Unterbringung</w:t>
      </w:r>
    </w:p>
    <w:p w:rsidR="00284C4D" w:rsidRPr="005F15DA" w:rsidRDefault="00284C4D" w:rsidP="00284C4D"/>
    <w:p w:rsidR="00284C4D" w:rsidRPr="005F15DA" w:rsidRDefault="00284C4D" w:rsidP="00284C4D"/>
    <w:p w:rsidR="00CA1358" w:rsidRPr="005F15DA" w:rsidRDefault="00CA1358" w:rsidP="00284C4D"/>
    <w:p w:rsidR="00284C4D" w:rsidRPr="005F15DA" w:rsidRDefault="00284C4D" w:rsidP="00284C4D">
      <w:pPr>
        <w:pStyle w:val="berschrift3"/>
        <w:rPr>
          <w:lang w:val="de-CH"/>
        </w:rPr>
      </w:pPr>
      <w:bookmarkStart w:id="44" w:name="_Toc432175572"/>
      <w:r w:rsidRPr="005F15DA">
        <w:rPr>
          <w:lang w:val="de-CH"/>
        </w:rPr>
        <w:t>A.</w:t>
      </w:r>
      <w:r w:rsidRPr="005F15DA">
        <w:rPr>
          <w:lang w:val="de-CH"/>
        </w:rPr>
        <w:tab/>
        <w:t>Grundzüge des Erwachsenenschutzrechts</w:t>
      </w:r>
      <w:bookmarkEnd w:id="44"/>
    </w:p>
    <w:p w:rsidR="00284C4D" w:rsidRPr="005F15DA" w:rsidRDefault="00284C4D" w:rsidP="00284C4D"/>
    <w:p w:rsidR="00284C4D" w:rsidRPr="005F15DA" w:rsidRDefault="00284C4D" w:rsidP="00284C4D">
      <w:r w:rsidRPr="005F15DA">
        <w:t>Durch das Erwachsenenschutzrecht soll sichergestel</w:t>
      </w:r>
      <w:r w:rsidR="00A37976">
        <w:t>lt werden, dass hilfsbedürftige</w:t>
      </w:r>
      <w:r w:rsidRPr="005F15DA">
        <w:t xml:space="preserve"> Menschen die notwendige Unterstützung erhalten. Dies kann einerseits durch eigene Vorsorge des B</w:t>
      </w:r>
      <w:r w:rsidRPr="005F15DA">
        <w:t>e</w:t>
      </w:r>
      <w:r w:rsidRPr="005F15DA">
        <w:t>troffenen, andererseits durch staatlich angeordnete Massnahmen erfolgen.</w:t>
      </w:r>
    </w:p>
    <w:p w:rsidR="00284C4D" w:rsidRPr="005F15DA" w:rsidRDefault="00284C4D" w:rsidP="00284C4D"/>
    <w:p w:rsidR="00284C4D" w:rsidRPr="005F15DA" w:rsidRDefault="00284C4D" w:rsidP="00284C4D">
      <w:r w:rsidRPr="005F15DA">
        <w:t xml:space="preserve">Es gilt das Prinzip der Verhältnismässigkeit. Eine Massnahme darf nur angeordnet werden, wenn eine weniger weit gehende Massnahme nicht reicht. </w:t>
      </w:r>
    </w:p>
    <w:p w:rsidR="00284C4D" w:rsidRPr="005F15DA" w:rsidRDefault="00284C4D" w:rsidP="00284C4D"/>
    <w:p w:rsidR="00CA1358" w:rsidRPr="005F15DA" w:rsidRDefault="00CA1358" w:rsidP="00284C4D"/>
    <w:p w:rsidR="00CA1358" w:rsidRPr="005F15DA" w:rsidRDefault="00CA1358" w:rsidP="00284C4D"/>
    <w:p w:rsidR="00284C4D" w:rsidRPr="005F15DA" w:rsidRDefault="00284C4D" w:rsidP="00CA1358">
      <w:pPr>
        <w:pStyle w:val="berschrift3"/>
        <w:ind w:left="425" w:hanging="425"/>
        <w:rPr>
          <w:lang w:val="de-CH"/>
        </w:rPr>
      </w:pPr>
      <w:bookmarkStart w:id="45" w:name="_Toc432175573"/>
      <w:r w:rsidRPr="005F15DA">
        <w:rPr>
          <w:lang w:val="de-CH"/>
        </w:rPr>
        <w:t>B.</w:t>
      </w:r>
      <w:r w:rsidRPr="005F15DA">
        <w:rPr>
          <w:lang w:val="de-CH"/>
        </w:rPr>
        <w:tab/>
        <w:t>Eigene Vorsorge und Massnahmen von Gesetzes wegen (Art. 360 ff. ZGB)</w:t>
      </w:r>
      <w:bookmarkEnd w:id="45"/>
    </w:p>
    <w:p w:rsidR="00284C4D" w:rsidRPr="005F15DA" w:rsidRDefault="00284C4D" w:rsidP="00284C4D"/>
    <w:p w:rsidR="00284C4D" w:rsidRPr="005F15DA" w:rsidRDefault="00284C4D" w:rsidP="00284C4D">
      <w:pPr>
        <w:pStyle w:val="berschrift4"/>
      </w:pPr>
      <w:r w:rsidRPr="005F15DA">
        <w:t>1.</w:t>
      </w:r>
      <w:r w:rsidRPr="005F15DA">
        <w:tab/>
        <w:t>Eigene Vorsorge</w:t>
      </w:r>
    </w:p>
    <w:p w:rsidR="00284C4D" w:rsidRPr="005F15DA" w:rsidRDefault="00284C4D" w:rsidP="00284C4D">
      <w:pPr>
        <w:ind w:left="426"/>
      </w:pPr>
    </w:p>
    <w:p w:rsidR="00284C4D" w:rsidRPr="005F15DA" w:rsidRDefault="00284C4D" w:rsidP="00284C4D">
      <w:pPr>
        <w:pStyle w:val="berschrift5"/>
      </w:pPr>
      <w:r w:rsidRPr="005F15DA">
        <w:t>a.</w:t>
      </w:r>
      <w:r w:rsidRPr="005F15DA">
        <w:tab/>
        <w:t>Vorsorgeauftrag (Art. 360 ff. ZGB)</w:t>
      </w:r>
    </w:p>
    <w:p w:rsidR="00284C4D" w:rsidRPr="005F15DA" w:rsidRDefault="00284C4D" w:rsidP="00284C4D">
      <w:pPr>
        <w:tabs>
          <w:tab w:val="left" w:pos="851"/>
        </w:tabs>
        <w:ind w:left="851" w:hanging="425"/>
      </w:pPr>
      <w:r w:rsidRPr="005F15DA">
        <w:tab/>
        <w:t>Mit dem Vorsorgeauftrag kann für die künftige Urteilsunfähigkeit einer natürlichen Person eine natürliche oder juristische Person mit bestimmten Besorgungen beau</w:t>
      </w:r>
      <w:r w:rsidRPr="005F15DA">
        <w:t>f</w:t>
      </w:r>
      <w:r w:rsidRPr="005F15DA">
        <w:t>tragt werden (Personensorge, Vermögenssorge, Vertretung im Rechtsverkehr). Die Errichtung erfolgt entweder durch die auftraggebende Person eigenhändig oder in ö</w:t>
      </w:r>
      <w:r w:rsidRPr="005F15DA">
        <w:t>f</w:t>
      </w:r>
      <w:r w:rsidRPr="005F15DA">
        <w:t>fentlicher Urkunde (Art. 361 ZGB).</w:t>
      </w:r>
    </w:p>
    <w:p w:rsidR="00284C4D" w:rsidRPr="005F15DA" w:rsidRDefault="00284C4D" w:rsidP="00284C4D">
      <w:pPr>
        <w:tabs>
          <w:tab w:val="left" w:pos="851"/>
        </w:tabs>
        <w:ind w:left="851" w:hanging="425"/>
      </w:pPr>
    </w:p>
    <w:p w:rsidR="00284C4D" w:rsidRPr="005F15DA" w:rsidRDefault="00284C4D" w:rsidP="00284C4D">
      <w:pPr>
        <w:tabs>
          <w:tab w:val="left" w:pos="851"/>
        </w:tabs>
        <w:ind w:left="851" w:hanging="425"/>
      </w:pPr>
      <w:r w:rsidRPr="005F15DA">
        <w:lastRenderedPageBreak/>
        <w:tab/>
        <w:t>Die Aufgaben, welche der beauftragten Person übertragen werden sollen, sind zu umschreiben, zudem können Weisungen in Hinblick auf die Erfüllung der Aufgaben erteilt werden (Art. 360 ZGB).</w:t>
      </w:r>
    </w:p>
    <w:p w:rsidR="00284C4D" w:rsidRPr="005F15DA" w:rsidRDefault="00284C4D" w:rsidP="00284C4D">
      <w:pPr>
        <w:tabs>
          <w:tab w:val="left" w:pos="851"/>
        </w:tabs>
        <w:ind w:left="851" w:hanging="425"/>
      </w:pPr>
      <w:r w:rsidRPr="005F15DA">
        <w:tab/>
        <w:t xml:space="preserve">Die auftraggebende </w:t>
      </w:r>
      <w:r w:rsidR="001A3FE8">
        <w:t>Person kann den Vorsorgeauftrag</w:t>
      </w:r>
      <w:r w:rsidRPr="005F15DA">
        <w:t xml:space="preserve"> jederzeit widerrufen. Sie hat dabei entweder die Formvorschriften für die Errichtung des Vorsorgeauftrags zu b</w:t>
      </w:r>
      <w:r w:rsidRPr="005F15DA">
        <w:t>e</w:t>
      </w:r>
      <w:r w:rsidRPr="005F15DA">
        <w:t>achten oder kann die Urkunde vernichten. Wir</w:t>
      </w:r>
      <w:r w:rsidR="001A3FE8">
        <w:t>d</w:t>
      </w:r>
      <w:r w:rsidRPr="005F15DA">
        <w:t xml:space="preserve"> ein neuer Vorsorgeauftrag errichtet, ohne dass ein früherer ausdrücklich aufgehoben wird, tritt der neue Vorsorgeauftrag an die Stelle des älteren, sofern der neue nicht zweifellos eine blosse Ergänzung darstellt (Art. 362 ZGB).</w:t>
      </w:r>
    </w:p>
    <w:p w:rsidR="00284C4D" w:rsidRPr="005F15DA" w:rsidRDefault="00284C4D" w:rsidP="00284C4D">
      <w:pPr>
        <w:tabs>
          <w:tab w:val="left" w:pos="851"/>
        </w:tabs>
        <w:ind w:left="851" w:hanging="425"/>
      </w:pPr>
    </w:p>
    <w:p w:rsidR="00284C4D" w:rsidRPr="005F15DA" w:rsidRDefault="00284C4D" w:rsidP="00284C4D">
      <w:pPr>
        <w:tabs>
          <w:tab w:val="left" w:pos="851"/>
        </w:tabs>
        <w:ind w:left="851" w:hanging="425"/>
      </w:pPr>
      <w:r w:rsidRPr="005F15DA">
        <w:tab/>
        <w:t>Dass ein Vorsorgeauftrag errichtet worden ist und wo dieser aufbewahrt wird, kann in einer zentralen Datenbank eingetragen werden. Der Antrag zur Anmeldung ist an das Zivilstandsamt zu senden (Art. 361 ZGB).</w:t>
      </w:r>
    </w:p>
    <w:p w:rsidR="00284C4D" w:rsidRPr="005F15DA" w:rsidRDefault="00284C4D" w:rsidP="00284C4D">
      <w:pPr>
        <w:tabs>
          <w:tab w:val="left" w:pos="851"/>
        </w:tabs>
        <w:ind w:left="851" w:hanging="425"/>
      </w:pPr>
    </w:p>
    <w:p w:rsidR="00284C4D" w:rsidRPr="005F15DA" w:rsidRDefault="00284C4D" w:rsidP="00284C4D">
      <w:pPr>
        <w:tabs>
          <w:tab w:val="left" w:pos="851"/>
        </w:tabs>
        <w:ind w:left="851" w:hanging="425"/>
      </w:pPr>
      <w:r w:rsidRPr="005F15DA">
        <w:tab/>
        <w:t>Wird der Auftraggeber urteilsunfähig, wird der Beauftragte angefragt, ob er die Au</w:t>
      </w:r>
      <w:r w:rsidRPr="005F15DA">
        <w:t>f</w:t>
      </w:r>
      <w:r w:rsidRPr="005F15DA">
        <w:t>gabe übernehmen will. Übernimmt er die Aufgabe, hat er die ihm gemäss Vertrag zugewiesenen Geschäfte des Auftraggebers nach den Regeln des Auftragsrechts zu führen, dafür hat er eine Entschädigung zu Gute, welche entweder bereits im Vertrag festgesetzt oder von der Erwachsenenschutzbehörde festgesetzt wird.</w:t>
      </w:r>
    </w:p>
    <w:p w:rsidR="00284C4D" w:rsidRPr="005F15DA" w:rsidRDefault="00284C4D" w:rsidP="00284C4D">
      <w:pPr>
        <w:tabs>
          <w:tab w:val="left" w:pos="851"/>
        </w:tabs>
        <w:ind w:left="851" w:hanging="425"/>
      </w:pPr>
    </w:p>
    <w:p w:rsidR="00284C4D" w:rsidRPr="005F15DA" w:rsidRDefault="00284C4D" w:rsidP="00284C4D">
      <w:pPr>
        <w:tabs>
          <w:tab w:val="left" w:pos="851"/>
        </w:tabs>
        <w:ind w:left="851" w:hanging="425"/>
      </w:pPr>
      <w:r w:rsidRPr="005F15DA">
        <w:tab/>
        <w:t>Bei Bedarf kann die Erwachsenenschutzbehörde zusätzliche Massnahmen anor</w:t>
      </w:r>
      <w:r w:rsidRPr="005F15DA">
        <w:t>d</w:t>
      </w:r>
      <w:r w:rsidRPr="005F15DA">
        <w:t>nen.</w:t>
      </w:r>
    </w:p>
    <w:p w:rsidR="00284C4D" w:rsidRPr="005F15DA" w:rsidRDefault="00284C4D" w:rsidP="00284C4D">
      <w:pPr>
        <w:tabs>
          <w:tab w:val="left" w:pos="851"/>
        </w:tabs>
        <w:ind w:left="426"/>
      </w:pPr>
    </w:p>
    <w:p w:rsidR="00284C4D" w:rsidRPr="005F15DA" w:rsidRDefault="00284C4D" w:rsidP="00284C4D">
      <w:pPr>
        <w:pStyle w:val="berschrift5"/>
      </w:pPr>
      <w:r w:rsidRPr="005F15DA">
        <w:t>b.</w:t>
      </w:r>
      <w:r w:rsidRPr="005F15DA">
        <w:tab/>
        <w:t>Patientenverfügung (Ar. 370 ff. ZGB)</w:t>
      </w:r>
    </w:p>
    <w:p w:rsidR="00284C4D" w:rsidRPr="005F15DA" w:rsidRDefault="00284C4D" w:rsidP="00284C4D">
      <w:pPr>
        <w:tabs>
          <w:tab w:val="left" w:pos="851"/>
        </w:tabs>
        <w:ind w:left="851" w:hanging="425"/>
      </w:pPr>
      <w:r w:rsidRPr="005F15DA">
        <w:tab/>
        <w:t>Eine urteilsfähige Person kann in einer Patientenverfügungen entweder festlegen, welchen künftigen medizinischen Massnahmen sie im Falle ihrer Urteilsunfähigkeit zustimmt oder nicht zustimmt oder auch eine natürliche Person bezeichnen, die im Falle ihrer Urteilsunfähigkeit mit den behandelnden Ärzten die medizinischen Mas</w:t>
      </w:r>
      <w:r w:rsidRPr="005F15DA">
        <w:t>s</w:t>
      </w:r>
      <w:r w:rsidRPr="005F15DA">
        <w:t xml:space="preserve">nahmen besprechen und in ihrem Namen darüber entscheiden soll (Art. 370 ZGB), wobei diesbezüglich Weisungen erteilt werden können. </w:t>
      </w:r>
    </w:p>
    <w:p w:rsidR="00284C4D" w:rsidRPr="005F15DA" w:rsidRDefault="00284C4D" w:rsidP="00284C4D">
      <w:pPr>
        <w:tabs>
          <w:tab w:val="left" w:pos="851"/>
        </w:tabs>
        <w:ind w:left="851" w:hanging="425"/>
      </w:pPr>
    </w:p>
    <w:p w:rsidR="00284C4D" w:rsidRPr="005F15DA" w:rsidRDefault="00284C4D" w:rsidP="00284C4D">
      <w:pPr>
        <w:tabs>
          <w:tab w:val="left" w:pos="851"/>
        </w:tabs>
        <w:ind w:left="851" w:hanging="425"/>
      </w:pPr>
      <w:r w:rsidRPr="005F15DA">
        <w:tab/>
        <w:t>Die Errichtung erfolgt schriftlich mit Datum und Unterschrift. Der Widerruf erfolgt nach den Regeln des Vorsorgeauftrags (Art. 371 ZGB).</w:t>
      </w:r>
    </w:p>
    <w:p w:rsidR="00284C4D" w:rsidRPr="005F15DA" w:rsidRDefault="00284C4D" w:rsidP="00284C4D">
      <w:pPr>
        <w:tabs>
          <w:tab w:val="left" w:pos="851"/>
        </w:tabs>
        <w:ind w:left="851" w:hanging="425"/>
      </w:pPr>
    </w:p>
    <w:p w:rsidR="00284C4D" w:rsidRPr="005F15DA" w:rsidRDefault="00284C4D" w:rsidP="00284C4D">
      <w:pPr>
        <w:tabs>
          <w:tab w:val="left" w:pos="851"/>
        </w:tabs>
        <w:ind w:left="851" w:hanging="425"/>
      </w:pPr>
      <w:r w:rsidRPr="005F15DA">
        <w:tab/>
        <w:t>Die Tatsache, dass eine Patientenverfügung erlassen wurde, sowie der Hinterl</w:t>
      </w:r>
      <w:r w:rsidRPr="005F15DA">
        <w:t>e</w:t>
      </w:r>
      <w:r w:rsidRPr="005F15DA">
        <w:t>gungsort, kann auf der Versichertenkarte (Krankenkasse-Versichertenkarte) eing</w:t>
      </w:r>
      <w:r w:rsidRPr="005F15DA">
        <w:t>e</w:t>
      </w:r>
      <w:r w:rsidRPr="005F15DA">
        <w:t>tragen werden (Art. 371 ZGB).</w:t>
      </w:r>
    </w:p>
    <w:p w:rsidR="00284C4D" w:rsidRPr="005F15DA" w:rsidRDefault="00284C4D" w:rsidP="00284C4D">
      <w:pPr>
        <w:tabs>
          <w:tab w:val="left" w:pos="851"/>
        </w:tabs>
        <w:ind w:left="851" w:hanging="425"/>
      </w:pPr>
    </w:p>
    <w:p w:rsidR="00284C4D" w:rsidRPr="005F15DA" w:rsidRDefault="00284C4D" w:rsidP="00284C4D">
      <w:pPr>
        <w:tabs>
          <w:tab w:val="left" w:pos="851"/>
        </w:tabs>
        <w:ind w:left="851" w:hanging="425"/>
      </w:pPr>
      <w:r w:rsidRPr="005F15DA">
        <w:tab/>
        <w:t>Die behandelnden Ärzte müssen die Patientenverfügung respektieren, ausser wenn diese gegen gesetzliche Vorschriften verstösst oder wenn begründete Zweifel best</w:t>
      </w:r>
      <w:r w:rsidRPr="005F15DA">
        <w:t>e</w:t>
      </w:r>
      <w:r w:rsidRPr="005F15DA">
        <w:t>hen, dass sie auf freiem Willen oder doch dem mutmasslichen Willen des Patienten beruht (Art. 372 ZGB).</w:t>
      </w:r>
    </w:p>
    <w:p w:rsidR="00284C4D" w:rsidRPr="005F15DA" w:rsidRDefault="00284C4D" w:rsidP="00284C4D">
      <w:pPr>
        <w:ind w:left="426"/>
      </w:pPr>
    </w:p>
    <w:p w:rsidR="00CA1358" w:rsidRPr="005F15DA" w:rsidRDefault="00CA1358">
      <w:pPr>
        <w:spacing w:after="200"/>
        <w:rPr>
          <w:rFonts w:eastAsiaTheme="majorEastAsia" w:cstheme="majorBidi"/>
          <w:b/>
          <w:bCs/>
          <w:iCs/>
          <w:color w:val="000000" w:themeColor="text1"/>
          <w:sz w:val="24"/>
        </w:rPr>
      </w:pPr>
      <w:r w:rsidRPr="005F15DA">
        <w:br w:type="page"/>
      </w:r>
    </w:p>
    <w:p w:rsidR="00284C4D" w:rsidRPr="005F15DA" w:rsidRDefault="00284C4D" w:rsidP="00284C4D">
      <w:pPr>
        <w:pStyle w:val="berschrift4"/>
      </w:pPr>
      <w:r w:rsidRPr="005F15DA">
        <w:lastRenderedPageBreak/>
        <w:t>2.</w:t>
      </w:r>
      <w:r w:rsidRPr="005F15DA">
        <w:tab/>
        <w:t>Massnahmen von Gesetzes wegen für urteilsunfähige Personen (Art. 374 ff. ZGB)</w:t>
      </w:r>
    </w:p>
    <w:p w:rsidR="00284C4D" w:rsidRPr="005F15DA" w:rsidRDefault="00284C4D" w:rsidP="00284C4D">
      <w:pPr>
        <w:tabs>
          <w:tab w:val="left" w:pos="426"/>
          <w:tab w:val="left" w:pos="851"/>
        </w:tabs>
        <w:ind w:left="426"/>
      </w:pPr>
    </w:p>
    <w:p w:rsidR="00284C4D" w:rsidRPr="005F15DA" w:rsidRDefault="00284C4D" w:rsidP="00284C4D">
      <w:pPr>
        <w:pStyle w:val="berschrift5"/>
      </w:pPr>
      <w:r w:rsidRPr="005F15DA">
        <w:t>a.</w:t>
      </w:r>
      <w:r w:rsidRPr="005F15DA">
        <w:tab/>
        <w:t>Vertretung durch Ehegatten oder eingetragene Partner (Art. 374 ff. ZGB)</w:t>
      </w:r>
    </w:p>
    <w:p w:rsidR="00284C4D" w:rsidRPr="005F15DA" w:rsidRDefault="00284C4D" w:rsidP="00284C4D">
      <w:pPr>
        <w:tabs>
          <w:tab w:val="left" w:pos="426"/>
          <w:tab w:val="left" w:pos="851"/>
        </w:tabs>
        <w:ind w:left="851" w:hanging="425"/>
      </w:pPr>
      <w:r w:rsidRPr="005F15DA">
        <w:tab/>
        <w:t>Ehegatten oder eingetragene Partner haben ein Vertretungsrecht, falls kein Vorso</w:t>
      </w:r>
      <w:r w:rsidRPr="005F15DA">
        <w:t>r</w:t>
      </w:r>
      <w:r w:rsidRPr="005F15DA">
        <w:t xml:space="preserve">geauftrag oder keine Beistandschaft besteht. </w:t>
      </w:r>
    </w:p>
    <w:p w:rsidR="00284C4D" w:rsidRPr="005F15DA" w:rsidRDefault="00284C4D" w:rsidP="00284C4D">
      <w:pPr>
        <w:tabs>
          <w:tab w:val="left" w:pos="426"/>
          <w:tab w:val="left" w:pos="851"/>
        </w:tabs>
        <w:ind w:left="851" w:hanging="425"/>
      </w:pPr>
    </w:p>
    <w:p w:rsidR="00284C4D" w:rsidRPr="005F15DA" w:rsidRDefault="00284C4D" w:rsidP="00284C4D">
      <w:pPr>
        <w:tabs>
          <w:tab w:val="left" w:pos="426"/>
          <w:tab w:val="left" w:pos="851"/>
        </w:tabs>
        <w:ind w:left="851" w:hanging="425"/>
      </w:pPr>
      <w:r w:rsidRPr="005F15DA">
        <w:t xml:space="preserve"> </w:t>
      </w:r>
      <w:r w:rsidRPr="005F15DA">
        <w:tab/>
        <w:t>Dieses Vertretungsrecht umfasst alle Rechtshandlungen zur Deckung des Unte</w:t>
      </w:r>
      <w:r w:rsidRPr="005F15DA">
        <w:t>r</w:t>
      </w:r>
      <w:r w:rsidRPr="005F15DA">
        <w:t>haltsbedarfes, die ordentliche Verwaltung von Einkommen und Vermögen und die Befugnis die Post zu öffnen und zu erledigen.</w:t>
      </w:r>
    </w:p>
    <w:p w:rsidR="00284C4D" w:rsidRPr="005F15DA" w:rsidRDefault="00284C4D" w:rsidP="00284C4D">
      <w:pPr>
        <w:tabs>
          <w:tab w:val="left" w:pos="426"/>
          <w:tab w:val="left" w:pos="851"/>
        </w:tabs>
        <w:ind w:left="851" w:hanging="425"/>
      </w:pPr>
    </w:p>
    <w:p w:rsidR="00284C4D" w:rsidRPr="005F15DA" w:rsidRDefault="00284C4D" w:rsidP="00284C4D">
      <w:pPr>
        <w:tabs>
          <w:tab w:val="left" w:pos="426"/>
          <w:tab w:val="left" w:pos="851"/>
        </w:tabs>
        <w:ind w:left="851" w:hanging="425"/>
      </w:pPr>
      <w:r w:rsidRPr="005F15DA">
        <w:tab/>
        <w:t>Für Rechtshandlungen, welche nicht zur ordentlichen Verwaltung des Vermögens gehören, muss der Vertretungsbefugte die Zustimmung der Erwachsenenschutzb</w:t>
      </w:r>
      <w:r w:rsidRPr="005F15DA">
        <w:t>e</w:t>
      </w:r>
      <w:r w:rsidRPr="005F15DA">
        <w:t xml:space="preserve">hörde einholen. </w:t>
      </w:r>
    </w:p>
    <w:p w:rsidR="00284C4D" w:rsidRPr="005F15DA" w:rsidRDefault="00284C4D" w:rsidP="00284C4D">
      <w:pPr>
        <w:tabs>
          <w:tab w:val="left" w:pos="426"/>
          <w:tab w:val="left" w:pos="851"/>
        </w:tabs>
        <w:ind w:left="426"/>
      </w:pPr>
    </w:p>
    <w:p w:rsidR="00284C4D" w:rsidRPr="005F15DA" w:rsidRDefault="00284C4D" w:rsidP="00284C4D">
      <w:pPr>
        <w:pStyle w:val="berschrift5"/>
      </w:pPr>
      <w:r w:rsidRPr="005F15DA">
        <w:t>b.</w:t>
      </w:r>
      <w:r w:rsidRPr="005F15DA">
        <w:tab/>
        <w:t>Vertretung bei medizinischen Massnahmen (Art. 377 ff. ZGB)</w:t>
      </w:r>
    </w:p>
    <w:p w:rsidR="00284C4D" w:rsidRPr="005F15DA" w:rsidRDefault="00284C4D" w:rsidP="00284C4D">
      <w:pPr>
        <w:tabs>
          <w:tab w:val="left" w:pos="426"/>
          <w:tab w:val="left" w:pos="851"/>
        </w:tabs>
        <w:ind w:left="850" w:hanging="425"/>
      </w:pPr>
      <w:r w:rsidRPr="005F15DA">
        <w:tab/>
        <w:t xml:space="preserve"> </w:t>
      </w:r>
      <w:r w:rsidRPr="005F15DA">
        <w:tab/>
        <w:t>Hat eine urteil</w:t>
      </w:r>
      <w:r w:rsidR="00F931E7">
        <w:t>s</w:t>
      </w:r>
      <w:r w:rsidRPr="005F15DA">
        <w:t>unfähige Person keine Patientenverfügung erlassen, müssen die b</w:t>
      </w:r>
      <w:r w:rsidRPr="005F15DA">
        <w:t>e</w:t>
      </w:r>
      <w:r w:rsidRPr="005F15DA">
        <w:t>handelnden Ärzte die medizinischen Massnahmen zusammen mit einer zur Vertr</w:t>
      </w:r>
      <w:r w:rsidRPr="005F15DA">
        <w:t>e</w:t>
      </w:r>
      <w:r w:rsidRPr="005F15DA">
        <w:t>tung berechtigten Person planen, wobei selbstverständlich die urteilsunfähige Person soweit möglich in die Planung einzubeziehen ist. Zur Vertretung berechtigt sind g</w:t>
      </w:r>
      <w:r w:rsidRPr="005F15DA">
        <w:t>e</w:t>
      </w:r>
      <w:r w:rsidRPr="005F15DA">
        <w:t>mäss Art. 378 ZGB folge</w:t>
      </w:r>
      <w:r w:rsidR="00F931E7">
        <w:t>nde</w:t>
      </w:r>
      <w:r w:rsidRPr="005F15DA">
        <w:t xml:space="preserve"> Personen in der nachstehenden Reihenfolge:</w:t>
      </w:r>
    </w:p>
    <w:p w:rsidR="00284C4D" w:rsidRPr="005F15DA" w:rsidRDefault="00284C4D" w:rsidP="00284C4D">
      <w:pPr>
        <w:tabs>
          <w:tab w:val="left" w:pos="426"/>
          <w:tab w:val="left" w:pos="851"/>
        </w:tabs>
        <w:ind w:left="1276" w:hanging="851"/>
      </w:pPr>
      <w:r w:rsidRPr="005F15DA">
        <w:tab/>
      </w:r>
      <w:r w:rsidRPr="005F15DA">
        <w:tab/>
        <w:t>-</w:t>
      </w:r>
      <w:r w:rsidRPr="005F15DA">
        <w:tab/>
        <w:t>der Beistand mit Vertretungsrecht bei medizinischen Massnahmen;</w:t>
      </w:r>
    </w:p>
    <w:p w:rsidR="00284C4D" w:rsidRPr="005F15DA" w:rsidRDefault="00284C4D" w:rsidP="00284C4D">
      <w:pPr>
        <w:tabs>
          <w:tab w:val="left" w:pos="426"/>
          <w:tab w:val="left" w:pos="851"/>
        </w:tabs>
        <w:ind w:left="1276" w:hanging="851"/>
      </w:pPr>
      <w:r w:rsidRPr="005F15DA">
        <w:tab/>
      </w:r>
      <w:r w:rsidRPr="005F15DA">
        <w:tab/>
        <w:t>-</w:t>
      </w:r>
      <w:r w:rsidRPr="005F15DA">
        <w:tab/>
        <w:t>Ehegatten resp. eingetragene Partner, welche mit der urteilsunfähigen Person in einem gemeinsamen Haushalt leben oder ihr regelmässig und persönlich Be</w:t>
      </w:r>
      <w:r w:rsidRPr="005F15DA">
        <w:t>i</w:t>
      </w:r>
      <w:r w:rsidR="00F931E7">
        <w:t>stand leisten</w:t>
      </w:r>
      <w:r w:rsidRPr="005F15DA">
        <w:t>;</w:t>
      </w:r>
    </w:p>
    <w:p w:rsidR="00284C4D" w:rsidRPr="005F15DA" w:rsidRDefault="00284C4D" w:rsidP="00284C4D">
      <w:pPr>
        <w:tabs>
          <w:tab w:val="left" w:pos="426"/>
          <w:tab w:val="left" w:pos="851"/>
        </w:tabs>
        <w:ind w:left="1276" w:hanging="851"/>
      </w:pPr>
      <w:r w:rsidRPr="005F15DA">
        <w:tab/>
      </w:r>
      <w:r w:rsidRPr="005F15DA">
        <w:tab/>
        <w:t>-</w:t>
      </w:r>
      <w:r w:rsidRPr="005F15DA">
        <w:tab/>
        <w:t>die Person, welche mit der urteilsunfähigen Person in einem gemeinsamen Haushalt lebt oder ihr regelmässig und persönlich Beistand leistet (z.B. Konkub</w:t>
      </w:r>
      <w:r w:rsidRPr="005F15DA">
        <w:t>i</w:t>
      </w:r>
      <w:r w:rsidRPr="005F15DA">
        <w:t>natspartner);</w:t>
      </w:r>
    </w:p>
    <w:p w:rsidR="00284C4D" w:rsidRPr="005F15DA" w:rsidRDefault="00284C4D" w:rsidP="00284C4D">
      <w:pPr>
        <w:tabs>
          <w:tab w:val="left" w:pos="426"/>
          <w:tab w:val="left" w:pos="851"/>
        </w:tabs>
        <w:ind w:left="1276" w:hanging="851"/>
      </w:pPr>
      <w:r w:rsidRPr="005F15DA">
        <w:tab/>
      </w:r>
      <w:r w:rsidRPr="005F15DA">
        <w:tab/>
        <w:t>-</w:t>
      </w:r>
      <w:r w:rsidRPr="005F15DA">
        <w:tab/>
        <w:t>Nachkommen, wenn sie der urteilsunfähigen Person regelmässig und persönlich Beistand leisten;</w:t>
      </w:r>
    </w:p>
    <w:p w:rsidR="00284C4D" w:rsidRPr="005F15DA" w:rsidRDefault="00284C4D" w:rsidP="00284C4D">
      <w:pPr>
        <w:tabs>
          <w:tab w:val="left" w:pos="426"/>
          <w:tab w:val="left" w:pos="851"/>
        </w:tabs>
        <w:ind w:left="1276" w:hanging="851"/>
      </w:pPr>
      <w:r w:rsidRPr="005F15DA">
        <w:tab/>
      </w:r>
      <w:r w:rsidRPr="005F15DA">
        <w:tab/>
        <w:t>-</w:t>
      </w:r>
      <w:r w:rsidRPr="005F15DA">
        <w:tab/>
        <w:t>die Eltern, wenn sie der urteilsunfähigen Person regelmässig und persönlich Beistand leisten;</w:t>
      </w:r>
    </w:p>
    <w:p w:rsidR="00284C4D" w:rsidRPr="005F15DA" w:rsidRDefault="00284C4D" w:rsidP="00284C4D">
      <w:pPr>
        <w:tabs>
          <w:tab w:val="left" w:pos="426"/>
          <w:tab w:val="left" w:pos="851"/>
        </w:tabs>
        <w:ind w:left="1276" w:hanging="851"/>
      </w:pPr>
      <w:r w:rsidRPr="005F15DA">
        <w:tab/>
      </w:r>
      <w:r w:rsidRPr="005F15DA">
        <w:tab/>
        <w:t>-</w:t>
      </w:r>
      <w:r w:rsidRPr="005F15DA">
        <w:tab/>
        <w:t>die Geschwister, wenn sie der urteilsunfähigen Person regelmässig und persö</w:t>
      </w:r>
      <w:r w:rsidRPr="005F15DA">
        <w:t>n</w:t>
      </w:r>
      <w:r w:rsidRPr="005F15DA">
        <w:t>lich Beistand leisten.</w:t>
      </w:r>
    </w:p>
    <w:p w:rsidR="00284C4D" w:rsidRPr="005F15DA" w:rsidRDefault="00284C4D" w:rsidP="00284C4D">
      <w:pPr>
        <w:tabs>
          <w:tab w:val="left" w:pos="426"/>
          <w:tab w:val="left" w:pos="851"/>
        </w:tabs>
        <w:ind w:left="426"/>
      </w:pPr>
    </w:p>
    <w:p w:rsidR="00284C4D" w:rsidRPr="005F15DA" w:rsidRDefault="00284C4D" w:rsidP="00284C4D">
      <w:pPr>
        <w:pStyle w:val="berschrift5"/>
      </w:pPr>
      <w:r w:rsidRPr="005F15DA">
        <w:t>c.</w:t>
      </w:r>
      <w:r w:rsidRPr="005F15DA">
        <w:tab/>
        <w:t>Aufenthalt in Wohn- oder Pflegeeinrichtungen (Art. 382 ff. ZGB)</w:t>
      </w:r>
    </w:p>
    <w:p w:rsidR="00284C4D" w:rsidRPr="005F15DA" w:rsidRDefault="00284C4D" w:rsidP="00284C4D">
      <w:pPr>
        <w:tabs>
          <w:tab w:val="left" w:pos="426"/>
          <w:tab w:val="left" w:pos="851"/>
        </w:tabs>
        <w:ind w:left="850" w:hanging="425"/>
      </w:pPr>
      <w:r w:rsidRPr="005F15DA">
        <w:tab/>
      </w:r>
      <w:r w:rsidRPr="005F15DA">
        <w:tab/>
        <w:t>Wird eine urteilsunfähige Person für längere Dauer in einem Wohn- oder Pflegeheim betreut, muss ein schriftlicher Betreuungsvertrag abgeschlossen werden, welcher festlegt, welche Leistungen die Einrichtung erbringt und welches Entgelt dafür zu b</w:t>
      </w:r>
      <w:r w:rsidRPr="005F15DA">
        <w:t>e</w:t>
      </w:r>
      <w:r w:rsidRPr="005F15DA">
        <w:t>zahlen ist. Die Zuständigkeit zur Vertretung in Bezug auf den Abschluss dieses Ve</w:t>
      </w:r>
      <w:r w:rsidRPr="005F15DA">
        <w:t>r</w:t>
      </w:r>
      <w:r w:rsidRPr="005F15DA">
        <w:t>trages richtet sich nach den Bestimmungen für medizinische Massnahmen.</w:t>
      </w:r>
    </w:p>
    <w:p w:rsidR="00284C4D" w:rsidRPr="005F15DA" w:rsidRDefault="00284C4D" w:rsidP="00284C4D">
      <w:pPr>
        <w:rPr>
          <w:lang w:eastAsia="de-DE"/>
        </w:rPr>
      </w:pPr>
    </w:p>
    <w:p w:rsidR="00CA1358" w:rsidRPr="005F15DA" w:rsidRDefault="00CA1358" w:rsidP="00284C4D">
      <w:pPr>
        <w:rPr>
          <w:lang w:eastAsia="de-DE"/>
        </w:rPr>
      </w:pPr>
    </w:p>
    <w:p w:rsidR="00CA1358" w:rsidRPr="005F15DA" w:rsidRDefault="00CA1358" w:rsidP="00284C4D">
      <w:pPr>
        <w:rPr>
          <w:lang w:eastAsia="de-DE"/>
        </w:rPr>
      </w:pPr>
    </w:p>
    <w:p w:rsidR="00CA1358" w:rsidRPr="005F15DA" w:rsidRDefault="00CA1358">
      <w:pPr>
        <w:spacing w:after="200"/>
        <w:rPr>
          <w:rFonts w:eastAsia="Times New Roman" w:cs="Arial"/>
          <w:b/>
          <w:bCs/>
          <w:color w:val="000000" w:themeColor="text1"/>
          <w:spacing w:val="-7"/>
          <w:sz w:val="28"/>
          <w:szCs w:val="28"/>
          <w:lang w:eastAsia="de-DE"/>
        </w:rPr>
      </w:pPr>
      <w:r w:rsidRPr="005F15DA">
        <w:br w:type="page"/>
      </w:r>
    </w:p>
    <w:p w:rsidR="00284C4D" w:rsidRPr="005F15DA" w:rsidRDefault="00284C4D" w:rsidP="00284C4D">
      <w:pPr>
        <w:pStyle w:val="berschrift3"/>
        <w:rPr>
          <w:lang w:val="de-CH"/>
        </w:rPr>
      </w:pPr>
      <w:bookmarkStart w:id="46" w:name="_Toc432175574"/>
      <w:r w:rsidRPr="005F15DA">
        <w:rPr>
          <w:lang w:val="de-CH"/>
        </w:rPr>
        <w:lastRenderedPageBreak/>
        <w:t>C.</w:t>
      </w:r>
      <w:r w:rsidRPr="005F15DA">
        <w:rPr>
          <w:lang w:val="de-CH"/>
        </w:rPr>
        <w:tab/>
        <w:t>Behördliche Massnahmen (Art. 388 ff. ZGB)</w:t>
      </w:r>
      <w:bookmarkEnd w:id="46"/>
    </w:p>
    <w:p w:rsidR="00284C4D" w:rsidRPr="005F15DA" w:rsidRDefault="00284C4D" w:rsidP="00284C4D"/>
    <w:p w:rsidR="00284C4D" w:rsidRPr="005F15DA" w:rsidRDefault="00284C4D" w:rsidP="00284C4D">
      <w:pPr>
        <w:pStyle w:val="berschrift4"/>
      </w:pPr>
      <w:r w:rsidRPr="005F15DA">
        <w:t>1.</w:t>
      </w:r>
      <w:r w:rsidRPr="005F15DA">
        <w:tab/>
        <w:t>Beistandschaften</w:t>
      </w:r>
    </w:p>
    <w:p w:rsidR="00284C4D" w:rsidRPr="005F15DA" w:rsidRDefault="00284C4D" w:rsidP="00284C4D">
      <w:pPr>
        <w:tabs>
          <w:tab w:val="left" w:pos="426"/>
          <w:tab w:val="left" w:pos="851"/>
          <w:tab w:val="left" w:pos="1276"/>
        </w:tabs>
        <w:ind w:left="426"/>
      </w:pPr>
    </w:p>
    <w:p w:rsidR="00284C4D" w:rsidRPr="005F15DA" w:rsidRDefault="00284C4D" w:rsidP="00284C4D">
      <w:pPr>
        <w:tabs>
          <w:tab w:val="left" w:pos="426"/>
          <w:tab w:val="left" w:pos="851"/>
          <w:tab w:val="left" w:pos="1276"/>
        </w:tabs>
        <w:ind w:left="426"/>
      </w:pPr>
      <w:r w:rsidRPr="005F15DA">
        <w:t>Wenn eine volljährige Person dauernd oder vorübergehend urteilsunfähig ist, wird durch die Erwachsenenschutzbehörde eine Beistandschaft angeordnet. Sie umschreibt die Au</w:t>
      </w:r>
      <w:r w:rsidRPr="005F15DA">
        <w:t>f</w:t>
      </w:r>
      <w:r w:rsidRPr="005F15DA">
        <w:t>gabenbereiche des Beistandes jeweils im Einzelfall entsprechend den Bedürfnissen der betroffenen Person.</w:t>
      </w:r>
    </w:p>
    <w:p w:rsidR="00284C4D" w:rsidRPr="005F15DA" w:rsidRDefault="00284C4D" w:rsidP="00284C4D">
      <w:pPr>
        <w:tabs>
          <w:tab w:val="left" w:pos="426"/>
          <w:tab w:val="left" w:pos="851"/>
          <w:tab w:val="left" w:pos="1276"/>
        </w:tabs>
        <w:ind w:left="426"/>
      </w:pPr>
    </w:p>
    <w:p w:rsidR="00284C4D" w:rsidRPr="005F15DA" w:rsidRDefault="00284C4D" w:rsidP="00284C4D">
      <w:pPr>
        <w:tabs>
          <w:tab w:val="left" w:pos="426"/>
          <w:tab w:val="left" w:pos="851"/>
          <w:tab w:val="left" w:pos="1276"/>
        </w:tabs>
        <w:ind w:left="426"/>
      </w:pPr>
      <w:r w:rsidRPr="005F15DA">
        <w:t>Es bestehen die folgenden Arten von Beistandschaften:</w:t>
      </w:r>
    </w:p>
    <w:p w:rsidR="00284C4D" w:rsidRPr="005F15DA" w:rsidRDefault="00284C4D" w:rsidP="00284C4D">
      <w:pPr>
        <w:tabs>
          <w:tab w:val="left" w:pos="426"/>
          <w:tab w:val="left" w:pos="851"/>
          <w:tab w:val="left" w:pos="1276"/>
        </w:tabs>
        <w:ind w:left="426"/>
      </w:pPr>
    </w:p>
    <w:p w:rsidR="00284C4D" w:rsidRPr="005F15DA" w:rsidRDefault="00284C4D" w:rsidP="00284C4D">
      <w:pPr>
        <w:pStyle w:val="berschrift5"/>
        <w:tabs>
          <w:tab w:val="left" w:pos="426"/>
          <w:tab w:val="left" w:pos="851"/>
          <w:tab w:val="left" w:pos="1276"/>
        </w:tabs>
        <w:ind w:left="426" w:firstLine="0"/>
      </w:pPr>
      <w:r w:rsidRPr="005F15DA">
        <w:t>a.</w:t>
      </w:r>
      <w:r w:rsidRPr="005F15DA">
        <w:tab/>
        <w:t>Begleitbeistandschaft (Art. 393 ZGB)</w:t>
      </w:r>
    </w:p>
    <w:p w:rsidR="00284C4D" w:rsidRPr="005F15DA" w:rsidRDefault="00284C4D" w:rsidP="00284C4D">
      <w:pPr>
        <w:tabs>
          <w:tab w:val="left" w:pos="426"/>
          <w:tab w:val="left" w:pos="851"/>
          <w:tab w:val="left" w:pos="1276"/>
        </w:tabs>
        <w:ind w:left="850" w:hanging="425"/>
      </w:pPr>
      <w:r w:rsidRPr="005F15DA">
        <w:tab/>
      </w:r>
      <w:r w:rsidRPr="005F15DA">
        <w:tab/>
        <w:t>Benötigt eine Person Unterstützung für die Erledigung bestimmter Angelegenheit</w:t>
      </w:r>
      <w:r w:rsidR="00160097">
        <w:t>en, wird mit ihrer Zustimmung</w:t>
      </w:r>
      <w:r w:rsidRPr="005F15DA">
        <w:t xml:space="preserve"> eine Begleitbeistandschaft errichtet. Die Handlungsfähi</w:t>
      </w:r>
      <w:r w:rsidRPr="005F15DA">
        <w:t>g</w:t>
      </w:r>
      <w:r w:rsidRPr="005F15DA">
        <w:t>keit der verbeiständeten Person wird dabei nicht eingeschränkt.</w:t>
      </w:r>
    </w:p>
    <w:p w:rsidR="00284C4D" w:rsidRPr="005F15DA" w:rsidRDefault="00284C4D" w:rsidP="00284C4D">
      <w:pPr>
        <w:tabs>
          <w:tab w:val="left" w:pos="426"/>
          <w:tab w:val="left" w:pos="851"/>
          <w:tab w:val="left" w:pos="1276"/>
        </w:tabs>
        <w:ind w:left="426"/>
      </w:pPr>
    </w:p>
    <w:p w:rsidR="00284C4D" w:rsidRPr="005F15DA" w:rsidRDefault="00284C4D" w:rsidP="00284C4D">
      <w:pPr>
        <w:pStyle w:val="berschrift5"/>
        <w:tabs>
          <w:tab w:val="left" w:pos="426"/>
          <w:tab w:val="left" w:pos="851"/>
          <w:tab w:val="left" w:pos="1276"/>
        </w:tabs>
        <w:ind w:left="426" w:firstLine="0"/>
      </w:pPr>
      <w:r w:rsidRPr="005F15DA">
        <w:t>b.</w:t>
      </w:r>
      <w:r w:rsidRPr="005F15DA">
        <w:tab/>
        <w:t>Vertretungsbeistandschaft (Art. 394, 395 ZGB)</w:t>
      </w:r>
    </w:p>
    <w:p w:rsidR="00284C4D" w:rsidRPr="005F15DA" w:rsidRDefault="00284C4D" w:rsidP="00284C4D">
      <w:pPr>
        <w:tabs>
          <w:tab w:val="left" w:pos="426"/>
          <w:tab w:val="left" w:pos="851"/>
          <w:tab w:val="left" w:pos="1276"/>
        </w:tabs>
        <w:ind w:left="850" w:hanging="425"/>
      </w:pPr>
      <w:r w:rsidRPr="005F15DA">
        <w:tab/>
      </w:r>
      <w:r w:rsidRPr="005F15DA">
        <w:tab/>
        <w:t>Eine Vertretungsbeistandschaft wird errichtet, wenn die hilfsbedürftige Person b</w:t>
      </w:r>
      <w:r w:rsidRPr="005F15DA">
        <w:t>e</w:t>
      </w:r>
      <w:r w:rsidRPr="005F15DA">
        <w:t>stimmte Angelegenheiten nicht selber erledigen kann und deshalb vertreten werden muss. Die Erwachsenenschutzbehörde kann die Handlungsfähigkeit der verbeistä</w:t>
      </w:r>
      <w:r w:rsidRPr="005F15DA">
        <w:t>n</w:t>
      </w:r>
      <w:r w:rsidRPr="005F15DA">
        <w:t>deten Person einschränken, muss aber nicht.</w:t>
      </w:r>
    </w:p>
    <w:p w:rsidR="00284C4D" w:rsidRPr="005F15DA" w:rsidRDefault="00284C4D" w:rsidP="00284C4D">
      <w:pPr>
        <w:tabs>
          <w:tab w:val="left" w:pos="426"/>
          <w:tab w:val="left" w:pos="851"/>
          <w:tab w:val="left" w:pos="1276"/>
        </w:tabs>
        <w:ind w:left="850" w:hanging="425"/>
      </w:pPr>
    </w:p>
    <w:p w:rsidR="00284C4D" w:rsidRPr="005F15DA" w:rsidRDefault="00284C4D" w:rsidP="00284C4D">
      <w:pPr>
        <w:tabs>
          <w:tab w:val="left" w:pos="426"/>
          <w:tab w:val="left" w:pos="851"/>
          <w:tab w:val="left" w:pos="1276"/>
        </w:tabs>
        <w:ind w:left="850" w:hanging="425"/>
      </w:pPr>
      <w:r w:rsidRPr="005F15DA">
        <w:tab/>
      </w:r>
      <w:r w:rsidRPr="005F15DA">
        <w:tab/>
        <w:t>Wird die Vertretungsbeistandschaft für die Verwaltung eines Vermögens errichtet, bezeichnet die Erwachsenenschutzbehörde die Vermögenswerte, welche vom Be</w:t>
      </w:r>
      <w:r w:rsidRPr="005F15DA">
        <w:t>i</w:t>
      </w:r>
      <w:r w:rsidRPr="005F15DA">
        <w:t>stand zu verwalten sind. Sie kann die Verwaltung des gesamten Einkommens und Vermögens verfügen, kann sich aber auch auf Teile davon beschränken. Auch hier kann die Handlungsfähigkeit des Verbeiständeten eingeschränkt werden, die Behö</w:t>
      </w:r>
      <w:r w:rsidRPr="005F15DA">
        <w:t>r</w:t>
      </w:r>
      <w:r w:rsidRPr="005F15DA">
        <w:t>de hat aber auch die Möglichkeit, das Recht des Verbeiständeten auf den Zugriff auf einzelne Vermögenswerte zu entziehen. Betrifft dies ein Grundstück, wird dies im Grundbuch angemerkt.</w:t>
      </w:r>
    </w:p>
    <w:p w:rsidR="00284C4D" w:rsidRPr="005F15DA" w:rsidRDefault="00284C4D" w:rsidP="00284C4D">
      <w:pPr>
        <w:tabs>
          <w:tab w:val="left" w:pos="426"/>
          <w:tab w:val="left" w:pos="851"/>
          <w:tab w:val="left" w:pos="1276"/>
        </w:tabs>
        <w:ind w:left="426"/>
      </w:pPr>
    </w:p>
    <w:p w:rsidR="00284C4D" w:rsidRPr="005F15DA" w:rsidRDefault="00284C4D" w:rsidP="00284C4D">
      <w:pPr>
        <w:pStyle w:val="berschrift5"/>
        <w:tabs>
          <w:tab w:val="left" w:pos="426"/>
          <w:tab w:val="left" w:pos="851"/>
          <w:tab w:val="left" w:pos="1276"/>
        </w:tabs>
        <w:ind w:left="426" w:firstLine="0"/>
      </w:pPr>
      <w:r w:rsidRPr="005F15DA">
        <w:t>c.</w:t>
      </w:r>
      <w:r w:rsidRPr="005F15DA">
        <w:tab/>
        <w:t>Mitwirkungsbeistandschaft (Art. 396 ZGB)</w:t>
      </w:r>
    </w:p>
    <w:p w:rsidR="00284C4D" w:rsidRPr="005F15DA" w:rsidRDefault="00284C4D" w:rsidP="00284C4D">
      <w:pPr>
        <w:tabs>
          <w:tab w:val="left" w:pos="426"/>
          <w:tab w:val="left" w:pos="851"/>
          <w:tab w:val="left" w:pos="1276"/>
        </w:tabs>
        <w:ind w:left="850" w:hanging="425"/>
      </w:pPr>
      <w:r w:rsidRPr="005F15DA">
        <w:tab/>
        <w:t xml:space="preserve"> </w:t>
      </w:r>
      <w:r w:rsidRPr="005F15DA">
        <w:tab/>
        <w:t>Sofern bestimmte Handlungen der hilfsbedürftigen Person zu deren Schutz der Z</w:t>
      </w:r>
      <w:r w:rsidRPr="005F15DA">
        <w:t>u</w:t>
      </w:r>
      <w:r w:rsidRPr="005F15DA">
        <w:t>stimmung des Beistandes bedürfen, wird eine Mitwirkungsbeistandschaft errichtet. In Bezug auf die Geschäfte, für welche der Mitwirkungsbeistand eingesetzt wird, ist die</w:t>
      </w:r>
      <w:r w:rsidRPr="005F15DA">
        <w:tab/>
        <w:t>Handlungsfähigkeit des Verbeiständeten von Gesetzes wegen eingeschränkt.</w:t>
      </w:r>
    </w:p>
    <w:p w:rsidR="00284C4D" w:rsidRPr="005F15DA" w:rsidRDefault="00284C4D" w:rsidP="00284C4D">
      <w:pPr>
        <w:tabs>
          <w:tab w:val="left" w:pos="426"/>
          <w:tab w:val="left" w:pos="851"/>
          <w:tab w:val="left" w:pos="1276"/>
        </w:tabs>
        <w:ind w:left="426"/>
      </w:pPr>
    </w:p>
    <w:p w:rsidR="00284C4D" w:rsidRPr="005F15DA" w:rsidRDefault="00284C4D" w:rsidP="00284C4D">
      <w:pPr>
        <w:pStyle w:val="berschrift5"/>
        <w:tabs>
          <w:tab w:val="left" w:pos="426"/>
          <w:tab w:val="left" w:pos="851"/>
          <w:tab w:val="left" w:pos="1276"/>
        </w:tabs>
        <w:ind w:left="426" w:firstLine="0"/>
      </w:pPr>
      <w:r w:rsidRPr="005F15DA">
        <w:t>d.</w:t>
      </w:r>
      <w:r w:rsidRPr="005F15DA">
        <w:tab/>
        <w:t>Kombination von Beistandschaften (Art. 397 ZGB)</w:t>
      </w:r>
    </w:p>
    <w:p w:rsidR="00284C4D" w:rsidRPr="005F15DA" w:rsidRDefault="00284C4D" w:rsidP="00284C4D">
      <w:pPr>
        <w:tabs>
          <w:tab w:val="left" w:pos="426"/>
          <w:tab w:val="left" w:pos="851"/>
          <w:tab w:val="left" w:pos="1276"/>
        </w:tabs>
        <w:ind w:left="426"/>
      </w:pPr>
      <w:r w:rsidRPr="005F15DA">
        <w:tab/>
        <w:t>Alle drei bisher genannten Beistandschaftsarten können kombiniert werden.</w:t>
      </w:r>
    </w:p>
    <w:p w:rsidR="00284C4D" w:rsidRPr="005F15DA" w:rsidRDefault="00284C4D" w:rsidP="00284C4D">
      <w:pPr>
        <w:tabs>
          <w:tab w:val="left" w:pos="426"/>
          <w:tab w:val="left" w:pos="851"/>
          <w:tab w:val="left" w:pos="1276"/>
        </w:tabs>
        <w:ind w:left="426"/>
      </w:pPr>
    </w:p>
    <w:p w:rsidR="00284C4D" w:rsidRPr="005F15DA" w:rsidRDefault="00284C4D" w:rsidP="00284C4D">
      <w:pPr>
        <w:pStyle w:val="berschrift5"/>
        <w:tabs>
          <w:tab w:val="left" w:pos="426"/>
          <w:tab w:val="left" w:pos="851"/>
          <w:tab w:val="left" w:pos="1276"/>
        </w:tabs>
        <w:ind w:left="426" w:firstLine="0"/>
      </w:pPr>
      <w:r w:rsidRPr="005F15DA">
        <w:t>e.</w:t>
      </w:r>
      <w:r w:rsidRPr="005F15DA">
        <w:tab/>
        <w:t>Umfassende Beistandschaft (Art. 398 ZGB)</w:t>
      </w:r>
    </w:p>
    <w:p w:rsidR="00284C4D" w:rsidRPr="005F15DA" w:rsidRDefault="00284C4D" w:rsidP="00284C4D">
      <w:pPr>
        <w:tabs>
          <w:tab w:val="left" w:pos="426"/>
          <w:tab w:val="left" w:pos="851"/>
          <w:tab w:val="left" w:pos="1276"/>
        </w:tabs>
        <w:ind w:left="850" w:hanging="425"/>
      </w:pPr>
      <w:r w:rsidRPr="005F15DA">
        <w:tab/>
      </w:r>
      <w:r w:rsidRPr="005F15DA">
        <w:tab/>
        <w:t>Eine umfassende Be</w:t>
      </w:r>
      <w:r w:rsidR="00CA1358" w:rsidRPr="005F15DA">
        <w:t>i</w:t>
      </w:r>
      <w:r w:rsidRPr="005F15DA">
        <w:t>standschaft wird errichtet, wenn eine Person wegen dauernder Urteilsunfähigkeit besonders hilfsbedürftig ist. Die umfassende Beistandschaft b</w:t>
      </w:r>
      <w:r w:rsidRPr="005F15DA">
        <w:t>e</w:t>
      </w:r>
      <w:r w:rsidRPr="005F15DA">
        <w:t>zieht sich auf alle An</w:t>
      </w:r>
      <w:r w:rsidR="00CA1358" w:rsidRPr="005F15DA">
        <w:t>ge</w:t>
      </w:r>
      <w:r w:rsidRPr="005F15DA">
        <w:t>legenheiten des Verbeiständeten (Personen- und Verm</w:t>
      </w:r>
      <w:r w:rsidRPr="005F15DA">
        <w:t>ö</w:t>
      </w:r>
      <w:r w:rsidRPr="005F15DA">
        <w:t>gens-Sorge, im Rechtsverkehr). Die Handlungsfähigkeit des Verbeiständeten entfällt von Gesetzes wegen.</w:t>
      </w:r>
    </w:p>
    <w:p w:rsidR="00284C4D" w:rsidRPr="005F15DA" w:rsidRDefault="00284C4D" w:rsidP="00284C4D">
      <w:pPr>
        <w:pStyle w:val="berschrift3"/>
        <w:rPr>
          <w:lang w:val="de-CH"/>
        </w:rPr>
      </w:pPr>
      <w:bookmarkStart w:id="47" w:name="_Toc432175575"/>
      <w:r w:rsidRPr="005F15DA">
        <w:rPr>
          <w:lang w:val="de-CH"/>
        </w:rPr>
        <w:lastRenderedPageBreak/>
        <w:t>D.</w:t>
      </w:r>
      <w:r w:rsidRPr="005F15DA">
        <w:rPr>
          <w:lang w:val="de-CH"/>
        </w:rPr>
        <w:tab/>
        <w:t>Fürsorgerische Unterbringung (Art. 426 ZGB)</w:t>
      </w:r>
      <w:bookmarkEnd w:id="47"/>
    </w:p>
    <w:p w:rsidR="00284C4D" w:rsidRPr="005F15DA" w:rsidRDefault="00284C4D" w:rsidP="00284C4D">
      <w:pPr>
        <w:rPr>
          <w:lang w:eastAsia="de-DE"/>
        </w:rPr>
      </w:pPr>
    </w:p>
    <w:p w:rsidR="00284C4D" w:rsidRPr="005F15DA" w:rsidRDefault="00284C4D" w:rsidP="00284C4D">
      <w:pPr>
        <w:rPr>
          <w:lang w:eastAsia="de-DE"/>
        </w:rPr>
      </w:pPr>
      <w:r w:rsidRPr="005F15DA">
        <w:rPr>
          <w:lang w:eastAsia="de-DE"/>
        </w:rPr>
        <w:t>Eine Person, die an einer psychischen Störung oder an geistiger Behinderung leidet oder schwer verwahrlost ist, darf in einer geeigneten Einrichtung untergebracht werden, wenn die nötige Behandlung oder Betreuung nicht anders erfolgen kann.</w:t>
      </w:r>
    </w:p>
    <w:p w:rsidR="00284C4D" w:rsidRPr="005F15DA" w:rsidRDefault="00284C4D" w:rsidP="00284C4D">
      <w:pPr>
        <w:rPr>
          <w:lang w:eastAsia="de-DE"/>
        </w:rPr>
      </w:pPr>
    </w:p>
    <w:p w:rsidR="00284C4D" w:rsidRPr="005F15DA" w:rsidRDefault="00284C4D" w:rsidP="00284C4D">
      <w:pPr>
        <w:rPr>
          <w:lang w:eastAsia="de-DE"/>
        </w:rPr>
      </w:pPr>
      <w:r w:rsidRPr="005F15DA">
        <w:rPr>
          <w:lang w:eastAsia="de-DE"/>
        </w:rPr>
        <w:t>Diese Massnahme kann entweder von der Erwachsenenschutzbehörde oder von, vom jewe</w:t>
      </w:r>
      <w:r w:rsidRPr="005F15DA">
        <w:rPr>
          <w:lang w:eastAsia="de-DE"/>
        </w:rPr>
        <w:t>i</w:t>
      </w:r>
      <w:r w:rsidRPr="005F15DA">
        <w:rPr>
          <w:lang w:eastAsia="de-DE"/>
        </w:rPr>
        <w:t>ligen Kanton bezeichneten, Ärzten angeordnet werden. Die Dauer der fürsorgerischen Unte</w:t>
      </w:r>
      <w:r w:rsidRPr="005F15DA">
        <w:rPr>
          <w:lang w:eastAsia="de-DE"/>
        </w:rPr>
        <w:t>r</w:t>
      </w:r>
      <w:r w:rsidRPr="005F15DA">
        <w:rPr>
          <w:lang w:eastAsia="de-DE"/>
        </w:rPr>
        <w:t>bringung durch einen Arzt darf die Dauer von sechs Wochen aber nicht überschreiten. Soll die Massnahme nach dieser Zeit weitergeführt werden, muss ein Entscheid der Erwachsene</w:t>
      </w:r>
      <w:r w:rsidRPr="005F15DA">
        <w:rPr>
          <w:lang w:eastAsia="de-DE"/>
        </w:rPr>
        <w:t>n</w:t>
      </w:r>
      <w:r w:rsidRPr="005F15DA">
        <w:rPr>
          <w:lang w:eastAsia="de-DE"/>
        </w:rPr>
        <w:t>schutzbehörde vorliegen. Die Massnahme ist spätestens nach sechs Monaten zu überprüfen.</w:t>
      </w:r>
    </w:p>
    <w:p w:rsidR="00284C4D" w:rsidRPr="005F15DA" w:rsidRDefault="00284C4D" w:rsidP="00284C4D"/>
    <w:p w:rsidR="00CA1358" w:rsidRPr="005F15DA" w:rsidRDefault="00CA1358" w:rsidP="00284C4D"/>
    <w:p w:rsidR="00284C4D" w:rsidRPr="005F15DA" w:rsidRDefault="00284C4D" w:rsidP="00284C4D">
      <w:pPr>
        <w:pStyle w:val="berschrift3"/>
        <w:rPr>
          <w:lang w:val="de-CH"/>
        </w:rPr>
      </w:pPr>
      <w:bookmarkStart w:id="48" w:name="_Toc432175576"/>
      <w:r w:rsidRPr="005F15DA">
        <w:rPr>
          <w:lang w:val="de-CH"/>
        </w:rPr>
        <w:t>E.</w:t>
      </w:r>
      <w:r w:rsidRPr="005F15DA">
        <w:rPr>
          <w:lang w:val="de-CH"/>
        </w:rPr>
        <w:tab/>
        <w:t>Organisation und Zuständigkeiten (Art. 440 ff. ZGB)</w:t>
      </w:r>
      <w:bookmarkEnd w:id="48"/>
    </w:p>
    <w:p w:rsidR="00284C4D" w:rsidRPr="005F15DA" w:rsidRDefault="00284C4D" w:rsidP="00284C4D"/>
    <w:p w:rsidR="00284C4D" w:rsidRPr="005F15DA" w:rsidRDefault="00284C4D" w:rsidP="00284C4D">
      <w:r w:rsidRPr="005F15DA">
        <w:t>Die Organisation der Erwachsenschutzbehörde obliegt den Kantonen.</w:t>
      </w:r>
    </w:p>
    <w:p w:rsidR="00284C4D" w:rsidRPr="005F15DA" w:rsidRDefault="00284C4D" w:rsidP="00284C4D"/>
    <w:p w:rsidR="00284C4D" w:rsidRPr="005F15DA" w:rsidRDefault="00284C4D" w:rsidP="00284C4D">
      <w:r w:rsidRPr="005F15DA">
        <w:t>Zuständig für den Erlass von Erwachsenenschutzmassnahmen ist grundsätzlich die zuständ</w:t>
      </w:r>
      <w:r w:rsidRPr="005F15DA">
        <w:t>i</w:t>
      </w:r>
      <w:r w:rsidRPr="005F15DA">
        <w:t>ge Behörde am Wohnsitz der betroffenen Person. In dringenden Fällen kann auch die Behö</w:t>
      </w:r>
      <w:r w:rsidRPr="005F15DA">
        <w:t>r</w:t>
      </w:r>
      <w:r w:rsidRPr="005F15DA">
        <w:t>de am aktuellen Aufenthaltsort der betroffenen Person Massnahmen verfügen, sie hat die Behörde am Wohnsitz jedoch zu informieren.</w:t>
      </w:r>
    </w:p>
    <w:p w:rsidR="00F93E94" w:rsidRPr="005F15DA" w:rsidRDefault="00F93E94" w:rsidP="0046410C"/>
    <w:p w:rsidR="00F93E94" w:rsidRPr="005F15DA" w:rsidRDefault="00F93E94" w:rsidP="0046410C"/>
    <w:p w:rsidR="00F001AD" w:rsidRPr="005F15DA" w:rsidRDefault="00F001AD" w:rsidP="0046410C"/>
    <w:p w:rsidR="005D70F9" w:rsidRPr="005F15DA" w:rsidRDefault="005D70F9" w:rsidP="005D70F9">
      <w:pPr>
        <w:pStyle w:val="berschrift1"/>
        <w:spacing w:before="0"/>
        <w:rPr>
          <w:b w:val="0"/>
          <w:sz w:val="22"/>
          <w:szCs w:val="22"/>
        </w:rPr>
      </w:pPr>
      <w:r w:rsidRPr="005F15DA">
        <w:rPr>
          <w:b w:val="0"/>
          <w:spacing w:val="-1"/>
          <w:sz w:val="22"/>
          <w:szCs w:val="22"/>
        </w:rPr>
        <w:br w:type="page"/>
      </w:r>
    </w:p>
    <w:p w:rsidR="005D70F9" w:rsidRPr="005F15DA" w:rsidRDefault="005D70F9" w:rsidP="001F15CC">
      <w:pPr>
        <w:pStyle w:val="berschrift1"/>
        <w:spacing w:before="0"/>
      </w:pPr>
      <w:bookmarkStart w:id="49" w:name="_Toc432175577"/>
      <w:r w:rsidRPr="005F15DA">
        <w:rPr>
          <w:w w:val="114"/>
        </w:rPr>
        <w:lastRenderedPageBreak/>
        <w:t>Erbrecht</w:t>
      </w:r>
      <w:bookmarkEnd w:id="49"/>
    </w:p>
    <w:p w:rsidR="0096212C" w:rsidRPr="005F15DA" w:rsidRDefault="0096212C" w:rsidP="00B438E5">
      <w:r w:rsidRPr="005F15DA">
        <w:t>________________________</w:t>
      </w:r>
      <w:r w:rsidR="00B438E5">
        <w:t>________________</w:t>
      </w:r>
      <w:r w:rsidRPr="005F15DA">
        <w:t>__________________________________</w:t>
      </w:r>
    </w:p>
    <w:p w:rsidR="00B11D0F" w:rsidRPr="005F15DA" w:rsidRDefault="00B11D0F" w:rsidP="004A52C6"/>
    <w:p w:rsidR="004A52C6" w:rsidRPr="005F15DA" w:rsidRDefault="004A52C6" w:rsidP="004A52C6"/>
    <w:p w:rsidR="005D70F9" w:rsidRPr="005F15DA" w:rsidRDefault="005B0AC0" w:rsidP="00E36E8F">
      <w:pPr>
        <w:pStyle w:val="berschrift2"/>
      </w:pPr>
      <w:bookmarkStart w:id="50" w:name="_Toc432175578"/>
      <w:r w:rsidRPr="005F15DA">
        <w:t xml:space="preserve">I. </w:t>
      </w:r>
      <w:r w:rsidR="005D70F9" w:rsidRPr="005F15DA">
        <w:t>Einleitung</w:t>
      </w:r>
      <w:bookmarkEnd w:id="50"/>
    </w:p>
    <w:p w:rsidR="0011211F" w:rsidRDefault="0011211F" w:rsidP="00C40159">
      <w:pPr>
        <w:tabs>
          <w:tab w:val="left" w:pos="1701"/>
        </w:tabs>
      </w:pPr>
      <w:r>
        <w:t>_______________</w:t>
      </w:r>
    </w:p>
    <w:p w:rsidR="0011211F" w:rsidRDefault="0011211F" w:rsidP="00C40159">
      <w:pPr>
        <w:tabs>
          <w:tab w:val="left" w:pos="1701"/>
        </w:tabs>
      </w:pPr>
    </w:p>
    <w:p w:rsidR="005D70F9" w:rsidRPr="005F15DA" w:rsidRDefault="005D70F9" w:rsidP="00C40159">
      <w:pPr>
        <w:tabs>
          <w:tab w:val="left" w:pos="1701"/>
        </w:tabs>
      </w:pPr>
      <w:r w:rsidRPr="005F15DA">
        <w:t>Das Erbrecht behandelt die Vermögensnachfolge beim Tod einer Person. Es ist in 2 Abteilu</w:t>
      </w:r>
      <w:r w:rsidRPr="005F15DA">
        <w:t>n</w:t>
      </w:r>
      <w:r w:rsidRPr="005F15DA">
        <w:t>gen gegliedert:</w:t>
      </w:r>
    </w:p>
    <w:p w:rsidR="00C40159" w:rsidRPr="005F15DA" w:rsidRDefault="00C40159" w:rsidP="00C40159">
      <w:pPr>
        <w:tabs>
          <w:tab w:val="left" w:pos="1701"/>
        </w:tabs>
      </w:pPr>
    </w:p>
    <w:p w:rsidR="005D70F9" w:rsidRPr="005F15DA" w:rsidRDefault="005D70F9" w:rsidP="00C40159">
      <w:pPr>
        <w:tabs>
          <w:tab w:val="left" w:pos="1701"/>
        </w:tabs>
      </w:pPr>
      <w:r w:rsidRPr="005F15DA">
        <w:t>1. Abteilung:</w:t>
      </w:r>
      <w:r w:rsidRPr="005F15DA">
        <w:tab/>
        <w:t>Die Erben (Art. 457 ff. ZGB)</w:t>
      </w:r>
    </w:p>
    <w:p w:rsidR="005D70F9" w:rsidRPr="005F15DA" w:rsidRDefault="005D70F9" w:rsidP="00C40159">
      <w:pPr>
        <w:tabs>
          <w:tab w:val="left" w:pos="1701"/>
        </w:tabs>
      </w:pPr>
      <w:r w:rsidRPr="005F15DA">
        <w:tab/>
        <w:t>(Gesetzliche Erben, Verfügungen von Todes wegen)</w:t>
      </w:r>
    </w:p>
    <w:p w:rsidR="005D70F9" w:rsidRPr="005F15DA" w:rsidRDefault="005D70F9" w:rsidP="00C40159">
      <w:pPr>
        <w:tabs>
          <w:tab w:val="left" w:pos="1701"/>
        </w:tabs>
      </w:pPr>
      <w:r w:rsidRPr="005F15DA">
        <w:t>2. Abteilung:</w:t>
      </w:r>
      <w:r w:rsidRPr="005F15DA">
        <w:tab/>
        <w:t>Der Erbgang (Art. 537 ff. ZGB)</w:t>
      </w:r>
    </w:p>
    <w:p w:rsidR="005D70F9" w:rsidRPr="005F15DA" w:rsidRDefault="005D70F9" w:rsidP="00C40159">
      <w:pPr>
        <w:tabs>
          <w:tab w:val="left" w:pos="1701"/>
        </w:tabs>
        <w:ind w:left="1701" w:hanging="1701"/>
      </w:pPr>
      <w:r w:rsidRPr="005F15DA">
        <w:tab/>
        <w:t>(Eröffnung des Erbganges, Wirkungen des Erbganges, Teilung der Er</w:t>
      </w:r>
      <w:r w:rsidRPr="005F15DA">
        <w:t>b</w:t>
      </w:r>
      <w:r w:rsidRPr="005F15DA">
        <w:t>schaft.</w:t>
      </w:r>
    </w:p>
    <w:p w:rsidR="00E40D09" w:rsidRPr="005F15DA" w:rsidRDefault="00E40D09" w:rsidP="00C40159">
      <w:pPr>
        <w:tabs>
          <w:tab w:val="left" w:pos="1701"/>
        </w:tabs>
      </w:pPr>
    </w:p>
    <w:p w:rsidR="00E40D09" w:rsidRPr="005F15DA" w:rsidRDefault="00E40D09" w:rsidP="00C40159">
      <w:pPr>
        <w:tabs>
          <w:tab w:val="left" w:pos="1701"/>
        </w:tabs>
      </w:pPr>
    </w:p>
    <w:p w:rsidR="005D70F9" w:rsidRPr="005F15DA" w:rsidRDefault="005D70F9" w:rsidP="005759BE">
      <w:pPr>
        <w:pStyle w:val="berschrift3"/>
        <w:rPr>
          <w:lang w:val="de-CH"/>
        </w:rPr>
      </w:pPr>
      <w:bookmarkStart w:id="51" w:name="_Toc432175579"/>
      <w:r w:rsidRPr="005F15DA">
        <w:rPr>
          <w:spacing w:val="-17"/>
          <w:lang w:val="de-CH"/>
        </w:rPr>
        <w:t>A.</w:t>
      </w:r>
      <w:r w:rsidRPr="005F15DA">
        <w:rPr>
          <w:lang w:val="de-CH"/>
        </w:rPr>
        <w:tab/>
        <w:t>Begriffe</w:t>
      </w:r>
      <w:bookmarkEnd w:id="51"/>
    </w:p>
    <w:p w:rsidR="00402A15" w:rsidRPr="005F15DA" w:rsidRDefault="00402A15" w:rsidP="00C40159">
      <w:pPr>
        <w:tabs>
          <w:tab w:val="left" w:pos="3402"/>
        </w:tabs>
      </w:pPr>
    </w:p>
    <w:p w:rsidR="005D70F9" w:rsidRPr="005F15DA" w:rsidRDefault="005D70F9" w:rsidP="00C40159">
      <w:pPr>
        <w:tabs>
          <w:tab w:val="left" w:pos="3402"/>
        </w:tabs>
      </w:pPr>
      <w:r w:rsidRPr="005F15DA">
        <w:t>Erblasser:</w:t>
      </w:r>
      <w:r w:rsidRPr="005F15DA">
        <w:tab/>
        <w:t>Der Verstorbene</w:t>
      </w:r>
    </w:p>
    <w:p w:rsidR="00C40159" w:rsidRPr="005F15DA" w:rsidRDefault="00C40159" w:rsidP="00C40159">
      <w:pPr>
        <w:tabs>
          <w:tab w:val="left" w:pos="3402"/>
        </w:tabs>
      </w:pPr>
    </w:p>
    <w:p w:rsidR="005D70F9" w:rsidRPr="005F15DA" w:rsidRDefault="005D70F9" w:rsidP="00C40159">
      <w:pPr>
        <w:tabs>
          <w:tab w:val="left" w:pos="3402"/>
        </w:tabs>
      </w:pPr>
      <w:r w:rsidRPr="005F15DA">
        <w:t>Erben:</w:t>
      </w:r>
      <w:r w:rsidRPr="005F15DA">
        <w:tab/>
        <w:t>Die Personen, welche die Erbschaft antreten können</w:t>
      </w:r>
    </w:p>
    <w:p w:rsidR="00C40159" w:rsidRPr="005F15DA" w:rsidRDefault="00C40159" w:rsidP="00C40159">
      <w:pPr>
        <w:tabs>
          <w:tab w:val="left" w:pos="3402"/>
        </w:tabs>
      </w:pPr>
    </w:p>
    <w:p w:rsidR="005D70F9" w:rsidRPr="005F15DA" w:rsidRDefault="005D70F9" w:rsidP="00C40159">
      <w:pPr>
        <w:tabs>
          <w:tab w:val="left" w:pos="3402"/>
        </w:tabs>
      </w:pPr>
      <w:r w:rsidRPr="005F15DA">
        <w:t>Erbfolge:</w:t>
      </w:r>
      <w:r w:rsidRPr="005F15DA">
        <w:tab/>
        <w:t>Reihenfolge der Erbberechtigung</w:t>
      </w:r>
    </w:p>
    <w:p w:rsidR="00C40159" w:rsidRPr="005F15DA" w:rsidRDefault="00C40159" w:rsidP="00C40159">
      <w:pPr>
        <w:tabs>
          <w:tab w:val="left" w:pos="3402"/>
        </w:tabs>
      </w:pPr>
    </w:p>
    <w:p w:rsidR="005D70F9" w:rsidRPr="005F15DA" w:rsidRDefault="005D70F9" w:rsidP="00C40159">
      <w:pPr>
        <w:tabs>
          <w:tab w:val="left" w:pos="3402"/>
        </w:tabs>
        <w:ind w:left="3402" w:hanging="3402"/>
      </w:pPr>
      <w:r w:rsidRPr="005F15DA">
        <w:t>Erbschaft/Erbmasse/Nachlass:</w:t>
      </w:r>
      <w:r w:rsidRPr="005F15DA">
        <w:tab/>
        <w:t>Alles, was eine Person bei ihrem Tode an Vermögenswe</w:t>
      </w:r>
      <w:r w:rsidRPr="005F15DA">
        <w:t>r</w:t>
      </w:r>
      <w:r w:rsidRPr="005F15DA">
        <w:t>ten und Schulden hinterlässt</w:t>
      </w:r>
    </w:p>
    <w:p w:rsidR="00C40159" w:rsidRPr="005F15DA" w:rsidRDefault="00C40159" w:rsidP="00C40159">
      <w:pPr>
        <w:tabs>
          <w:tab w:val="left" w:pos="3402"/>
        </w:tabs>
      </w:pPr>
    </w:p>
    <w:p w:rsidR="005D70F9" w:rsidRPr="005F15DA" w:rsidRDefault="005D70F9" w:rsidP="00C40159">
      <w:pPr>
        <w:tabs>
          <w:tab w:val="left" w:pos="3402"/>
        </w:tabs>
        <w:ind w:left="3402" w:hanging="3402"/>
      </w:pPr>
      <w:r w:rsidRPr="005F15DA">
        <w:t>Universalsukzession:</w:t>
      </w:r>
      <w:r w:rsidRPr="005F15DA">
        <w:tab/>
        <w:t>Übergang des gesamten Vermögens des Erblassers (Akt</w:t>
      </w:r>
      <w:r w:rsidRPr="005F15DA">
        <w:t>i</w:t>
      </w:r>
      <w:r w:rsidRPr="005F15DA">
        <w:t>ven und Passiven) im Todeszeitpunkt auf die Erben</w:t>
      </w:r>
    </w:p>
    <w:p w:rsidR="00C40159" w:rsidRPr="005F15DA" w:rsidRDefault="00C40159" w:rsidP="00C40159">
      <w:pPr>
        <w:tabs>
          <w:tab w:val="left" w:pos="3402"/>
        </w:tabs>
      </w:pPr>
    </w:p>
    <w:p w:rsidR="005D70F9" w:rsidRPr="005F15DA" w:rsidRDefault="005D70F9" w:rsidP="00C40159">
      <w:pPr>
        <w:tabs>
          <w:tab w:val="left" w:pos="3402"/>
        </w:tabs>
        <w:ind w:left="3402" w:hanging="3402"/>
      </w:pPr>
      <w:r w:rsidRPr="005F15DA">
        <w:t>Verfügungen von Todes wegen:</w:t>
      </w:r>
      <w:r w:rsidRPr="005F15DA">
        <w:tab/>
        <w:t>Testamente (oder letztwillige Verfügungen) und Erbvertr</w:t>
      </w:r>
      <w:r w:rsidRPr="005F15DA">
        <w:t>ä</w:t>
      </w:r>
      <w:r w:rsidRPr="005F15DA">
        <w:t>ge</w:t>
      </w:r>
    </w:p>
    <w:p w:rsidR="00E40D09" w:rsidRPr="005F15DA" w:rsidRDefault="00E40D09" w:rsidP="00C40159">
      <w:pPr>
        <w:tabs>
          <w:tab w:val="left" w:pos="3402"/>
        </w:tabs>
      </w:pPr>
    </w:p>
    <w:p w:rsidR="00E40D09" w:rsidRPr="005F15DA" w:rsidRDefault="00E40D09" w:rsidP="00C40159">
      <w:pPr>
        <w:tabs>
          <w:tab w:val="left" w:pos="3402"/>
        </w:tabs>
      </w:pPr>
    </w:p>
    <w:p w:rsidR="005D70F9" w:rsidRPr="005F15DA" w:rsidRDefault="005D70F9" w:rsidP="005759BE">
      <w:pPr>
        <w:pStyle w:val="berschrift3"/>
        <w:rPr>
          <w:lang w:val="de-CH"/>
        </w:rPr>
      </w:pPr>
      <w:bookmarkStart w:id="52" w:name="_Toc432175580"/>
      <w:r w:rsidRPr="005F15DA">
        <w:rPr>
          <w:spacing w:val="-24"/>
          <w:lang w:val="de-CH"/>
        </w:rPr>
        <w:t>B.</w:t>
      </w:r>
      <w:r w:rsidRPr="005F15DA">
        <w:rPr>
          <w:lang w:val="de-CH"/>
        </w:rPr>
        <w:tab/>
        <w:t>Grundsätze</w:t>
      </w:r>
      <w:bookmarkEnd w:id="52"/>
    </w:p>
    <w:p w:rsidR="00402A15" w:rsidRPr="005F15DA" w:rsidRDefault="00402A15" w:rsidP="00402A15"/>
    <w:p w:rsidR="005D70F9" w:rsidRPr="005F15DA" w:rsidRDefault="005D70F9" w:rsidP="00402A15">
      <w:r w:rsidRPr="005F15DA">
        <w:t>Mit dem Tod des Erblassers wird der Erbgang eröffnet. Die Erbschaft fällt damit den Erben zu.</w:t>
      </w:r>
    </w:p>
    <w:p w:rsidR="00402A15" w:rsidRPr="005F15DA" w:rsidRDefault="00402A15" w:rsidP="00402A15"/>
    <w:p w:rsidR="005D70F9" w:rsidRPr="005F15DA" w:rsidRDefault="005D70F9" w:rsidP="00402A15">
      <w:r w:rsidRPr="005F15DA">
        <w:t xml:space="preserve">Mit Verfügungen von </w:t>
      </w:r>
      <w:proofErr w:type="gramStart"/>
      <w:r w:rsidRPr="005F15DA">
        <w:t>Todes</w:t>
      </w:r>
      <w:proofErr w:type="gramEnd"/>
      <w:r w:rsidRPr="005F15DA">
        <w:t xml:space="preserve"> wegen (letztwillige Verfügung und Erbvertrag) kann eine Person Dispositionen über ihren Nachlass treffen.</w:t>
      </w:r>
    </w:p>
    <w:p w:rsidR="00402A15" w:rsidRPr="005F15DA" w:rsidRDefault="00402A15" w:rsidP="00402A15"/>
    <w:p w:rsidR="005D70F9" w:rsidRPr="005F15DA" w:rsidRDefault="005D70F9" w:rsidP="00402A15">
      <w:r w:rsidRPr="005F15DA">
        <w:t>Man unterscheidet zwischen der gesetzlichen und der gewillkürten Erbfolge. Die gesetzliche Erbfolge ist im Gesetz geregelt und kommt immer dann zum Zuge, wenn der Erblasser keine abweichenden Dispositionen mittels Verfügung von Todes wegen getroffen hat.</w:t>
      </w:r>
    </w:p>
    <w:p w:rsidR="005D70F9" w:rsidRPr="005F15DA" w:rsidRDefault="005D70F9" w:rsidP="00402A15">
      <w:r w:rsidRPr="005F15DA">
        <w:lastRenderedPageBreak/>
        <w:t>Der Erblasser kann mittels Verfügung von Todes wegen seine Erbfolge, unter Vorbehalt der Pflichtteilsansprüche der Nachkommen, der Eltern und des überlebenden Ehegatten, frei r</w:t>
      </w:r>
      <w:r w:rsidRPr="005F15DA">
        <w:t>e</w:t>
      </w:r>
      <w:r w:rsidRPr="005F15DA">
        <w:t>geln. Macht er von s</w:t>
      </w:r>
      <w:r w:rsidR="004D6703" w:rsidRPr="005F15DA">
        <w:t>einem Recht G</w:t>
      </w:r>
      <w:r w:rsidRPr="005F15DA">
        <w:t>ebrauch, spricht man von einer gewillkürten Erbfolge. Setzt der Erblasser mittels Verfügung von Todes wegen einen Dritten, z.B. seinen Leben</w:t>
      </w:r>
      <w:r w:rsidRPr="005F15DA">
        <w:t>s</w:t>
      </w:r>
      <w:r w:rsidRPr="005F15DA">
        <w:t>partner, als Erben ein, wird dieser als eingesetzter Erbe bezeichnet.</w:t>
      </w:r>
    </w:p>
    <w:p w:rsidR="00B11D0F" w:rsidRPr="005F15DA" w:rsidRDefault="00B11D0F" w:rsidP="00402A15"/>
    <w:p w:rsidR="00B11D0F" w:rsidRPr="005F15DA" w:rsidRDefault="00B11D0F" w:rsidP="00402A15"/>
    <w:p w:rsidR="00402A15" w:rsidRPr="005F15DA" w:rsidRDefault="00402A15" w:rsidP="00402A15"/>
    <w:p w:rsidR="00B11D0F" w:rsidRPr="005F15DA" w:rsidRDefault="00B11D0F" w:rsidP="00402A15"/>
    <w:p w:rsidR="005D70F9" w:rsidRPr="005F15DA" w:rsidRDefault="005D70F9" w:rsidP="00E36E8F">
      <w:pPr>
        <w:pStyle w:val="berschrift2"/>
      </w:pPr>
      <w:bookmarkStart w:id="53" w:name="_Toc432175581"/>
      <w:r w:rsidRPr="005F15DA">
        <w:t>II. Erbfolge</w:t>
      </w:r>
      <w:bookmarkEnd w:id="53"/>
    </w:p>
    <w:p w:rsidR="00B11D0F" w:rsidRPr="005F15DA" w:rsidRDefault="00B11D0F" w:rsidP="0011211F">
      <w:r w:rsidRPr="005F15DA">
        <w:t>________</w:t>
      </w:r>
      <w:r w:rsidR="00402A15" w:rsidRPr="005F15DA">
        <w:t>___</w:t>
      </w:r>
      <w:r w:rsidR="0011211F">
        <w:t>___</w:t>
      </w:r>
    </w:p>
    <w:p w:rsidR="00E40D09" w:rsidRPr="005F15DA" w:rsidRDefault="00E40D09" w:rsidP="00E40D09"/>
    <w:p w:rsidR="005D70F9" w:rsidRPr="005F15DA" w:rsidRDefault="005D70F9" w:rsidP="00402A15">
      <w:pPr>
        <w:tabs>
          <w:tab w:val="left" w:pos="426"/>
          <w:tab w:val="left" w:pos="851"/>
        </w:tabs>
      </w:pPr>
      <w:r w:rsidRPr="005F15DA">
        <w:t>-</w:t>
      </w:r>
      <w:r w:rsidRPr="005F15DA">
        <w:tab/>
        <w:t>Unterschiede zwischen der</w:t>
      </w:r>
    </w:p>
    <w:p w:rsidR="005D70F9" w:rsidRPr="005F15DA" w:rsidRDefault="00402A15" w:rsidP="00402A15">
      <w:pPr>
        <w:tabs>
          <w:tab w:val="left" w:pos="426"/>
          <w:tab w:val="left" w:pos="851"/>
        </w:tabs>
      </w:pPr>
      <w:r w:rsidRPr="005F15DA">
        <w:tab/>
        <w:t>-</w:t>
      </w:r>
      <w:r w:rsidRPr="005F15DA">
        <w:tab/>
      </w:r>
      <w:r w:rsidR="005D70F9" w:rsidRPr="005F15DA">
        <w:t>gesetzlichen Erbfolge</w:t>
      </w:r>
    </w:p>
    <w:p w:rsidR="005D70F9" w:rsidRPr="005F15DA" w:rsidRDefault="00402A15" w:rsidP="00402A15">
      <w:pPr>
        <w:tabs>
          <w:tab w:val="left" w:pos="426"/>
          <w:tab w:val="left" w:pos="851"/>
        </w:tabs>
      </w:pPr>
      <w:r w:rsidRPr="005F15DA">
        <w:rPr>
          <w:spacing w:val="-1"/>
        </w:rPr>
        <w:tab/>
        <w:t>-</w:t>
      </w:r>
      <w:r w:rsidRPr="005F15DA">
        <w:rPr>
          <w:spacing w:val="-1"/>
        </w:rPr>
        <w:tab/>
      </w:r>
      <w:r w:rsidR="005D70F9" w:rsidRPr="005F15DA">
        <w:rPr>
          <w:spacing w:val="-1"/>
        </w:rPr>
        <w:t>gewillkürten Erbfolge</w:t>
      </w:r>
    </w:p>
    <w:p w:rsidR="005D70F9" w:rsidRPr="005F15DA" w:rsidRDefault="00402A15" w:rsidP="00402A15">
      <w:pPr>
        <w:tabs>
          <w:tab w:val="left" w:pos="426"/>
          <w:tab w:val="left" w:pos="851"/>
        </w:tabs>
      </w:pPr>
      <w:r w:rsidRPr="005F15DA">
        <w:t>-</w:t>
      </w:r>
      <w:r w:rsidRPr="005F15DA">
        <w:tab/>
      </w:r>
      <w:r w:rsidR="005D70F9" w:rsidRPr="005F15DA">
        <w:t>Wie ist das Erbrecht der Verwandten ausgestaltet?</w:t>
      </w:r>
    </w:p>
    <w:p w:rsidR="005D70F9" w:rsidRPr="005F15DA" w:rsidRDefault="00402A15" w:rsidP="00402A15">
      <w:pPr>
        <w:tabs>
          <w:tab w:val="left" w:pos="426"/>
          <w:tab w:val="left" w:pos="851"/>
        </w:tabs>
      </w:pPr>
      <w:r w:rsidRPr="005F15DA">
        <w:t>-</w:t>
      </w:r>
      <w:r w:rsidRPr="005F15DA">
        <w:tab/>
      </w:r>
      <w:r w:rsidR="005D70F9" w:rsidRPr="005F15DA">
        <w:t>Welches Erbrecht hat der überlebende Ehegatte?</w:t>
      </w:r>
    </w:p>
    <w:p w:rsidR="00E40D09" w:rsidRPr="005F15DA" w:rsidRDefault="00E40D09" w:rsidP="00402A15"/>
    <w:p w:rsidR="00402A15" w:rsidRPr="005F15DA" w:rsidRDefault="00402A15" w:rsidP="00402A15"/>
    <w:p w:rsidR="005D70F9" w:rsidRPr="005F15DA" w:rsidRDefault="005D70F9" w:rsidP="005759BE">
      <w:pPr>
        <w:pStyle w:val="berschrift3"/>
        <w:rPr>
          <w:lang w:val="de-CH"/>
        </w:rPr>
      </w:pPr>
      <w:bookmarkStart w:id="54" w:name="_Toc432175582"/>
      <w:r w:rsidRPr="005F15DA">
        <w:rPr>
          <w:lang w:val="de-CH"/>
        </w:rPr>
        <w:t>A.</w:t>
      </w:r>
      <w:r w:rsidRPr="005F15DA">
        <w:rPr>
          <w:lang w:val="de-CH"/>
        </w:rPr>
        <w:tab/>
        <w:t>Unterschied gesetzliche/gewillkürte Erbfolge</w:t>
      </w:r>
      <w:bookmarkEnd w:id="54"/>
    </w:p>
    <w:p w:rsidR="00402A15" w:rsidRPr="005F15DA" w:rsidRDefault="00402A15" w:rsidP="00402A15">
      <w:pPr>
        <w:tabs>
          <w:tab w:val="left" w:pos="426"/>
        </w:tabs>
      </w:pPr>
    </w:p>
    <w:p w:rsidR="005D70F9" w:rsidRPr="005F15DA" w:rsidRDefault="005D70F9" w:rsidP="00402A15">
      <w:pPr>
        <w:tabs>
          <w:tab w:val="left" w:pos="426"/>
        </w:tabs>
      </w:pPr>
      <w:r w:rsidRPr="005F15DA">
        <w:t>Viele Personen sterben, ohne eine Verfügung von Todes wegen zu hinterlassen. In diesen Fällen bestimmt das Gesetz, wer Erbe sein soll. Vielfach decken sich auch die gesetzlichen Regelungen mit dem Willen des Erblassers.</w:t>
      </w:r>
    </w:p>
    <w:p w:rsidR="00402A15" w:rsidRPr="005F15DA" w:rsidRDefault="00402A15" w:rsidP="00402A15">
      <w:pPr>
        <w:tabs>
          <w:tab w:val="left" w:pos="426"/>
        </w:tabs>
      </w:pPr>
    </w:p>
    <w:p w:rsidR="005D70F9" w:rsidRPr="005F15DA" w:rsidRDefault="005D70F9" w:rsidP="00402A15">
      <w:pPr>
        <w:tabs>
          <w:tab w:val="left" w:pos="426"/>
        </w:tabs>
      </w:pPr>
      <w:r w:rsidRPr="005F15DA">
        <w:t>Beim Fehlen eines «letzten Willens» des Verstorbenen kommen folgende Personen als mö</w:t>
      </w:r>
      <w:r w:rsidRPr="005F15DA">
        <w:t>g</w:t>
      </w:r>
      <w:r w:rsidRPr="005F15DA">
        <w:t>liche Erben in Betracht:</w:t>
      </w:r>
    </w:p>
    <w:p w:rsidR="005D70F9" w:rsidRPr="005F15DA" w:rsidRDefault="005D70F9" w:rsidP="009D34F3">
      <w:pPr>
        <w:pStyle w:val="Listenabsatz"/>
        <w:numPr>
          <w:ilvl w:val="0"/>
          <w:numId w:val="45"/>
        </w:numPr>
        <w:tabs>
          <w:tab w:val="left" w:pos="426"/>
        </w:tabs>
        <w:ind w:left="426" w:hanging="426"/>
      </w:pPr>
      <w:r w:rsidRPr="005F15DA">
        <w:t>die Blutsverwandten (inklusive Adoptierte)</w:t>
      </w:r>
    </w:p>
    <w:p w:rsidR="005D70F9" w:rsidRPr="005F15DA" w:rsidRDefault="005D70F9" w:rsidP="009D34F3">
      <w:pPr>
        <w:pStyle w:val="Listenabsatz"/>
        <w:numPr>
          <w:ilvl w:val="0"/>
          <w:numId w:val="45"/>
        </w:numPr>
        <w:tabs>
          <w:tab w:val="left" w:pos="426"/>
        </w:tabs>
        <w:ind w:left="426" w:hanging="426"/>
      </w:pPr>
      <w:r w:rsidRPr="005F15DA">
        <w:t>der Ehegatte</w:t>
      </w:r>
    </w:p>
    <w:p w:rsidR="005D70F9" w:rsidRPr="005F15DA" w:rsidRDefault="005D70F9" w:rsidP="009D34F3">
      <w:pPr>
        <w:pStyle w:val="Listenabsatz"/>
        <w:numPr>
          <w:ilvl w:val="0"/>
          <w:numId w:val="45"/>
        </w:numPr>
        <w:tabs>
          <w:tab w:val="left" w:pos="426"/>
        </w:tabs>
        <w:ind w:left="426" w:hanging="426"/>
      </w:pPr>
      <w:r w:rsidRPr="005F15DA">
        <w:t>das Gemeinwesen</w:t>
      </w:r>
    </w:p>
    <w:p w:rsidR="00402A15" w:rsidRPr="005F15DA" w:rsidRDefault="00402A15" w:rsidP="00402A15">
      <w:pPr>
        <w:tabs>
          <w:tab w:val="left" w:pos="426"/>
        </w:tabs>
      </w:pPr>
    </w:p>
    <w:p w:rsidR="005D70F9" w:rsidRPr="005F15DA" w:rsidRDefault="005D70F9" w:rsidP="00402A15">
      <w:pPr>
        <w:tabs>
          <w:tab w:val="left" w:pos="426"/>
        </w:tabs>
      </w:pPr>
      <w:r w:rsidRPr="005F15DA">
        <w:t>Weil das Gesetz bestimmt, wer Erbe ist, spricht man in diesen Fällen von gesetzlichen Erben.</w:t>
      </w:r>
    </w:p>
    <w:p w:rsidR="00402A15" w:rsidRPr="005F15DA" w:rsidRDefault="00402A15" w:rsidP="00402A15">
      <w:pPr>
        <w:tabs>
          <w:tab w:val="left" w:pos="426"/>
        </w:tabs>
      </w:pPr>
    </w:p>
    <w:p w:rsidR="005D70F9" w:rsidRPr="005F15DA" w:rsidRDefault="005D70F9" w:rsidP="00402A15">
      <w:pPr>
        <w:tabs>
          <w:tab w:val="left" w:pos="426"/>
        </w:tabs>
      </w:pPr>
      <w:r w:rsidRPr="005F15DA">
        <w:t>Der Erblasser kann seine Erbfolge aber auch, innerhalb der vom Gesetz vorgesehenen Mö</w:t>
      </w:r>
      <w:r w:rsidRPr="005F15DA">
        <w:t>g</w:t>
      </w:r>
      <w:r w:rsidRPr="005F15DA">
        <w:t>lichkeiten, selber regeln und als Erben jeden beliebigen Dritten bestimmen. Diese müssen allerdings vom Erblasser ausdrücklich in einem Testament oder Erbvertrag als Erben b</w:t>
      </w:r>
      <w:r w:rsidRPr="005F15DA">
        <w:t>e</w:t>
      </w:r>
      <w:r w:rsidRPr="005F15DA">
        <w:t>stimmt werden. Diese so begünstigten Personen werden als eingesetzte Erben bezeichnet.</w:t>
      </w:r>
    </w:p>
    <w:p w:rsidR="00E40D09" w:rsidRPr="005F15DA" w:rsidRDefault="00E40D09" w:rsidP="00402A15">
      <w:pPr>
        <w:tabs>
          <w:tab w:val="left" w:pos="426"/>
        </w:tabs>
      </w:pPr>
    </w:p>
    <w:p w:rsidR="00E40D09" w:rsidRPr="005F15DA" w:rsidRDefault="00E40D09" w:rsidP="00402A15">
      <w:pPr>
        <w:tabs>
          <w:tab w:val="left" w:pos="426"/>
        </w:tabs>
      </w:pPr>
    </w:p>
    <w:p w:rsidR="00402A15" w:rsidRPr="005F15DA" w:rsidRDefault="00402A15" w:rsidP="00402A15">
      <w:pPr>
        <w:tabs>
          <w:tab w:val="left" w:pos="426"/>
        </w:tabs>
      </w:pPr>
    </w:p>
    <w:p w:rsidR="005D70F9" w:rsidRPr="005F15DA" w:rsidRDefault="005D70F9" w:rsidP="005759BE">
      <w:pPr>
        <w:pStyle w:val="berschrift3"/>
        <w:rPr>
          <w:lang w:val="de-CH"/>
        </w:rPr>
      </w:pPr>
      <w:bookmarkStart w:id="55" w:name="_Toc432175583"/>
      <w:r w:rsidRPr="005F15DA">
        <w:rPr>
          <w:lang w:val="de-CH"/>
        </w:rPr>
        <w:t>B.</w:t>
      </w:r>
      <w:r w:rsidRPr="005F15DA">
        <w:rPr>
          <w:lang w:val="de-CH"/>
        </w:rPr>
        <w:tab/>
        <w:t>Gesetzliche Erbfolge</w:t>
      </w:r>
      <w:bookmarkEnd w:id="55"/>
    </w:p>
    <w:p w:rsidR="00402A15" w:rsidRPr="005F15DA" w:rsidRDefault="00402A15" w:rsidP="00402A15"/>
    <w:p w:rsidR="005D70F9" w:rsidRPr="005F15DA" w:rsidRDefault="005D70F9" w:rsidP="00402A15">
      <w:r w:rsidRPr="005F15DA">
        <w:t>Gesetzliche Erben sind die Blutsverwandten und der überlebende Ehegatte des Erblassers. Bei deren Fehlen ist das Gemeinwesen (Kanton und letzte Wohnsitzgemeinde) gesetzliche Erbin.</w:t>
      </w:r>
    </w:p>
    <w:p w:rsidR="00402A15" w:rsidRPr="005F15DA" w:rsidRDefault="00402A15" w:rsidP="00402A15"/>
    <w:p w:rsidR="005D70F9" w:rsidRPr="005F15DA" w:rsidRDefault="005D70F9" w:rsidP="00402A15">
      <w:r w:rsidRPr="005F15DA">
        <w:lastRenderedPageBreak/>
        <w:t>Der gesetzliche Erbteil, d.h. der Anteil, den ein Erbe vom Nachlass beanspruchen kann, ist nicht immer gleich gross. Seine Grösse hängt davon ab, mit welchen weiteren Erben (Mite</w:t>
      </w:r>
      <w:r w:rsidRPr="005F15DA">
        <w:t>r</w:t>
      </w:r>
      <w:r w:rsidRPr="005F15DA">
        <w:t>ben) er zu teilen hat.</w:t>
      </w:r>
    </w:p>
    <w:p w:rsidR="00E40D09" w:rsidRPr="005F15DA" w:rsidRDefault="00E40D09" w:rsidP="00402A15"/>
    <w:p w:rsidR="00E40D09" w:rsidRPr="005F15DA" w:rsidRDefault="00E40D09" w:rsidP="00402A15"/>
    <w:p w:rsidR="005D70F9" w:rsidRPr="005F15DA" w:rsidRDefault="005D70F9" w:rsidP="00402A15">
      <w:pPr>
        <w:pStyle w:val="berschrift4"/>
      </w:pPr>
      <w:r w:rsidRPr="005F15DA">
        <w:t>1.</w:t>
      </w:r>
      <w:r w:rsidRPr="005F15DA">
        <w:tab/>
        <w:t>Erbrecht der Verwandten</w:t>
      </w:r>
    </w:p>
    <w:p w:rsidR="005D70F9" w:rsidRPr="005F15DA" w:rsidRDefault="005D70F9" w:rsidP="00402A15">
      <w:pPr>
        <w:ind w:left="426"/>
      </w:pPr>
      <w:r w:rsidRPr="005F15DA">
        <w:t>Das Gesetz bestimmt aufgrund der sog. Stammesordnung, auch Parentelen genannt, in welcher Reihenfolge Verwandte erben können. Dieses System beruht auf der natürlichen Abstammung, der Aufeinanderfolge von Generationen.</w:t>
      </w:r>
    </w:p>
    <w:p w:rsidR="00402A15" w:rsidRPr="005F15DA" w:rsidRDefault="00402A15" w:rsidP="00402A15">
      <w:pPr>
        <w:ind w:left="426"/>
      </w:pPr>
    </w:p>
    <w:p w:rsidR="005D70F9" w:rsidRPr="005F15DA" w:rsidRDefault="005D70F9" w:rsidP="00402A15">
      <w:pPr>
        <w:ind w:left="426"/>
      </w:pPr>
      <w:r w:rsidRPr="005F15DA">
        <w:t>Das Gesetz unterscheidet drei Hauptstämme:</w:t>
      </w:r>
    </w:p>
    <w:p w:rsidR="00E40D09" w:rsidRPr="005F15DA" w:rsidRDefault="00E40D09" w:rsidP="00402A15">
      <w:pPr>
        <w:ind w:left="426"/>
      </w:pPr>
    </w:p>
    <w:p w:rsidR="00E40D09" w:rsidRPr="005F15DA" w:rsidRDefault="00E40D09" w:rsidP="00402A15">
      <w:pPr>
        <w:ind w:left="426"/>
      </w:pPr>
    </w:p>
    <w:p w:rsidR="005D70F9" w:rsidRPr="005F15DA" w:rsidRDefault="005D70F9" w:rsidP="00402A15">
      <w:pPr>
        <w:pStyle w:val="berschrift5"/>
      </w:pPr>
      <w:r w:rsidRPr="005F15DA">
        <w:t>A.</w:t>
      </w:r>
      <w:r w:rsidRPr="005F15DA">
        <w:tab/>
        <w:t>Den Stamm des Erblassers (Art. 457 ZGB)</w:t>
      </w:r>
    </w:p>
    <w:p w:rsidR="005D70F9" w:rsidRPr="005F15DA" w:rsidRDefault="005D70F9" w:rsidP="00402A15">
      <w:pPr>
        <w:ind w:left="851"/>
      </w:pPr>
      <w:r w:rsidRPr="005F15DA">
        <w:t>Nächste gesetzliche Erben eines Erblassers sind dessen Nachkommen (Stamm oder Parentele des Erblassers). Hinterlässt der Erblasser mehrere Kinder, erben alle zu gleichen Teilen. Ist ein Kind vorverstorben, treten seine Nachkommen an seine Ste</w:t>
      </w:r>
      <w:r w:rsidRPr="005F15DA">
        <w:t>l</w:t>
      </w:r>
      <w:r w:rsidRPr="005F15DA">
        <w:t>le, bei mehreren Nachkommen ebenfalls zu gleichen Teilen. Ist ein Kind vorversto</w:t>
      </w:r>
      <w:r w:rsidRPr="005F15DA">
        <w:t>r</w:t>
      </w:r>
      <w:r w:rsidRPr="005F15DA">
        <w:t>ben ohne Nachkommen zu hinterlassen, wird dies so behandelt, als ob dieses Kind nicht existiert hätte.</w:t>
      </w:r>
    </w:p>
    <w:p w:rsidR="00E40D09" w:rsidRPr="005F15DA" w:rsidRDefault="00E40D09" w:rsidP="00402A15">
      <w:pPr>
        <w:ind w:left="851"/>
      </w:pPr>
    </w:p>
    <w:p w:rsidR="00E40D09" w:rsidRPr="005F15DA" w:rsidRDefault="00E40D09" w:rsidP="00402A15">
      <w:pPr>
        <w:ind w:left="851"/>
      </w:pPr>
    </w:p>
    <w:p w:rsidR="005D70F9" w:rsidRPr="005F15DA" w:rsidRDefault="005D70F9" w:rsidP="00402A15">
      <w:pPr>
        <w:pStyle w:val="berschrift5"/>
      </w:pPr>
      <w:r w:rsidRPr="005F15DA">
        <w:t>B.</w:t>
      </w:r>
      <w:r w:rsidRPr="005F15DA">
        <w:tab/>
        <w:t>Den Stamm der Eltern des Erblassers (Art. 458 ZGB)</w:t>
      </w:r>
    </w:p>
    <w:p w:rsidR="005D70F9" w:rsidRPr="005F15DA" w:rsidRDefault="005D70F9" w:rsidP="00402A15">
      <w:pPr>
        <w:ind w:left="851"/>
      </w:pPr>
      <w:r w:rsidRPr="005F15DA">
        <w:t>Hinterlässt der Erblasser keine Nachkommen, so geht der Nachlass an seine Eltern (Stamm oder Parentele der Eltern). Vater und Mutter erben dabei je zur Hälfte. Ist ein Elternteil vorverstorben, geht dessen Anteil vollumfänglich und zu gleichen Teilen an die Geschwister des Erblassers. Ist ein Geschwister des Erblassers vorverstorben, geht dessen Anteil zu gleichen Teilen an dessen Nachkommen (Nichten und Neffen des Erblassers), bzw. wird, falls es keine Nachkommen hinterlassen hat, unter den anderen Geschwistern aufgeteilt.</w:t>
      </w:r>
    </w:p>
    <w:p w:rsidR="00E40D09" w:rsidRPr="005F15DA" w:rsidRDefault="00E40D09" w:rsidP="00402A15">
      <w:pPr>
        <w:ind w:left="851"/>
      </w:pPr>
    </w:p>
    <w:p w:rsidR="00E40D09" w:rsidRPr="005F15DA" w:rsidRDefault="00E40D09" w:rsidP="00402A15">
      <w:pPr>
        <w:ind w:left="851"/>
      </w:pPr>
    </w:p>
    <w:p w:rsidR="005D70F9" w:rsidRPr="005F15DA" w:rsidRDefault="005D70F9" w:rsidP="00402A15">
      <w:pPr>
        <w:pStyle w:val="berschrift5"/>
      </w:pPr>
      <w:r w:rsidRPr="005F15DA">
        <w:t>C.</w:t>
      </w:r>
      <w:r w:rsidRPr="005F15DA">
        <w:tab/>
        <w:t>Den Stamm der Grosseltern (Art. 459 ZGB)</w:t>
      </w:r>
    </w:p>
    <w:p w:rsidR="005D70F9" w:rsidRPr="005F15DA" w:rsidRDefault="005D70F9" w:rsidP="00402A15">
      <w:pPr>
        <w:ind w:left="851"/>
      </w:pPr>
      <w:r w:rsidRPr="005F15DA">
        <w:t>Sind in der elterlichen Parentele keine gesetzlichen Erben vorhanden, geht der Nachlass an die Grosseltern des Erblassers bzw. deren Nachkommen (Stamm oder Parentele der Grosseltern). Auch hier gilt, dass wenn ein Grosselternteil vorversto</w:t>
      </w:r>
      <w:r w:rsidRPr="005F15DA">
        <w:t>r</w:t>
      </w:r>
      <w:r w:rsidRPr="005F15DA">
        <w:t>ben ist, dessen Anteil nach Stämmen und zu gleichen Teilen an dessen Nachko</w:t>
      </w:r>
      <w:r w:rsidRPr="005F15DA">
        <w:t>m</w:t>
      </w:r>
      <w:r w:rsidRPr="005F15DA">
        <w:t>men (Onkel und Tanten, ev. Cousins und Cousinen, usw. des Erblassers) geht.</w:t>
      </w:r>
    </w:p>
    <w:p w:rsidR="00402A15" w:rsidRPr="005F15DA" w:rsidRDefault="00402A15" w:rsidP="00402A15">
      <w:pPr>
        <w:ind w:left="851"/>
      </w:pPr>
    </w:p>
    <w:p w:rsidR="005D70F9" w:rsidRPr="005F15DA" w:rsidRDefault="005D70F9" w:rsidP="00402A15">
      <w:pPr>
        <w:ind w:left="851"/>
      </w:pPr>
      <w:r w:rsidRPr="005F15DA">
        <w:t>Sind auch in der grosselterlichen Parentele keine Erben vorhanden, fällt der Nac</w:t>
      </w:r>
      <w:r w:rsidRPr="005F15DA">
        <w:t>h</w:t>
      </w:r>
      <w:r w:rsidRPr="005F15DA">
        <w:t xml:space="preserve">lass an das Gemeinwesen (Kanton und ev. letzte Wohnsitzgemeinde des Erblassers, Art. 466 ZGB). </w:t>
      </w:r>
    </w:p>
    <w:p w:rsidR="00402A15" w:rsidRPr="005F15DA" w:rsidRDefault="00402A15" w:rsidP="00402A15">
      <w:pPr>
        <w:ind w:left="426"/>
      </w:pPr>
    </w:p>
    <w:p w:rsidR="00402A15" w:rsidRPr="005F15DA" w:rsidRDefault="00402A15" w:rsidP="00402A15">
      <w:pPr>
        <w:ind w:left="426"/>
      </w:pPr>
    </w:p>
    <w:p w:rsidR="005D70F9" w:rsidRPr="005F15DA" w:rsidRDefault="005D70F9" w:rsidP="00402A15">
      <w:pPr>
        <w:ind w:left="426"/>
      </w:pPr>
      <w:r w:rsidRPr="005F15DA">
        <w:t>Jede Parentele schliesst die weiter entfernte aus, d.h. Verwandte des elterlichen Sta</w:t>
      </w:r>
      <w:r w:rsidRPr="005F15DA">
        <w:t>m</w:t>
      </w:r>
      <w:r w:rsidRPr="005F15DA">
        <w:t>mes sind nur Erben, wenn der Erblasser keine Nachkommen hinterlässt.</w:t>
      </w:r>
    </w:p>
    <w:p w:rsidR="00402A15" w:rsidRPr="005F15DA" w:rsidRDefault="00402A15" w:rsidP="00402A15">
      <w:pPr>
        <w:ind w:left="426"/>
      </w:pPr>
    </w:p>
    <w:p w:rsidR="005D70F9" w:rsidRPr="005F15DA" w:rsidRDefault="005D70F9" w:rsidP="00402A15">
      <w:pPr>
        <w:ind w:left="426"/>
      </w:pPr>
      <w:r w:rsidRPr="005F15DA">
        <w:lastRenderedPageBreak/>
        <w:t>Innerhalb einer Parentele erbt immer in erster Linie das Stammeshaupt. Wenn es vor dem Erblasser verstorben ist, treten jeweilen die Nachkommen dieses Stammeshauptes an seine Stelle.</w:t>
      </w:r>
    </w:p>
    <w:p w:rsidR="00402A15" w:rsidRPr="005F15DA" w:rsidRDefault="00402A15" w:rsidP="00402A15">
      <w:pPr>
        <w:ind w:left="426"/>
      </w:pPr>
    </w:p>
    <w:p w:rsidR="005D70F9" w:rsidRPr="005F15DA" w:rsidRDefault="005D70F9" w:rsidP="00402A15">
      <w:pPr>
        <w:ind w:left="426"/>
      </w:pPr>
      <w:r w:rsidRPr="005F15DA">
        <w:t>Beispiel: Der Erblasser hinterlässt seine Mutter und zwei Schwestern. Der Vater ist b</w:t>
      </w:r>
      <w:r w:rsidRPr="005F15DA">
        <w:t>e</w:t>
      </w:r>
      <w:r w:rsidRPr="005F15DA">
        <w:t>reits vorverstorben.</w:t>
      </w:r>
    </w:p>
    <w:p w:rsidR="005D70F9" w:rsidRPr="005F15DA" w:rsidRDefault="005D70F9" w:rsidP="00402A15">
      <w:pPr>
        <w:ind w:left="426"/>
      </w:pPr>
      <w:r w:rsidRPr="005F15DA">
        <w:t xml:space="preserve">Lösung: Es erben grundsätzlich beide Elternteile des Erblassers als «Stammeshäupter» je </w:t>
      </w:r>
      <w:proofErr w:type="gramStart"/>
      <w:r w:rsidRPr="005F15DA">
        <w:t>gleichviel ;</w:t>
      </w:r>
      <w:proofErr w:type="gramEnd"/>
      <w:r w:rsidRPr="005F15DA">
        <w:t xml:space="preserve"> an die Stelle des vorverstorbenen Vaters treten jedoch die beiden Schwe</w:t>
      </w:r>
      <w:r w:rsidRPr="005F15DA">
        <w:t>s</w:t>
      </w:r>
      <w:r w:rsidRPr="005F15DA">
        <w:t>tern und erben somit je einen Viertel. Das gleiche spielt sich bei einer allfällig vorversto</w:t>
      </w:r>
      <w:r w:rsidRPr="005F15DA">
        <w:t>r</w:t>
      </w:r>
      <w:r w:rsidRPr="005F15DA">
        <w:t>benen Schwester ab, die von ihren Kindern zu gleichen Teilen beerbt wird.</w:t>
      </w:r>
    </w:p>
    <w:p w:rsidR="005D70F9" w:rsidRPr="005F15DA" w:rsidRDefault="005D70F9" w:rsidP="00402A15">
      <w:pPr>
        <w:ind w:left="426"/>
      </w:pPr>
      <w:r w:rsidRPr="005F15DA">
        <w:t>Sollte eine Schwester ohne Nachkommen vorverstorben sein, wird sie behandelt, wie wenn sie nie existiert hätte, d.h. die andere Schwester erbt auch ihren Anteil.</w:t>
      </w:r>
    </w:p>
    <w:p w:rsidR="00E40D09" w:rsidRPr="005F15DA" w:rsidRDefault="00E40D09" w:rsidP="00402A15">
      <w:pPr>
        <w:ind w:left="426"/>
      </w:pPr>
    </w:p>
    <w:p w:rsidR="00E40D09" w:rsidRPr="005F15DA" w:rsidRDefault="00E40D09" w:rsidP="00402A15">
      <w:pPr>
        <w:ind w:left="426"/>
      </w:pPr>
    </w:p>
    <w:p w:rsidR="005D70F9" w:rsidRPr="005F15DA" w:rsidRDefault="005D70F9" w:rsidP="00402A15">
      <w:pPr>
        <w:pStyle w:val="berschrift4"/>
      </w:pPr>
      <w:r w:rsidRPr="005F15DA">
        <w:t>2.</w:t>
      </w:r>
      <w:r w:rsidRPr="005F15DA">
        <w:tab/>
        <w:t>Erbrecht des Ehegatten (Art. 462 ZGB)</w:t>
      </w:r>
    </w:p>
    <w:p w:rsidR="005D70F9" w:rsidRPr="005F15DA" w:rsidRDefault="005D70F9" w:rsidP="00402A15">
      <w:pPr>
        <w:ind w:left="426"/>
      </w:pPr>
      <w:r w:rsidRPr="005F15DA">
        <w:t>Ist der Erblasser im Zeitpunkt seines Todes verheiratet, ist immer auch der überlebende Ehegatte Erbe. Weil er aber zum Verstorbenen nicht verwandt ist, hat er eine Sonderste</w:t>
      </w:r>
      <w:r w:rsidRPr="005F15DA">
        <w:t>l</w:t>
      </w:r>
      <w:r w:rsidRPr="005F15DA">
        <w:t>lung im Gesetz erhalten. Er erbt neben den Verwandten und erhält folgende Erbteile:</w:t>
      </w:r>
    </w:p>
    <w:p w:rsidR="005D70F9" w:rsidRPr="005F15DA" w:rsidRDefault="005D70F9" w:rsidP="00402A15">
      <w:pPr>
        <w:ind w:left="426"/>
      </w:pPr>
      <w:r w:rsidRPr="005F15DA">
        <w:t>neben Nachkommen: die Hälfte des Nachlasses</w:t>
      </w:r>
    </w:p>
    <w:p w:rsidR="005D70F9" w:rsidRPr="005F15DA" w:rsidRDefault="005D70F9" w:rsidP="00402A15">
      <w:pPr>
        <w:ind w:left="426"/>
      </w:pPr>
      <w:r w:rsidRPr="005F15DA">
        <w:t>neben Erben des elterlichen Stammes: drei Viertel des Nachlasses</w:t>
      </w:r>
    </w:p>
    <w:p w:rsidR="005D70F9" w:rsidRPr="005F15DA" w:rsidRDefault="005D70F9" w:rsidP="00402A15">
      <w:pPr>
        <w:ind w:left="426"/>
      </w:pPr>
      <w:r w:rsidRPr="005F15DA">
        <w:t xml:space="preserve">neben Erben des grosselterlichen Stammes: </w:t>
      </w:r>
      <w:proofErr w:type="gramStart"/>
      <w:r w:rsidRPr="005F15DA">
        <w:t>den ganzen</w:t>
      </w:r>
      <w:proofErr w:type="gramEnd"/>
      <w:r w:rsidRPr="005F15DA">
        <w:t xml:space="preserve"> Nachlass, d.h. er ist Alleinerbe.</w:t>
      </w:r>
    </w:p>
    <w:p w:rsidR="005D70F9" w:rsidRPr="005F15DA" w:rsidRDefault="005D70F9" w:rsidP="00402A15">
      <w:pPr>
        <w:ind w:left="426"/>
      </w:pPr>
      <w:r w:rsidRPr="005F15DA">
        <w:t>Der Ehegatte erbt aber nur von seinen eigenen Verwandten. Von den Verwandten seines Ehegatten kann er nur indirekt erben, nämlich dann, wenn sein Ehegatte den Erbanfall erlebt hat, dann verstirbt und die Erbschaft in den Nachlass fällt.</w:t>
      </w:r>
    </w:p>
    <w:p w:rsidR="00402A15" w:rsidRPr="005F15DA" w:rsidRDefault="00402A15" w:rsidP="00402A15"/>
    <w:p w:rsidR="00402A15" w:rsidRPr="005F15DA" w:rsidRDefault="00402A15" w:rsidP="00402A15"/>
    <w:p w:rsidR="001019E0" w:rsidRPr="005F15DA" w:rsidRDefault="001019E0">
      <w:pPr>
        <w:spacing w:after="200"/>
        <w:rPr>
          <w:b/>
          <w:sz w:val="28"/>
          <w:szCs w:val="28"/>
        </w:rPr>
      </w:pPr>
      <w:r w:rsidRPr="005F15DA">
        <w:rPr>
          <w:b/>
          <w:sz w:val="28"/>
          <w:szCs w:val="28"/>
        </w:rPr>
        <w:br w:type="page"/>
      </w:r>
    </w:p>
    <w:p w:rsidR="00E40D09" w:rsidRPr="005F15DA" w:rsidRDefault="005D70F9" w:rsidP="00402A15">
      <w:pPr>
        <w:rPr>
          <w:b/>
          <w:sz w:val="28"/>
          <w:szCs w:val="28"/>
        </w:rPr>
      </w:pPr>
      <w:r w:rsidRPr="005F15DA">
        <w:rPr>
          <w:b/>
          <w:sz w:val="28"/>
          <w:szCs w:val="28"/>
        </w:rPr>
        <w:lastRenderedPageBreak/>
        <w:t>Schema der Parentelenordnung:</w:t>
      </w:r>
      <w:r w:rsidR="00E40D09" w:rsidRPr="005F15DA">
        <w:rPr>
          <w:b/>
          <w:sz w:val="28"/>
          <w:szCs w:val="28"/>
        </w:rPr>
        <w:t xml:space="preserve"> </w:t>
      </w:r>
    </w:p>
    <w:p w:rsidR="00E40D09" w:rsidRPr="005F15DA" w:rsidRDefault="00E40D09" w:rsidP="00402A15"/>
    <w:p w:rsidR="005D70F9" w:rsidRPr="005F15DA" w:rsidRDefault="005D70F9" w:rsidP="00402A15"/>
    <w:bookmarkStart w:id="56" w:name="_MON_1358165571"/>
    <w:bookmarkStart w:id="57" w:name="_MON_1251111893"/>
    <w:bookmarkStart w:id="58" w:name="_MON_1392834861"/>
    <w:bookmarkStart w:id="59" w:name="_MON_1251111976"/>
    <w:bookmarkStart w:id="60" w:name="_MON_1251112313"/>
    <w:bookmarkStart w:id="61" w:name="_MON_1265444712"/>
    <w:bookmarkEnd w:id="56"/>
    <w:bookmarkEnd w:id="57"/>
    <w:bookmarkEnd w:id="58"/>
    <w:bookmarkEnd w:id="59"/>
    <w:bookmarkEnd w:id="60"/>
    <w:bookmarkEnd w:id="61"/>
    <w:bookmarkStart w:id="62" w:name="_MON_1358165499"/>
    <w:bookmarkEnd w:id="62"/>
    <w:p w:rsidR="00E40D09" w:rsidRPr="005F15DA" w:rsidRDefault="00AE40BF" w:rsidP="00E40D09">
      <w:r w:rsidRPr="005F15DA">
        <w:rPr>
          <w:spacing w:val="-3"/>
          <w:szCs w:val="22"/>
        </w:rPr>
        <w:object w:dxaOrig="8597" w:dyaOrig="875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0pt;height:437.65pt" o:ole="">
            <v:imagedata r:id="rId13" o:title=""/>
          </v:shape>
          <o:OLEObject Type="Embed" ProgID="Excel.Sheet.8" ShapeID="_x0000_i1025" DrawAspect="Content" ObjectID="_1568797428" r:id="rId14"/>
        </w:object>
      </w:r>
    </w:p>
    <w:p w:rsidR="00E40D09" w:rsidRPr="005F15DA" w:rsidRDefault="00E40D09" w:rsidP="00E40D09"/>
    <w:p w:rsidR="00E40D09" w:rsidRPr="005F15DA" w:rsidRDefault="00E40D09" w:rsidP="00E40D09"/>
    <w:p w:rsidR="00E40D09" w:rsidRPr="005F15DA" w:rsidRDefault="00E40D09" w:rsidP="00E40D09"/>
    <w:p w:rsidR="005D70F9" w:rsidRPr="005F15DA" w:rsidRDefault="005D70F9" w:rsidP="005D70F9">
      <w:r w:rsidRPr="005F15DA">
        <w:rPr>
          <w:b/>
          <w:bCs/>
          <w:spacing w:val="3"/>
          <w:sz w:val="26"/>
          <w:szCs w:val="26"/>
        </w:rPr>
        <w:t>C. Gewillkürte Erbfolge</w:t>
      </w:r>
    </w:p>
    <w:p w:rsidR="00E40D09" w:rsidRPr="005F15DA" w:rsidRDefault="00E40D09" w:rsidP="00E40D09"/>
    <w:p w:rsidR="005D70F9" w:rsidRPr="005F15DA" w:rsidRDefault="005D70F9" w:rsidP="0060424A">
      <w:pPr>
        <w:tabs>
          <w:tab w:val="left" w:pos="426"/>
          <w:tab w:val="left" w:pos="851"/>
        </w:tabs>
      </w:pPr>
      <w:r w:rsidRPr="005F15DA">
        <w:t>-</w:t>
      </w:r>
      <w:r w:rsidRPr="005F15DA">
        <w:tab/>
        <w:t>Wie kann die gewillkürte Erbfolge ausgestaltet werden?</w:t>
      </w:r>
    </w:p>
    <w:p w:rsidR="005D70F9" w:rsidRPr="005F15DA" w:rsidRDefault="005D70F9" w:rsidP="009D34F3">
      <w:pPr>
        <w:pStyle w:val="Listenabsatz"/>
        <w:numPr>
          <w:ilvl w:val="0"/>
          <w:numId w:val="46"/>
        </w:numPr>
        <w:tabs>
          <w:tab w:val="left" w:pos="426"/>
          <w:tab w:val="left" w:pos="851"/>
        </w:tabs>
        <w:ind w:left="851" w:hanging="425"/>
      </w:pPr>
      <w:r w:rsidRPr="005F15DA">
        <w:rPr>
          <w:spacing w:val="-5"/>
        </w:rPr>
        <w:t>Erbeinsetzung</w:t>
      </w:r>
    </w:p>
    <w:p w:rsidR="005D70F9" w:rsidRPr="005F15DA" w:rsidRDefault="005D70F9" w:rsidP="009D34F3">
      <w:pPr>
        <w:pStyle w:val="Listenabsatz"/>
        <w:numPr>
          <w:ilvl w:val="0"/>
          <w:numId w:val="46"/>
        </w:numPr>
        <w:tabs>
          <w:tab w:val="left" w:pos="426"/>
          <w:tab w:val="left" w:pos="851"/>
        </w:tabs>
        <w:ind w:left="851" w:hanging="425"/>
      </w:pPr>
      <w:r w:rsidRPr="005F15DA">
        <w:rPr>
          <w:spacing w:val="-6"/>
        </w:rPr>
        <w:t>Vermächtnis</w:t>
      </w:r>
    </w:p>
    <w:p w:rsidR="005D70F9" w:rsidRPr="005F15DA" w:rsidRDefault="005D70F9" w:rsidP="009D34F3">
      <w:pPr>
        <w:pStyle w:val="Listenabsatz"/>
        <w:numPr>
          <w:ilvl w:val="0"/>
          <w:numId w:val="46"/>
        </w:numPr>
        <w:tabs>
          <w:tab w:val="left" w:pos="426"/>
          <w:tab w:val="left" w:pos="851"/>
        </w:tabs>
        <w:ind w:left="851" w:hanging="425"/>
      </w:pPr>
      <w:r w:rsidRPr="005F15DA">
        <w:rPr>
          <w:spacing w:val="-6"/>
        </w:rPr>
        <w:t>Teilungsregeln</w:t>
      </w:r>
    </w:p>
    <w:p w:rsidR="005D70F9" w:rsidRPr="005F15DA" w:rsidRDefault="005D70F9" w:rsidP="009D34F3">
      <w:pPr>
        <w:pStyle w:val="Listenabsatz"/>
        <w:numPr>
          <w:ilvl w:val="0"/>
          <w:numId w:val="46"/>
        </w:numPr>
        <w:tabs>
          <w:tab w:val="left" w:pos="426"/>
          <w:tab w:val="left" w:pos="851"/>
        </w:tabs>
        <w:ind w:left="851" w:hanging="425"/>
      </w:pPr>
      <w:r w:rsidRPr="005F15DA">
        <w:rPr>
          <w:spacing w:val="-4"/>
        </w:rPr>
        <w:t>Nutzniessung nach Art. 473 ZGB</w:t>
      </w:r>
    </w:p>
    <w:p w:rsidR="005D70F9" w:rsidRPr="005F15DA" w:rsidRDefault="005D70F9" w:rsidP="0060424A">
      <w:pPr>
        <w:tabs>
          <w:tab w:val="left" w:pos="426"/>
          <w:tab w:val="left" w:pos="851"/>
        </w:tabs>
      </w:pPr>
      <w:r w:rsidRPr="005F15DA">
        <w:t>-</w:t>
      </w:r>
      <w:r w:rsidRPr="005F15DA">
        <w:tab/>
      </w:r>
      <w:r w:rsidRPr="005F15DA">
        <w:rPr>
          <w:spacing w:val="-3"/>
        </w:rPr>
        <w:t>Welche Grenzen der Änderungsmöglichkeiten setzt das Gesetz?</w:t>
      </w:r>
    </w:p>
    <w:p w:rsidR="005D70F9" w:rsidRPr="005F15DA" w:rsidRDefault="005D70F9" w:rsidP="0060424A">
      <w:pPr>
        <w:tabs>
          <w:tab w:val="left" w:pos="426"/>
          <w:tab w:val="left" w:pos="851"/>
        </w:tabs>
      </w:pPr>
      <w:r w:rsidRPr="005F15DA">
        <w:tab/>
        <w:t>-</w:t>
      </w:r>
      <w:r w:rsidRPr="005F15DA">
        <w:tab/>
      </w:r>
      <w:r w:rsidRPr="005F15DA">
        <w:rPr>
          <w:spacing w:val="-4"/>
        </w:rPr>
        <w:t>Pflichtteile</w:t>
      </w:r>
    </w:p>
    <w:p w:rsidR="001019E0" w:rsidRPr="005F15DA" w:rsidRDefault="001019E0">
      <w:pPr>
        <w:spacing w:after="200"/>
      </w:pPr>
      <w:r w:rsidRPr="005F15DA">
        <w:br w:type="page"/>
      </w:r>
    </w:p>
    <w:p w:rsidR="005D70F9" w:rsidRPr="005F15DA" w:rsidRDefault="005D70F9" w:rsidP="0060424A">
      <w:pPr>
        <w:tabs>
          <w:tab w:val="left" w:pos="426"/>
          <w:tab w:val="left" w:pos="851"/>
        </w:tabs>
      </w:pPr>
      <w:r w:rsidRPr="005F15DA">
        <w:lastRenderedPageBreak/>
        <w:t>-</w:t>
      </w:r>
      <w:r w:rsidRPr="005F15DA">
        <w:tab/>
        <w:t>Wie können Änderungen vorgenommen werden?</w:t>
      </w:r>
    </w:p>
    <w:p w:rsidR="005D70F9" w:rsidRPr="005F15DA" w:rsidRDefault="005D70F9" w:rsidP="009D34F3">
      <w:pPr>
        <w:pStyle w:val="Listenabsatz"/>
        <w:numPr>
          <w:ilvl w:val="0"/>
          <w:numId w:val="47"/>
        </w:numPr>
        <w:tabs>
          <w:tab w:val="left" w:pos="426"/>
          <w:tab w:val="left" w:pos="851"/>
        </w:tabs>
        <w:ind w:left="851" w:hanging="425"/>
      </w:pPr>
      <w:r w:rsidRPr="005F15DA">
        <w:rPr>
          <w:spacing w:val="-3"/>
        </w:rPr>
        <w:t>Testament</w:t>
      </w:r>
    </w:p>
    <w:p w:rsidR="005D70F9" w:rsidRPr="005F15DA" w:rsidRDefault="005D70F9" w:rsidP="009D34F3">
      <w:pPr>
        <w:pStyle w:val="Listenabsatz"/>
        <w:numPr>
          <w:ilvl w:val="0"/>
          <w:numId w:val="47"/>
        </w:numPr>
        <w:tabs>
          <w:tab w:val="left" w:pos="426"/>
          <w:tab w:val="left" w:pos="851"/>
        </w:tabs>
        <w:ind w:left="851" w:hanging="425"/>
      </w:pPr>
      <w:r w:rsidRPr="005F15DA">
        <w:rPr>
          <w:spacing w:val="-6"/>
        </w:rPr>
        <w:t>Erbvertrag</w:t>
      </w:r>
    </w:p>
    <w:p w:rsidR="00E40D09" w:rsidRPr="005F15DA" w:rsidRDefault="00E40D09" w:rsidP="0060424A">
      <w:pPr>
        <w:tabs>
          <w:tab w:val="left" w:pos="426"/>
          <w:tab w:val="left" w:pos="851"/>
        </w:tabs>
      </w:pPr>
    </w:p>
    <w:p w:rsidR="00E40D09" w:rsidRPr="005F15DA" w:rsidRDefault="00E40D09" w:rsidP="0060424A">
      <w:pPr>
        <w:tabs>
          <w:tab w:val="left" w:pos="426"/>
          <w:tab w:val="left" w:pos="851"/>
        </w:tabs>
      </w:pPr>
    </w:p>
    <w:p w:rsidR="005D70F9" w:rsidRPr="005F15DA" w:rsidRDefault="005D70F9" w:rsidP="00A11594">
      <w:pPr>
        <w:pStyle w:val="berschrift4"/>
      </w:pPr>
      <w:r w:rsidRPr="005F15DA">
        <w:t>1.</w:t>
      </w:r>
      <w:r w:rsidRPr="005F15DA">
        <w:tab/>
        <w:t>Änderungsmöglichkeiten</w:t>
      </w:r>
    </w:p>
    <w:p w:rsidR="00E40D09" w:rsidRPr="005F15DA" w:rsidRDefault="00E40D09" w:rsidP="00E40D09"/>
    <w:p w:rsidR="005D70F9" w:rsidRPr="005F15DA" w:rsidRDefault="005D70F9" w:rsidP="00A11594">
      <w:pPr>
        <w:pStyle w:val="berschrift5"/>
      </w:pPr>
      <w:r w:rsidRPr="005F15DA">
        <w:t>1.1.</w:t>
      </w:r>
      <w:r w:rsidRPr="005F15DA">
        <w:tab/>
        <w:t>Erbeinsetzung</w:t>
      </w:r>
    </w:p>
    <w:p w:rsidR="005D70F9" w:rsidRPr="005F15DA" w:rsidRDefault="005D70F9" w:rsidP="00A11594">
      <w:pPr>
        <w:ind w:left="851"/>
      </w:pPr>
      <w:r w:rsidRPr="005F15DA">
        <w:t>Der Erblasser hat die Möglichkeit, irgendwelchen Personen (</w:t>
      </w:r>
      <w:proofErr w:type="gramStart"/>
      <w:r w:rsidRPr="005F15DA">
        <w:t>natürlichen und jurist</w:t>
      </w:r>
      <w:r w:rsidRPr="005F15DA">
        <w:t>i</w:t>
      </w:r>
      <w:r w:rsidRPr="005F15DA">
        <w:t>schen</w:t>
      </w:r>
      <w:proofErr w:type="gramEnd"/>
      <w:r w:rsidRPr="005F15DA">
        <w:t>) Erbenstellung an seinem Nachlass einzuräumen. Dieser Vorgang wird Er</w:t>
      </w:r>
      <w:r w:rsidRPr="005F15DA">
        <w:t>b</w:t>
      </w:r>
      <w:r w:rsidRPr="005F15DA">
        <w:t>einsetzung genannt. Der Erblasser kann dabei eine einzige Person als Erbe b</w:t>
      </w:r>
      <w:r w:rsidRPr="005F15DA">
        <w:t>e</w:t>
      </w:r>
      <w:r w:rsidRPr="005F15DA">
        <w:t>zeichnen (sog. Alleinerbe) oder mehrere Personen mit einer bestimmten Erbquote (in Prozent oder Bruchteilen) als Erben einsetzen.</w:t>
      </w:r>
    </w:p>
    <w:p w:rsidR="00A11594" w:rsidRPr="005F15DA" w:rsidRDefault="00A11594" w:rsidP="00A11594">
      <w:pPr>
        <w:ind w:left="851"/>
      </w:pPr>
    </w:p>
    <w:p w:rsidR="005D70F9" w:rsidRPr="005F15DA" w:rsidRDefault="005D70F9" w:rsidP="00A11594">
      <w:pPr>
        <w:ind w:left="851"/>
      </w:pPr>
      <w:r w:rsidRPr="005F15DA">
        <w:t>Möglich ist auch, dass der Erblasser neben den gesetzlichen Erben zusätzlich Dritte als Erben einsetzt. Diese konkurrenzieren dann einander.</w:t>
      </w:r>
    </w:p>
    <w:p w:rsidR="00A11594" w:rsidRPr="005F15DA" w:rsidRDefault="00A11594" w:rsidP="00A11594">
      <w:pPr>
        <w:ind w:left="851"/>
      </w:pPr>
    </w:p>
    <w:p w:rsidR="005D70F9" w:rsidRPr="005F15DA" w:rsidRDefault="005D70F9" w:rsidP="00A11594">
      <w:pPr>
        <w:ind w:left="851"/>
      </w:pPr>
      <w:r w:rsidRPr="005F15DA">
        <w:t>Einem gesetzlichen Erben kann man auch eine zusätzliche Quote zukommen lassen, so dass dieser sowohl gesetzlicher als auch eingesetzter Erbe wird. Diese Situation kann beispielsweise eintreten, wenn die Ehefrau in einem Testament als Alleinerbin bezeichnet wird.</w:t>
      </w:r>
    </w:p>
    <w:p w:rsidR="00A11594" w:rsidRPr="005F15DA" w:rsidRDefault="00A11594" w:rsidP="00A11594">
      <w:pPr>
        <w:ind w:left="851"/>
      </w:pPr>
    </w:p>
    <w:p w:rsidR="005D70F9" w:rsidRPr="005F15DA" w:rsidRDefault="005D70F9" w:rsidP="00A11594">
      <w:pPr>
        <w:ind w:left="851"/>
      </w:pPr>
      <w:r w:rsidRPr="005F15DA">
        <w:t>Da niemand sagen kann, ob der eingesetzte Erbe den Erblasser auch tatsächlich überlebt, kann im Testament oder Erbvertrag bereits vorgesehen werden, wer an Stelle des eingesetzten Erben tritt, falls dieser vorverstorben sein sollte. Fehlt die Bezeichnung eines Ersatzerben, geht der Teil des vorverstorbenen eingesetzten E</w:t>
      </w:r>
      <w:r w:rsidRPr="005F15DA">
        <w:t>r</w:t>
      </w:r>
      <w:r w:rsidRPr="005F15DA">
        <w:t>ben an die gesetzlichen Erben.</w:t>
      </w:r>
    </w:p>
    <w:p w:rsidR="00A11594" w:rsidRPr="005F15DA" w:rsidRDefault="00A11594" w:rsidP="00A11594">
      <w:pPr>
        <w:ind w:left="851"/>
      </w:pPr>
    </w:p>
    <w:p w:rsidR="005D70F9" w:rsidRPr="005F15DA" w:rsidRDefault="005D70F9" w:rsidP="00A11594">
      <w:pPr>
        <w:ind w:left="851"/>
      </w:pPr>
      <w:r w:rsidRPr="005F15DA">
        <w:t>Eine Erbeinsetzung bewirkt, dass beim Tod des Erblassers alle Aktiven und Pass</w:t>
      </w:r>
      <w:r w:rsidRPr="005F15DA">
        <w:t>i</w:t>
      </w:r>
      <w:r w:rsidRPr="005F15DA">
        <w:t>ven auch auf die eingesetzten Erben übergehen. Diese erben also gemeinsam mit allfällig noch vorhandenen gesetzlichen Erben. Eingesetzte Erben erhalten somit die gleiche Stellung wie gesetzliche Erben. Dies unterscheidet eine Erbeinsetzung vom Vermächtnis.</w:t>
      </w:r>
    </w:p>
    <w:p w:rsidR="00E40D09" w:rsidRPr="005F15DA" w:rsidRDefault="00E40D09" w:rsidP="00A11594">
      <w:pPr>
        <w:ind w:left="851"/>
      </w:pPr>
    </w:p>
    <w:p w:rsidR="00E40D09" w:rsidRPr="005F15DA" w:rsidRDefault="00E40D09" w:rsidP="00A11594">
      <w:pPr>
        <w:ind w:left="851"/>
      </w:pPr>
    </w:p>
    <w:p w:rsidR="005D70F9" w:rsidRPr="005F15DA" w:rsidRDefault="005D70F9" w:rsidP="00A11594">
      <w:pPr>
        <w:pStyle w:val="berschrift5"/>
      </w:pPr>
      <w:r w:rsidRPr="005F15DA">
        <w:rPr>
          <w:spacing w:val="-12"/>
        </w:rPr>
        <w:t>1.2.</w:t>
      </w:r>
      <w:r w:rsidRPr="005F15DA">
        <w:tab/>
        <w:t>Vermächtnis/Legat</w:t>
      </w:r>
    </w:p>
    <w:p w:rsidR="005D70F9" w:rsidRPr="005F15DA" w:rsidRDefault="005D70F9" w:rsidP="00A11594">
      <w:pPr>
        <w:ind w:left="851"/>
      </w:pPr>
      <w:r w:rsidRPr="005F15DA">
        <w:t>Mit einem Vermächtnis - auch Legat genannt - können einem Erben oder einem Dri</w:t>
      </w:r>
      <w:r w:rsidRPr="005F15DA">
        <w:t>t</w:t>
      </w:r>
      <w:r w:rsidRPr="005F15DA">
        <w:t>ten gewisse Vermögenswerte zugewiesen werden, wie z.B.:</w:t>
      </w:r>
    </w:p>
    <w:p w:rsidR="005D70F9" w:rsidRPr="005F15DA" w:rsidRDefault="005D70F9" w:rsidP="00A11594">
      <w:pPr>
        <w:ind w:left="851"/>
      </w:pPr>
      <w:r w:rsidRPr="005F15DA">
        <w:t>eine bestimmte Menge Geld (Fr. 1000.-)</w:t>
      </w:r>
    </w:p>
    <w:p w:rsidR="005D70F9" w:rsidRPr="005F15DA" w:rsidRDefault="005D70F9" w:rsidP="00A11594">
      <w:pPr>
        <w:ind w:left="851"/>
      </w:pPr>
      <w:r w:rsidRPr="005F15DA">
        <w:t>eine bestimmte Sache (ein Auto)</w:t>
      </w:r>
    </w:p>
    <w:p w:rsidR="005D70F9" w:rsidRPr="005F15DA" w:rsidRDefault="005D70F9" w:rsidP="00A11594">
      <w:pPr>
        <w:ind w:left="851"/>
      </w:pPr>
      <w:r w:rsidRPr="005F15DA">
        <w:t>ein bestimmtes Recht (eine Beteiligung an einer Gesellschaft, ein Wohnrecht, usw.)</w:t>
      </w:r>
    </w:p>
    <w:p w:rsidR="00A11594" w:rsidRPr="005F15DA" w:rsidRDefault="00A11594" w:rsidP="00A11594">
      <w:pPr>
        <w:ind w:left="851"/>
      </w:pPr>
    </w:p>
    <w:p w:rsidR="005D70F9" w:rsidRPr="005F15DA" w:rsidRDefault="005D70F9" w:rsidP="00A11594">
      <w:pPr>
        <w:ind w:left="851"/>
      </w:pPr>
      <w:r w:rsidRPr="005F15DA">
        <w:t>Im Gegensatz zum Erben haftet der Vermächtnisnehmer nicht für Schulden des Er</w:t>
      </w:r>
      <w:r w:rsidRPr="005F15DA">
        <w:t>b</w:t>
      </w:r>
      <w:r w:rsidRPr="005F15DA">
        <w:t>lassers, da das Legat eine reine Begünstigung ist.</w:t>
      </w:r>
    </w:p>
    <w:p w:rsidR="00A11594" w:rsidRPr="005F15DA" w:rsidRDefault="00A11594" w:rsidP="00A11594">
      <w:pPr>
        <w:ind w:left="851"/>
      </w:pPr>
    </w:p>
    <w:p w:rsidR="005D70F9" w:rsidRPr="005F15DA" w:rsidRDefault="005D70F9" w:rsidP="00A11594">
      <w:pPr>
        <w:ind w:left="851"/>
      </w:pPr>
      <w:r w:rsidRPr="005F15DA">
        <w:t>Das Vermächtnis geht beim Tod des Erblassers nicht direkt auf den Vermächtni</w:t>
      </w:r>
      <w:r w:rsidRPr="005F15DA">
        <w:t>s</w:t>
      </w:r>
      <w:r w:rsidRPr="005F15DA">
        <w:t>nehmer über, sondern als Teil der Erbschaft auf die Erben. Die Erben müssen a</w:t>
      </w:r>
      <w:r w:rsidRPr="005F15DA">
        <w:t>n</w:t>
      </w:r>
      <w:r w:rsidRPr="005F15DA">
        <w:lastRenderedPageBreak/>
        <w:t>schliessend dem Vermächtnisnehmer die Sache aushändigen. Besteht das Legat beispielsweise aus einem Grundstück, werden im Grundbuch zuerst die Erben eing</w:t>
      </w:r>
      <w:r w:rsidRPr="005F15DA">
        <w:t>e</w:t>
      </w:r>
      <w:r w:rsidRPr="005F15DA">
        <w:t>tragen, welche anschliessend dem Vermächtnisnehmer die Sache übereignen mü</w:t>
      </w:r>
      <w:r w:rsidRPr="005F15DA">
        <w:t>s</w:t>
      </w:r>
      <w:r w:rsidRPr="005F15DA">
        <w:t>sen (der Vermächtnisnehmer erhält lediglich einen obligatorischen Anspruch auf das Grundstück).</w:t>
      </w:r>
    </w:p>
    <w:p w:rsidR="00A11594" w:rsidRPr="005F15DA" w:rsidRDefault="00A11594" w:rsidP="00A11594">
      <w:pPr>
        <w:ind w:left="851"/>
      </w:pPr>
    </w:p>
    <w:p w:rsidR="005D70F9" w:rsidRPr="005F15DA" w:rsidRDefault="005D70F9" w:rsidP="00A11594">
      <w:pPr>
        <w:ind w:left="851"/>
      </w:pPr>
      <w:r w:rsidRPr="005F15DA">
        <w:t>Erlebt der Vermächtnisnehmer den Tod des Erblassers nicht, so fällt das Vermäch</w:t>
      </w:r>
      <w:r w:rsidRPr="005F15DA">
        <w:t>t</w:t>
      </w:r>
      <w:r w:rsidRPr="005F15DA">
        <w:t>nis zugunsten der Erben dahin, es sei denn, der Erblasser habe im Testament oder im Erbvertrag einen Ersatzvermächtnisnehmer bezeichnet.</w:t>
      </w:r>
    </w:p>
    <w:p w:rsidR="00E40D09" w:rsidRPr="005F15DA" w:rsidRDefault="00E40D09" w:rsidP="00A11594">
      <w:pPr>
        <w:ind w:left="851"/>
      </w:pPr>
    </w:p>
    <w:p w:rsidR="00E40D09" w:rsidRPr="005F15DA" w:rsidRDefault="00E40D09" w:rsidP="00A11594">
      <w:pPr>
        <w:ind w:left="851"/>
      </w:pPr>
    </w:p>
    <w:p w:rsidR="005D70F9" w:rsidRPr="005F15DA" w:rsidRDefault="005D70F9" w:rsidP="00A11594">
      <w:pPr>
        <w:pStyle w:val="berschrift5"/>
      </w:pPr>
      <w:r w:rsidRPr="005F15DA">
        <w:rPr>
          <w:spacing w:val="-14"/>
        </w:rPr>
        <w:t>1.3.</w:t>
      </w:r>
      <w:r w:rsidRPr="005F15DA">
        <w:tab/>
        <w:t>Teilungsregeln</w:t>
      </w:r>
    </w:p>
    <w:p w:rsidR="005D70F9" w:rsidRPr="005F15DA" w:rsidRDefault="005D70F9" w:rsidP="00A11594">
      <w:pPr>
        <w:ind w:left="851"/>
      </w:pPr>
      <w:r w:rsidRPr="005F15DA">
        <w:t>Das Gesetz gibt nur Aufschluss über die Grösse der Anteile, die den einzelnen Erben am Nachlass zustehen. Über die konkrete Aufteilung der vorhandenen Vermögen</w:t>
      </w:r>
      <w:r w:rsidRPr="005F15DA">
        <w:t>s</w:t>
      </w:r>
      <w:r w:rsidRPr="005F15DA">
        <w:t>werte (Zuteilung der Gegenstände) müssen sich die Erben selber einigen. Der Er</w:t>
      </w:r>
      <w:r w:rsidRPr="005F15DA">
        <w:t>b</w:t>
      </w:r>
      <w:r w:rsidRPr="005F15DA">
        <w:t>lasser kann einen Streit über die Teilung verhindern, indem er anordnet, wie der Nachlass auf die Erben verteilt werden soll.</w:t>
      </w:r>
    </w:p>
    <w:p w:rsidR="00A11594" w:rsidRPr="005F15DA" w:rsidRDefault="00A11594" w:rsidP="00A11594">
      <w:pPr>
        <w:ind w:left="851"/>
      </w:pPr>
    </w:p>
    <w:p w:rsidR="005D70F9" w:rsidRPr="005F15DA" w:rsidRDefault="005D70F9" w:rsidP="00A11594">
      <w:pPr>
        <w:ind w:left="851"/>
      </w:pPr>
      <w:r w:rsidRPr="005F15DA">
        <w:t>Grundsätzlich kann der Erblasser beliebige Teilungsregeln aufstellen, welche für die Erben verbindlich sind; es sei denn, diese wollen einstimmig eine andere Lösung treffen.</w:t>
      </w:r>
    </w:p>
    <w:p w:rsidR="00A11594" w:rsidRPr="005F15DA" w:rsidRDefault="00A11594" w:rsidP="00A11594">
      <w:pPr>
        <w:ind w:left="851"/>
      </w:pPr>
    </w:p>
    <w:p w:rsidR="005D70F9" w:rsidRPr="005F15DA" w:rsidRDefault="005D70F9" w:rsidP="00A11594">
      <w:pPr>
        <w:ind w:left="851"/>
      </w:pPr>
      <w:r w:rsidRPr="005F15DA">
        <w:t>Der Erblasser kann auch einen Willensvollstrecker bezeichnen, der die von ihm vo</w:t>
      </w:r>
      <w:r w:rsidRPr="005F15DA">
        <w:t>r</w:t>
      </w:r>
      <w:r w:rsidRPr="005F15DA">
        <w:t>gesehene Teilung der Erbschaft vorzunehmen hat.</w:t>
      </w:r>
    </w:p>
    <w:p w:rsidR="00E40D09" w:rsidRPr="005F15DA" w:rsidRDefault="00E40D09" w:rsidP="00A11594">
      <w:pPr>
        <w:ind w:left="851"/>
      </w:pPr>
    </w:p>
    <w:p w:rsidR="00E40D09" w:rsidRPr="005F15DA" w:rsidRDefault="00E40D09" w:rsidP="00A11594">
      <w:pPr>
        <w:ind w:left="851"/>
      </w:pPr>
    </w:p>
    <w:p w:rsidR="005D70F9" w:rsidRPr="005F15DA" w:rsidRDefault="005D70F9" w:rsidP="00A11594">
      <w:pPr>
        <w:pStyle w:val="berschrift5"/>
      </w:pPr>
      <w:r w:rsidRPr="005F15DA">
        <w:rPr>
          <w:spacing w:val="-12"/>
        </w:rPr>
        <w:t>1.4.</w:t>
      </w:r>
      <w:r w:rsidRPr="005F15DA">
        <w:tab/>
        <w:t>Nutzniessung nach Art. 473 ZGB</w:t>
      </w:r>
    </w:p>
    <w:p w:rsidR="005D70F9" w:rsidRPr="005F15DA" w:rsidRDefault="005D70F9" w:rsidP="00A11594">
      <w:pPr>
        <w:ind w:left="851"/>
      </w:pPr>
      <w:r w:rsidRPr="005F15DA">
        <w:t>Der Erblasser kann dem überlebenden Ehegatten gegenüber den gemeinsamen Kindern an der ganzen Erbschaft die lebenslängliche Nutzniessung zuwenden. Diese Nutzniessung tritt allerdings an die Stelle des normalen Erbanspruches des Ehega</w:t>
      </w:r>
      <w:r w:rsidRPr="005F15DA">
        <w:t>t</w:t>
      </w:r>
      <w:r w:rsidRPr="005F15DA">
        <w:t>ten; er fällt somit als Erbe weg. Den Nachkommen verbleibt somit bis zum Tode des überlebenden Ehegatten nur das nackte Eigentum an der Erbschaft, die Nutzung der einzelnen Gegenstände und Rechte haben sie nicht. Der Nutzniesser seinerseits kann nur über die Erträgnisse, nicht aber über die Erbschaft selber verfügen. Der mit der Nutzniessung belastete Erbteil wird normalerweise erst mit dem Tod des Nut</w:t>
      </w:r>
      <w:r w:rsidRPr="005F15DA">
        <w:t>z</w:t>
      </w:r>
      <w:r w:rsidRPr="005F15DA">
        <w:t>niessers frei. Nur im Falle der Wiederverheiratung des Berechtigten entfällt die Nut</w:t>
      </w:r>
      <w:r w:rsidRPr="005F15DA">
        <w:t>z</w:t>
      </w:r>
      <w:r w:rsidRPr="005F15DA">
        <w:t>niessung teilweise.</w:t>
      </w:r>
    </w:p>
    <w:p w:rsidR="00A11594" w:rsidRPr="005F15DA" w:rsidRDefault="00A11594" w:rsidP="00A11594">
      <w:pPr>
        <w:ind w:left="851"/>
      </w:pPr>
    </w:p>
    <w:p w:rsidR="005D70F9" w:rsidRPr="005F15DA" w:rsidRDefault="005D70F9" w:rsidP="00A11594">
      <w:pPr>
        <w:ind w:left="851"/>
      </w:pPr>
      <w:r w:rsidRPr="005F15DA">
        <w:t>Dem überlebenden Ehegatten kann zudem nebst dieser Nutzniessung eine Erbquote von ¼</w:t>
      </w:r>
      <w:r w:rsidRPr="005F15DA">
        <w:rPr>
          <w:i/>
        </w:rPr>
        <w:t xml:space="preserve"> </w:t>
      </w:r>
      <w:r w:rsidRPr="005F15DA">
        <w:t>zugewiesen werden.</w:t>
      </w:r>
    </w:p>
    <w:p w:rsidR="00E40D09" w:rsidRPr="005F15DA" w:rsidRDefault="00E40D09" w:rsidP="00E40D09"/>
    <w:p w:rsidR="00E40D09" w:rsidRPr="005F15DA" w:rsidRDefault="00E40D09" w:rsidP="00E40D09"/>
    <w:p w:rsidR="005D70F9" w:rsidRPr="005F15DA" w:rsidRDefault="005D70F9" w:rsidP="00A11594">
      <w:pPr>
        <w:pStyle w:val="berschrift4"/>
      </w:pPr>
      <w:r w:rsidRPr="005F15DA">
        <w:t>2.</w:t>
      </w:r>
      <w:r w:rsidRPr="005F15DA">
        <w:tab/>
        <w:t>Grenzen der Änderungsmöglichkeiten</w:t>
      </w:r>
    </w:p>
    <w:p w:rsidR="005D70F9" w:rsidRPr="005F15DA" w:rsidRDefault="005D70F9" w:rsidP="00A11594">
      <w:pPr>
        <w:ind w:left="426"/>
      </w:pPr>
      <w:r w:rsidRPr="005F15DA">
        <w:t>Der Erblasser kann die Erbfolge weitgehend selber regeln und so die gesetzlichen Bes</w:t>
      </w:r>
      <w:r w:rsidRPr="005F15DA">
        <w:t>t</w:t>
      </w:r>
      <w:r w:rsidRPr="005F15DA">
        <w:t>immungen abändern. Er ist dabei aber an die Schranken des Pflichtteilsrechtes gebu</w:t>
      </w:r>
      <w:r w:rsidRPr="005F15DA">
        <w:t>n</w:t>
      </w:r>
      <w:r w:rsidRPr="005F15DA">
        <w:t>den, sofern die pflichtteilsgeschützten Erben nicht in einem Erbvertrag auf ihre gesetzl</w:t>
      </w:r>
      <w:r w:rsidRPr="005F15DA">
        <w:t>i</w:t>
      </w:r>
      <w:r w:rsidRPr="005F15DA">
        <w:t>chen Ansprüche verzichtet haben.</w:t>
      </w:r>
    </w:p>
    <w:p w:rsidR="005D70F9" w:rsidRPr="005F15DA" w:rsidRDefault="005D70F9" w:rsidP="00A11594">
      <w:pPr>
        <w:pStyle w:val="berschrift5"/>
      </w:pPr>
      <w:r w:rsidRPr="005F15DA">
        <w:rPr>
          <w:spacing w:val="-8"/>
        </w:rPr>
        <w:lastRenderedPageBreak/>
        <w:t>2.1.</w:t>
      </w:r>
      <w:r w:rsidRPr="005F15DA">
        <w:tab/>
        <w:t>Begriff des Pflichtteils</w:t>
      </w:r>
    </w:p>
    <w:p w:rsidR="005D70F9" w:rsidRPr="005F15DA" w:rsidRDefault="005D70F9" w:rsidP="00A11594">
      <w:pPr>
        <w:ind w:left="851"/>
      </w:pPr>
      <w:r w:rsidRPr="005F15DA">
        <w:t>Die Nachkommen, der überlebende Ehegatte und die Eltern des Erblassers haben Anspruch auf einen Teil des Nachlasses, der ihnen grundsätzlich nicht entzogen werden darf (= Pflichtteil). Weitere pflichtteilsgeschützte Erben kennt das Gesetz nicht.</w:t>
      </w:r>
    </w:p>
    <w:p w:rsidR="005D70F9" w:rsidRPr="005F15DA" w:rsidRDefault="005D70F9" w:rsidP="00A11594">
      <w:pPr>
        <w:ind w:left="851"/>
      </w:pPr>
      <w:r w:rsidRPr="005F15DA">
        <w:t>Den nicht pflichtteilsgeschützten Teil des Nachlasses nennt man frei verfügbare Qu</w:t>
      </w:r>
      <w:r w:rsidRPr="005F15DA">
        <w:t>o</w:t>
      </w:r>
      <w:r w:rsidRPr="005F15DA">
        <w:t>te,  über die der Erblasser nach eigenem Gutdünken verfügen kann.</w:t>
      </w:r>
    </w:p>
    <w:p w:rsidR="005D70F9" w:rsidRPr="005F15DA" w:rsidRDefault="005D70F9" w:rsidP="00A11594">
      <w:pPr>
        <w:ind w:left="851"/>
      </w:pPr>
      <w:r w:rsidRPr="005F15DA">
        <w:t xml:space="preserve">Verletzt der Erblasser in Verfügungen von </w:t>
      </w:r>
      <w:proofErr w:type="gramStart"/>
      <w:r w:rsidRPr="005F15DA">
        <w:t>Todes</w:t>
      </w:r>
      <w:proofErr w:type="gramEnd"/>
      <w:r w:rsidRPr="005F15DA">
        <w:t xml:space="preserve"> wegen Pflichtteile, können die en</w:t>
      </w:r>
      <w:r w:rsidRPr="005F15DA">
        <w:t>t</w:t>
      </w:r>
      <w:r w:rsidRPr="005F15DA">
        <w:t>sprechenden Erben ihren Anspruch beim Richter mit der Herabsetzungsklage ge</w:t>
      </w:r>
      <w:r w:rsidRPr="005F15DA">
        <w:t>l</w:t>
      </w:r>
      <w:r w:rsidRPr="005F15DA">
        <w:t>tend machen.</w:t>
      </w:r>
    </w:p>
    <w:p w:rsidR="005D70F9" w:rsidRPr="005F15DA" w:rsidRDefault="005D70F9" w:rsidP="00A11594">
      <w:pPr>
        <w:ind w:left="851"/>
      </w:pPr>
    </w:p>
    <w:p w:rsidR="00E40D09" w:rsidRPr="005F15DA" w:rsidRDefault="00E40D09" w:rsidP="00A11594">
      <w:pPr>
        <w:ind w:left="851"/>
      </w:pPr>
    </w:p>
    <w:p w:rsidR="005D70F9" w:rsidRPr="005F15DA" w:rsidRDefault="005D70F9" w:rsidP="00A11594">
      <w:pPr>
        <w:pStyle w:val="berschrift5"/>
      </w:pPr>
      <w:r w:rsidRPr="005F15DA">
        <w:rPr>
          <w:spacing w:val="-7"/>
        </w:rPr>
        <w:t>2.2.</w:t>
      </w:r>
      <w:r w:rsidRPr="005F15DA">
        <w:tab/>
        <w:t>Höhe der Pflichtteile</w:t>
      </w:r>
    </w:p>
    <w:p w:rsidR="005D70F9" w:rsidRPr="005F15DA" w:rsidRDefault="005D70F9" w:rsidP="00A11594">
      <w:pPr>
        <w:pStyle w:val="berschrift6"/>
        <w:tabs>
          <w:tab w:val="clear" w:pos="1701"/>
          <w:tab w:val="left" w:pos="1560"/>
        </w:tabs>
        <w:ind w:left="851"/>
      </w:pPr>
      <w:r w:rsidRPr="005F15DA">
        <w:rPr>
          <w:spacing w:val="-7"/>
        </w:rPr>
        <w:t>2.2.1.</w:t>
      </w:r>
      <w:r w:rsidRPr="005F15DA">
        <w:tab/>
        <w:t>der Nachkommen</w:t>
      </w:r>
    </w:p>
    <w:p w:rsidR="005D70F9" w:rsidRPr="005F15DA" w:rsidRDefault="005D70F9" w:rsidP="00A11594">
      <w:pPr>
        <w:ind w:left="1560"/>
      </w:pPr>
      <w:r w:rsidRPr="005F15DA">
        <w:t>Der Pflichtteil ist immer ein Teil des gesetzlichen Erbanspruches des g</w:t>
      </w:r>
      <w:r w:rsidRPr="005F15DA">
        <w:t>e</w:t>
      </w:r>
      <w:r w:rsidRPr="005F15DA">
        <w:t>schützten Erben. Für Nachkommen beträgt er drei Viertel des gesetzlichen Erbteils. Hinterlässt der Erblasser nur Nachkommen, so erhalten diese die ganze Erbschaft zu gleichen Teilen. Der Verstorbene kann ihnen nun je einen Viertel ihres Anteiles entziehen und so über höchstens einen Viertel des Nachlasses frei verfügen.</w:t>
      </w:r>
    </w:p>
    <w:p w:rsidR="00E40D09" w:rsidRPr="005F15DA" w:rsidRDefault="00E40D09" w:rsidP="00A11594">
      <w:pPr>
        <w:ind w:left="1560"/>
      </w:pPr>
    </w:p>
    <w:p w:rsidR="005D70F9" w:rsidRPr="005F15DA" w:rsidRDefault="005D70F9" w:rsidP="00A11594">
      <w:pPr>
        <w:pStyle w:val="berschrift6"/>
        <w:tabs>
          <w:tab w:val="clear" w:pos="1701"/>
          <w:tab w:val="left" w:pos="1560"/>
        </w:tabs>
        <w:ind w:left="851"/>
      </w:pPr>
      <w:r w:rsidRPr="005F15DA">
        <w:rPr>
          <w:spacing w:val="-6"/>
        </w:rPr>
        <w:t>2.2.2.</w:t>
      </w:r>
      <w:r w:rsidRPr="005F15DA">
        <w:tab/>
        <w:t>des Ehegatten</w:t>
      </w:r>
    </w:p>
    <w:p w:rsidR="005D70F9" w:rsidRPr="005F15DA" w:rsidRDefault="005D70F9" w:rsidP="00053DBE">
      <w:pPr>
        <w:ind w:left="1560"/>
      </w:pPr>
      <w:r w:rsidRPr="005F15DA">
        <w:t>Die Höhe des Erbanspruches und somit auch des Pflichtteiles des überlebe</w:t>
      </w:r>
      <w:r w:rsidRPr="005F15DA">
        <w:t>n</w:t>
      </w:r>
      <w:r w:rsidRPr="005F15DA">
        <w:t>den Ehegatten hängt davon ab, mit welchen Verwandten er zu teilen hat.</w:t>
      </w:r>
    </w:p>
    <w:p w:rsidR="00053DBE" w:rsidRPr="005F15DA" w:rsidRDefault="00053DBE" w:rsidP="00053DBE">
      <w:pPr>
        <w:ind w:left="1560"/>
      </w:pPr>
    </w:p>
    <w:p w:rsidR="005D70F9" w:rsidRPr="005F15DA" w:rsidRDefault="005D70F9" w:rsidP="00053DBE">
      <w:pPr>
        <w:ind w:left="1560"/>
      </w:pPr>
      <w:r w:rsidRPr="005F15DA">
        <w:t>Der Pflichtteilsanspruch des Ehegatten beträgt die Hälfte seines gesetzlichen Erbteils, also</w:t>
      </w:r>
    </w:p>
    <w:p w:rsidR="005D70F9" w:rsidRPr="005F15DA" w:rsidRDefault="005D70F9" w:rsidP="009D34F3">
      <w:pPr>
        <w:pStyle w:val="Listenabsatz"/>
        <w:numPr>
          <w:ilvl w:val="0"/>
          <w:numId w:val="48"/>
        </w:numPr>
        <w:ind w:left="1843" w:hanging="283"/>
      </w:pPr>
      <w:r w:rsidRPr="005F15DA">
        <w:t>neben Nachkommen:  ½ von ½ = ¼ des Nachlasses</w:t>
      </w:r>
    </w:p>
    <w:p w:rsidR="005D70F9" w:rsidRPr="005F15DA" w:rsidRDefault="005D70F9" w:rsidP="009D34F3">
      <w:pPr>
        <w:pStyle w:val="Listenabsatz"/>
        <w:numPr>
          <w:ilvl w:val="0"/>
          <w:numId w:val="48"/>
        </w:numPr>
        <w:ind w:left="1843" w:hanging="283"/>
      </w:pPr>
      <w:r w:rsidRPr="005F15DA">
        <w:t>neben Erben des Elternstammes: ½ von ¾ = 3/8 des Nachlasses</w:t>
      </w:r>
    </w:p>
    <w:p w:rsidR="005D70F9" w:rsidRPr="005F15DA" w:rsidRDefault="005D70F9" w:rsidP="009D34F3">
      <w:pPr>
        <w:pStyle w:val="Listenabsatz"/>
        <w:numPr>
          <w:ilvl w:val="0"/>
          <w:numId w:val="48"/>
        </w:numPr>
        <w:ind w:left="1843" w:hanging="283"/>
      </w:pPr>
      <w:r w:rsidRPr="005F15DA">
        <w:t>neben Erben des Grosselternstammes: ½ des Nachlasses</w:t>
      </w:r>
    </w:p>
    <w:p w:rsidR="00E40D09" w:rsidRPr="005F15DA" w:rsidRDefault="00E40D09" w:rsidP="00053DBE"/>
    <w:p w:rsidR="005D70F9" w:rsidRPr="005F15DA" w:rsidRDefault="005D70F9" w:rsidP="00053DBE">
      <w:pPr>
        <w:pStyle w:val="berschrift6"/>
        <w:tabs>
          <w:tab w:val="clear" w:pos="1701"/>
          <w:tab w:val="left" w:pos="1560"/>
        </w:tabs>
        <w:ind w:left="851"/>
      </w:pPr>
      <w:r w:rsidRPr="005F15DA">
        <w:t>2.2.3.</w:t>
      </w:r>
      <w:r w:rsidRPr="005F15DA">
        <w:tab/>
        <w:t>der Eltern</w:t>
      </w:r>
    </w:p>
    <w:p w:rsidR="005D70F9" w:rsidRPr="005F15DA" w:rsidRDefault="005D70F9" w:rsidP="00053DBE">
      <w:pPr>
        <w:ind w:left="1560"/>
      </w:pPr>
      <w:r w:rsidRPr="005F15DA">
        <w:t>Der Pflichtteil der Eltern beträgt je die Hälfte ihres gesetzlichen Erbanspruchs.</w:t>
      </w:r>
    </w:p>
    <w:p w:rsidR="00053DBE" w:rsidRPr="005F15DA" w:rsidRDefault="00053DBE" w:rsidP="00053DBE">
      <w:pPr>
        <w:ind w:left="1560"/>
      </w:pPr>
    </w:p>
    <w:p w:rsidR="00053DBE" w:rsidRPr="005F15DA" w:rsidRDefault="00053DBE" w:rsidP="00053DBE">
      <w:pPr>
        <w:ind w:left="1560"/>
      </w:pPr>
    </w:p>
    <w:p w:rsidR="005D70F9" w:rsidRPr="005F15DA" w:rsidRDefault="005D70F9" w:rsidP="00053DBE">
      <w:pPr>
        <w:tabs>
          <w:tab w:val="left" w:pos="2552"/>
          <w:tab w:val="left" w:pos="3686"/>
          <w:tab w:val="left" w:pos="5670"/>
        </w:tabs>
        <w:ind w:left="851"/>
      </w:pPr>
      <w:r w:rsidRPr="005F15DA">
        <w:t>Beispiele:</w:t>
      </w:r>
    </w:p>
    <w:p w:rsidR="00053DBE" w:rsidRPr="005F15DA" w:rsidRDefault="00053DBE" w:rsidP="0060434B">
      <w:pPr>
        <w:tabs>
          <w:tab w:val="left" w:pos="2410"/>
          <w:tab w:val="left" w:pos="3402"/>
          <w:tab w:val="left" w:pos="5103"/>
          <w:tab w:val="left" w:pos="6946"/>
        </w:tabs>
        <w:ind w:left="851"/>
        <w:rPr>
          <w:spacing w:val="-2"/>
        </w:rPr>
      </w:pPr>
      <w:r w:rsidRPr="005F15DA">
        <w:rPr>
          <w:spacing w:val="-2"/>
          <w:u w:val="single"/>
        </w:rPr>
        <w:t>Nachkommen allein</w:t>
      </w:r>
      <w:r w:rsidRPr="005F15DA">
        <w:rPr>
          <w:spacing w:val="-2"/>
        </w:rPr>
        <w:t>:</w:t>
      </w:r>
    </w:p>
    <w:p w:rsidR="005D70F9" w:rsidRPr="005F15DA" w:rsidRDefault="005D70F9" w:rsidP="0060434B">
      <w:pPr>
        <w:tabs>
          <w:tab w:val="left" w:pos="2410"/>
          <w:tab w:val="left" w:pos="3402"/>
          <w:tab w:val="left" w:pos="5103"/>
          <w:tab w:val="left" w:pos="6946"/>
        </w:tabs>
        <w:ind w:left="851"/>
        <w:rPr>
          <w:spacing w:val="-2"/>
        </w:rPr>
      </w:pPr>
      <w:r w:rsidRPr="005F15DA">
        <w:rPr>
          <w:spacing w:val="-2"/>
        </w:rPr>
        <w:t>Erbanteil</w:t>
      </w:r>
      <w:r w:rsidR="00053DBE" w:rsidRPr="005F15DA">
        <w:rPr>
          <w:spacing w:val="-2"/>
        </w:rPr>
        <w:t>:</w:t>
      </w:r>
      <w:r w:rsidRPr="005F15DA">
        <w:rPr>
          <w:spacing w:val="-2"/>
        </w:rPr>
        <w:tab/>
      </w:r>
      <w:r w:rsidR="00053DBE" w:rsidRPr="005F15DA">
        <w:rPr>
          <w:spacing w:val="-2"/>
        </w:rPr>
        <w:tab/>
      </w:r>
      <w:r w:rsidRPr="005F15DA">
        <w:rPr>
          <w:spacing w:val="-2"/>
        </w:rPr>
        <w:t>Pflichtteil</w:t>
      </w:r>
      <w:r w:rsidR="00053DBE" w:rsidRPr="005F15DA">
        <w:rPr>
          <w:spacing w:val="-2"/>
        </w:rPr>
        <w:t>:</w:t>
      </w:r>
      <w:r w:rsidR="0060434B" w:rsidRPr="005F15DA">
        <w:rPr>
          <w:spacing w:val="-2"/>
        </w:rPr>
        <w:tab/>
      </w:r>
      <w:r w:rsidR="0060434B" w:rsidRPr="005F15DA">
        <w:rPr>
          <w:spacing w:val="-2"/>
        </w:rPr>
        <w:tab/>
        <w:t>Freie Quote:</w:t>
      </w:r>
    </w:p>
    <w:p w:rsidR="005D70F9" w:rsidRPr="005F15DA" w:rsidRDefault="005D70F9" w:rsidP="0060434B">
      <w:pPr>
        <w:tabs>
          <w:tab w:val="left" w:pos="2410"/>
          <w:tab w:val="left" w:pos="3402"/>
          <w:tab w:val="left" w:pos="5103"/>
          <w:tab w:val="left" w:pos="6946"/>
        </w:tabs>
        <w:ind w:left="851"/>
        <w:rPr>
          <w:spacing w:val="-2"/>
        </w:rPr>
      </w:pPr>
      <w:r w:rsidRPr="005F15DA">
        <w:rPr>
          <w:spacing w:val="-2"/>
        </w:rPr>
        <w:t>Nachkommen</w:t>
      </w:r>
      <w:r w:rsidRPr="005F15DA">
        <w:rPr>
          <w:spacing w:val="-2"/>
        </w:rPr>
        <w:tab/>
        <w:t>1/1</w:t>
      </w:r>
      <w:r w:rsidRPr="005F15DA">
        <w:rPr>
          <w:spacing w:val="-2"/>
        </w:rPr>
        <w:tab/>
        <w:t>Nachkommen</w:t>
      </w:r>
      <w:r w:rsidRPr="005F15DA">
        <w:rPr>
          <w:spacing w:val="-2"/>
        </w:rPr>
        <w:tab/>
        <w:t xml:space="preserve">¾ davon = ¾ </w:t>
      </w:r>
    </w:p>
    <w:p w:rsidR="005D70F9" w:rsidRPr="005F15DA" w:rsidRDefault="005D70F9" w:rsidP="0060434B">
      <w:pPr>
        <w:tabs>
          <w:tab w:val="left" w:pos="2410"/>
          <w:tab w:val="left" w:pos="3402"/>
          <w:tab w:val="left" w:pos="5103"/>
          <w:tab w:val="left" w:pos="6946"/>
        </w:tabs>
        <w:ind w:left="851"/>
        <w:rPr>
          <w:spacing w:val="-2"/>
        </w:rPr>
      </w:pPr>
      <w:r w:rsidRPr="005F15DA">
        <w:rPr>
          <w:spacing w:val="-2"/>
        </w:rPr>
        <w:tab/>
      </w:r>
      <w:r w:rsidRPr="005F15DA">
        <w:rPr>
          <w:spacing w:val="-2"/>
        </w:rPr>
        <w:tab/>
        <w:t>freie Quote</w:t>
      </w:r>
      <w:r w:rsidRPr="005F15DA">
        <w:rPr>
          <w:spacing w:val="-2"/>
        </w:rPr>
        <w:tab/>
      </w:r>
      <w:r w:rsidR="0060434B" w:rsidRPr="005F15DA">
        <w:rPr>
          <w:spacing w:val="-2"/>
        </w:rPr>
        <w:tab/>
      </w:r>
      <w:r w:rsidRPr="005F15DA">
        <w:rPr>
          <w:spacing w:val="-2"/>
        </w:rPr>
        <w:t xml:space="preserve">¼ </w:t>
      </w:r>
    </w:p>
    <w:p w:rsidR="00053DBE" w:rsidRPr="005F15DA" w:rsidRDefault="00053DBE" w:rsidP="0060434B">
      <w:pPr>
        <w:tabs>
          <w:tab w:val="left" w:pos="2410"/>
          <w:tab w:val="left" w:pos="3402"/>
          <w:tab w:val="left" w:pos="5103"/>
          <w:tab w:val="left" w:pos="6946"/>
        </w:tabs>
        <w:ind w:left="851"/>
        <w:rPr>
          <w:spacing w:val="-2"/>
        </w:rPr>
      </w:pPr>
    </w:p>
    <w:p w:rsidR="00053DBE" w:rsidRPr="005F15DA" w:rsidRDefault="00053DBE" w:rsidP="0060434B">
      <w:pPr>
        <w:tabs>
          <w:tab w:val="left" w:pos="2410"/>
          <w:tab w:val="left" w:pos="3402"/>
          <w:tab w:val="left" w:pos="5103"/>
          <w:tab w:val="left" w:pos="6946"/>
        </w:tabs>
        <w:ind w:left="851"/>
        <w:rPr>
          <w:spacing w:val="-2"/>
        </w:rPr>
      </w:pPr>
      <w:r w:rsidRPr="005F15DA">
        <w:rPr>
          <w:spacing w:val="-2"/>
          <w:u w:val="single"/>
        </w:rPr>
        <w:t>Nachkommen und Ehegatte</w:t>
      </w:r>
      <w:r w:rsidRPr="005F15DA">
        <w:rPr>
          <w:spacing w:val="-2"/>
        </w:rPr>
        <w:t>:</w:t>
      </w:r>
    </w:p>
    <w:p w:rsidR="005D70F9" w:rsidRPr="005F15DA" w:rsidRDefault="005D70F9" w:rsidP="0060434B">
      <w:pPr>
        <w:tabs>
          <w:tab w:val="left" w:pos="2410"/>
          <w:tab w:val="left" w:pos="3402"/>
          <w:tab w:val="left" w:pos="5103"/>
          <w:tab w:val="left" w:pos="6946"/>
        </w:tabs>
        <w:ind w:left="851"/>
        <w:rPr>
          <w:spacing w:val="-2"/>
        </w:rPr>
      </w:pPr>
      <w:r w:rsidRPr="005F15DA">
        <w:rPr>
          <w:spacing w:val="-2"/>
        </w:rPr>
        <w:t>Erbanteil</w:t>
      </w:r>
      <w:r w:rsidR="00053DBE" w:rsidRPr="005F15DA">
        <w:rPr>
          <w:spacing w:val="-2"/>
        </w:rPr>
        <w:t>:</w:t>
      </w:r>
      <w:r w:rsidRPr="005F15DA">
        <w:rPr>
          <w:spacing w:val="-2"/>
        </w:rPr>
        <w:tab/>
      </w:r>
      <w:r w:rsidR="00053DBE" w:rsidRPr="005F15DA">
        <w:rPr>
          <w:spacing w:val="-2"/>
        </w:rPr>
        <w:tab/>
      </w:r>
      <w:r w:rsidRPr="005F15DA">
        <w:rPr>
          <w:spacing w:val="-2"/>
        </w:rPr>
        <w:t>Pflichtteil</w:t>
      </w:r>
      <w:r w:rsidR="00053DBE" w:rsidRPr="005F15DA">
        <w:rPr>
          <w:spacing w:val="-2"/>
        </w:rPr>
        <w:t>:</w:t>
      </w:r>
      <w:r w:rsidR="0060434B" w:rsidRPr="005F15DA">
        <w:rPr>
          <w:spacing w:val="-2"/>
        </w:rPr>
        <w:tab/>
      </w:r>
      <w:r w:rsidR="0060434B" w:rsidRPr="005F15DA">
        <w:rPr>
          <w:spacing w:val="-2"/>
        </w:rPr>
        <w:tab/>
        <w:t>Freie Quote:</w:t>
      </w:r>
    </w:p>
    <w:p w:rsidR="005D70F9" w:rsidRPr="005F15DA" w:rsidRDefault="005D70F9" w:rsidP="0060434B">
      <w:pPr>
        <w:tabs>
          <w:tab w:val="left" w:pos="2410"/>
          <w:tab w:val="left" w:pos="3402"/>
          <w:tab w:val="left" w:pos="5103"/>
          <w:tab w:val="left" w:pos="6946"/>
        </w:tabs>
        <w:ind w:left="851"/>
        <w:rPr>
          <w:spacing w:val="-2"/>
        </w:rPr>
      </w:pPr>
      <w:r w:rsidRPr="005F15DA">
        <w:rPr>
          <w:spacing w:val="-2"/>
        </w:rPr>
        <w:t>Ehegatte</w:t>
      </w:r>
      <w:r w:rsidRPr="005F15DA">
        <w:rPr>
          <w:spacing w:val="-2"/>
        </w:rPr>
        <w:tab/>
        <w:t xml:space="preserve">½ </w:t>
      </w:r>
      <w:r w:rsidRPr="005F15DA">
        <w:rPr>
          <w:spacing w:val="-2"/>
        </w:rPr>
        <w:tab/>
        <w:t>Ehegatte</w:t>
      </w:r>
      <w:r w:rsidRPr="005F15DA">
        <w:rPr>
          <w:spacing w:val="-2"/>
        </w:rPr>
        <w:tab/>
        <w:t xml:space="preserve">½ davon = ¼ </w:t>
      </w:r>
      <w:r w:rsidRPr="005F15DA">
        <w:rPr>
          <w:spacing w:val="-2"/>
        </w:rPr>
        <w:tab/>
      </w:r>
    </w:p>
    <w:p w:rsidR="005D70F9" w:rsidRPr="005F15DA" w:rsidRDefault="005D70F9" w:rsidP="0060434B">
      <w:pPr>
        <w:tabs>
          <w:tab w:val="left" w:pos="2410"/>
          <w:tab w:val="left" w:pos="3402"/>
          <w:tab w:val="left" w:pos="5103"/>
          <w:tab w:val="left" w:pos="6946"/>
        </w:tabs>
        <w:ind w:left="851"/>
        <w:rPr>
          <w:spacing w:val="-2"/>
        </w:rPr>
      </w:pPr>
      <w:r w:rsidRPr="005F15DA">
        <w:rPr>
          <w:spacing w:val="-2"/>
        </w:rPr>
        <w:t>Nachkommen</w:t>
      </w:r>
      <w:r w:rsidRPr="005F15DA">
        <w:rPr>
          <w:spacing w:val="-2"/>
        </w:rPr>
        <w:tab/>
        <w:t>½</w:t>
      </w:r>
      <w:r w:rsidRPr="005F15DA">
        <w:rPr>
          <w:spacing w:val="-2"/>
        </w:rPr>
        <w:tab/>
        <w:t>Nachkommen</w:t>
      </w:r>
      <w:r w:rsidRPr="005F15DA">
        <w:rPr>
          <w:spacing w:val="-2"/>
        </w:rPr>
        <w:tab/>
        <w:t xml:space="preserve">¾ davon = 3/8 </w:t>
      </w:r>
      <w:r w:rsidRPr="005F15DA">
        <w:rPr>
          <w:spacing w:val="-2"/>
        </w:rPr>
        <w:tab/>
      </w:r>
    </w:p>
    <w:p w:rsidR="005D70F9" w:rsidRPr="005F15DA" w:rsidRDefault="005D70F9" w:rsidP="0060434B">
      <w:pPr>
        <w:tabs>
          <w:tab w:val="left" w:pos="2410"/>
          <w:tab w:val="left" w:pos="3402"/>
          <w:tab w:val="left" w:pos="5103"/>
          <w:tab w:val="left" w:pos="6946"/>
        </w:tabs>
        <w:ind w:left="851"/>
        <w:rPr>
          <w:spacing w:val="-2"/>
        </w:rPr>
      </w:pPr>
      <w:r w:rsidRPr="005F15DA">
        <w:rPr>
          <w:spacing w:val="-2"/>
        </w:rPr>
        <w:tab/>
      </w:r>
      <w:r w:rsidRPr="005F15DA">
        <w:rPr>
          <w:spacing w:val="-2"/>
        </w:rPr>
        <w:tab/>
        <w:t>freie Quote</w:t>
      </w:r>
      <w:r w:rsidR="0060434B" w:rsidRPr="005F15DA">
        <w:rPr>
          <w:spacing w:val="-2"/>
        </w:rPr>
        <w:t xml:space="preserve"> (1/4 + 1/8)</w:t>
      </w:r>
      <w:r w:rsidRPr="005F15DA">
        <w:rPr>
          <w:spacing w:val="-2"/>
        </w:rPr>
        <w:tab/>
      </w:r>
      <w:r w:rsidR="0060434B" w:rsidRPr="005F15DA">
        <w:rPr>
          <w:spacing w:val="-2"/>
        </w:rPr>
        <w:tab/>
      </w:r>
      <w:r w:rsidRPr="005F15DA">
        <w:rPr>
          <w:spacing w:val="-2"/>
        </w:rPr>
        <w:t xml:space="preserve">3/8 </w:t>
      </w:r>
    </w:p>
    <w:p w:rsidR="005D70F9" w:rsidRPr="005F15DA" w:rsidRDefault="005D70F9" w:rsidP="00A11594">
      <w:pPr>
        <w:pStyle w:val="berschrift4"/>
      </w:pPr>
      <w:r w:rsidRPr="005F15DA">
        <w:lastRenderedPageBreak/>
        <w:t>3.</w:t>
      </w:r>
      <w:r w:rsidRPr="005F15DA">
        <w:tab/>
        <w:t>Verfügungsfähigkeit (Art. 467 – 469 ZGB)</w:t>
      </w:r>
    </w:p>
    <w:p w:rsidR="005D70F9" w:rsidRPr="005F15DA" w:rsidRDefault="005D70F9" w:rsidP="0060434B">
      <w:pPr>
        <w:ind w:left="426"/>
      </w:pPr>
      <w:r w:rsidRPr="005F15DA">
        <w:t>Damit eine Person eine Verfügung von Todes wegen errichten kann, muss sie urteilsfähig</w:t>
      </w:r>
      <w:r w:rsidR="004262D2">
        <w:t xml:space="preserve"> sein</w:t>
      </w:r>
      <w:r w:rsidRPr="005F15DA">
        <w:t xml:space="preserve"> und </w:t>
      </w:r>
      <w:r w:rsidR="004262D2">
        <w:t>das 18. Lebensjahr zurückgelegt haben</w:t>
      </w:r>
      <w:r w:rsidRPr="005F15DA">
        <w:t xml:space="preserve">, d.h. </w:t>
      </w:r>
      <w:r w:rsidR="00370647">
        <w:t xml:space="preserve">sie muss </w:t>
      </w:r>
      <w:r w:rsidRPr="005F15DA">
        <w:t>handlungsfähig sein.</w:t>
      </w:r>
    </w:p>
    <w:p w:rsidR="0060434B" w:rsidRPr="005F15DA" w:rsidRDefault="0060434B" w:rsidP="0060434B">
      <w:pPr>
        <w:ind w:left="426"/>
      </w:pPr>
    </w:p>
    <w:p w:rsidR="005D70F9" w:rsidRPr="005F15DA" w:rsidRDefault="005D70F9" w:rsidP="0060434B">
      <w:pPr>
        <w:ind w:left="426"/>
      </w:pPr>
      <w:r w:rsidRPr="005F15DA">
        <w:t>Wird eine Verfügung von Todes wegen unter dem Einfluss von Irrtum, arglistiger Tä</w:t>
      </w:r>
      <w:r w:rsidRPr="005F15DA">
        <w:t>u</w:t>
      </w:r>
      <w:r w:rsidRPr="005F15DA">
        <w:t>schung, Drohung oder Zwang errichtet, ist sie ungültig, ausser der Erblasser widerrufe diese nicht innert eines Jahres, nachdem er den Irrtum oder die Täuschung bemerkt hat bzw. der Einfluss von Zwang oder Drohung weggefallen sind.</w:t>
      </w:r>
    </w:p>
    <w:p w:rsidR="00E40D09" w:rsidRPr="005F15DA" w:rsidRDefault="00E40D09" w:rsidP="00E40D09"/>
    <w:p w:rsidR="00E40D09" w:rsidRPr="005F15DA" w:rsidRDefault="00E40D09" w:rsidP="00E40D09"/>
    <w:p w:rsidR="005D70F9" w:rsidRPr="005F15DA" w:rsidRDefault="005D70F9" w:rsidP="00A11594">
      <w:pPr>
        <w:pStyle w:val="berschrift4"/>
      </w:pPr>
      <w:r w:rsidRPr="005F15DA">
        <w:t>4.</w:t>
      </w:r>
      <w:r w:rsidRPr="005F15DA">
        <w:tab/>
        <w:t>Verfügungsfreiheit (Art. 470 – 480 ZGB)</w:t>
      </w:r>
    </w:p>
    <w:p w:rsidR="005D70F9" w:rsidRPr="005F15DA" w:rsidRDefault="005D70F9" w:rsidP="0060434B">
      <w:pPr>
        <w:tabs>
          <w:tab w:val="left" w:pos="709"/>
        </w:tabs>
        <w:ind w:left="426"/>
      </w:pPr>
      <w:r w:rsidRPr="005F15DA">
        <w:t xml:space="preserve">Der Erblasser kann, soweit er nicht </w:t>
      </w:r>
      <w:proofErr w:type="spellStart"/>
      <w:r w:rsidRPr="005F15DA">
        <w:t>Nachkommen</w:t>
      </w:r>
      <w:proofErr w:type="spellEnd"/>
      <w:r w:rsidRPr="005F15DA">
        <w:t>, Ehegatten oder Eltern hinterlässt, frei über sein Vermögen verfügen (Art. 470 ZGB). Nachkommen, Ehegatten und Eltern räumt das Gesetz einen Pflichtteil ein, welcher ihnen nicht entzogen werden darf. Den nicht pflichtteilsgeschützten Teil des Nachlasses nennt man frei verfügbare Quote, über die der Erblasser nach eigenem Gutdünken verfügen kann.</w:t>
      </w:r>
    </w:p>
    <w:p w:rsidR="0060434B" w:rsidRPr="005F15DA" w:rsidRDefault="0060434B" w:rsidP="0060434B">
      <w:pPr>
        <w:tabs>
          <w:tab w:val="left" w:pos="709"/>
        </w:tabs>
        <w:ind w:left="426"/>
      </w:pPr>
    </w:p>
    <w:p w:rsidR="005D70F9" w:rsidRPr="005F15DA" w:rsidRDefault="005D70F9" w:rsidP="0060434B">
      <w:pPr>
        <w:tabs>
          <w:tab w:val="left" w:pos="709"/>
        </w:tabs>
        <w:ind w:left="426"/>
      </w:pPr>
      <w:r w:rsidRPr="005F15DA">
        <w:t>Bei der Berechnung der Pflichtteile gilt es zu beachten, dass Zuwendungen unter Lebe</w:t>
      </w:r>
      <w:r w:rsidRPr="005F15DA">
        <w:t>n</w:t>
      </w:r>
      <w:r w:rsidRPr="005F15DA">
        <w:t>den zum Nachlass hinzugerechnet werden (Art. 457 ZGB), soweit sie der Herabsetzung unterliegen. Dazu gehören gemäss Art. 527 ZGB:</w:t>
      </w:r>
    </w:p>
    <w:p w:rsidR="005D70F9" w:rsidRPr="005F15DA" w:rsidRDefault="005D70F9" w:rsidP="0060434B">
      <w:pPr>
        <w:tabs>
          <w:tab w:val="left" w:pos="709"/>
        </w:tabs>
        <w:ind w:left="709" w:hanging="283"/>
      </w:pPr>
      <w:r w:rsidRPr="005F15DA">
        <w:t>-</w:t>
      </w:r>
      <w:r w:rsidRPr="005F15DA">
        <w:tab/>
        <w:t>Zuwendungen auf Anrechnung an den Erbteil, als Heiratsgut, Ausstattung oder Ve</w:t>
      </w:r>
      <w:r w:rsidRPr="005F15DA">
        <w:t>r</w:t>
      </w:r>
      <w:r w:rsidRPr="005F15DA">
        <w:t>mögensabtretung, wenn sie nicht der Ausgleichung unterworfen sind;</w:t>
      </w:r>
    </w:p>
    <w:p w:rsidR="005D70F9" w:rsidRPr="005F15DA" w:rsidRDefault="005D70F9" w:rsidP="0060434B">
      <w:pPr>
        <w:tabs>
          <w:tab w:val="left" w:pos="709"/>
        </w:tabs>
        <w:ind w:left="426"/>
      </w:pPr>
      <w:r w:rsidRPr="005F15DA">
        <w:t>-</w:t>
      </w:r>
      <w:r w:rsidRPr="005F15DA">
        <w:tab/>
        <w:t>Erbabfindungen und Auskaufsbeträge;</w:t>
      </w:r>
    </w:p>
    <w:p w:rsidR="005D70F9" w:rsidRPr="005F15DA" w:rsidRDefault="005D70F9" w:rsidP="0060434B">
      <w:pPr>
        <w:tabs>
          <w:tab w:val="left" w:pos="709"/>
        </w:tabs>
        <w:ind w:left="709" w:hanging="283"/>
      </w:pPr>
      <w:r w:rsidRPr="005F15DA">
        <w:t>-</w:t>
      </w:r>
      <w:r w:rsidRPr="005F15DA">
        <w:tab/>
        <w:t>Schenkungen, welche der Erblasser frei widerrufen konnte, oder die er während der letzten 5 Jahre vor seinem Tode ausgerichtet hat, mit Ausnahme der üblichen Gel</w:t>
      </w:r>
      <w:r w:rsidRPr="005F15DA">
        <w:t>e</w:t>
      </w:r>
      <w:r w:rsidRPr="005F15DA">
        <w:t>genheitsgeschenke;</w:t>
      </w:r>
    </w:p>
    <w:p w:rsidR="005D70F9" w:rsidRPr="005F15DA" w:rsidRDefault="005D70F9" w:rsidP="0060434B">
      <w:pPr>
        <w:tabs>
          <w:tab w:val="left" w:pos="709"/>
        </w:tabs>
        <w:ind w:left="709" w:hanging="283"/>
      </w:pPr>
      <w:r w:rsidRPr="005F15DA">
        <w:t>-</w:t>
      </w:r>
      <w:r w:rsidRPr="005F15DA">
        <w:tab/>
        <w:t>Die Entäusserung von Vermögenswerten, welche der Erblasser offenbar zum Zwecke der Umgehung der Verfügungsbeschränkung vorgenommen hat.</w:t>
      </w:r>
    </w:p>
    <w:p w:rsidR="0060434B" w:rsidRPr="005F15DA" w:rsidRDefault="0060434B" w:rsidP="0060434B">
      <w:pPr>
        <w:tabs>
          <w:tab w:val="left" w:pos="709"/>
        </w:tabs>
        <w:ind w:left="426"/>
      </w:pPr>
    </w:p>
    <w:p w:rsidR="005D70F9" w:rsidRPr="005F15DA" w:rsidRDefault="005D70F9" w:rsidP="0060434B">
      <w:pPr>
        <w:tabs>
          <w:tab w:val="left" w:pos="709"/>
        </w:tabs>
        <w:ind w:left="426"/>
      </w:pPr>
      <w:r w:rsidRPr="005F15DA">
        <w:t>Versicherungsansprüche, welche auf den Tod des Erblassers hin fällig werden, sind in der Höhe des Rückkaufswertes im Zeitpunkt des Todes des Erblassers zu dessen Ve</w:t>
      </w:r>
      <w:r w:rsidRPr="005F15DA">
        <w:t>r</w:t>
      </w:r>
      <w:r w:rsidRPr="005F15DA">
        <w:t>mögen hinzuzurechnen (Art. 476 ZGB).</w:t>
      </w:r>
    </w:p>
    <w:p w:rsidR="0060434B" w:rsidRPr="005F15DA" w:rsidRDefault="0060434B" w:rsidP="0060434B">
      <w:pPr>
        <w:tabs>
          <w:tab w:val="left" w:pos="709"/>
        </w:tabs>
        <w:ind w:left="426"/>
      </w:pPr>
    </w:p>
    <w:p w:rsidR="005D70F9" w:rsidRPr="005F15DA" w:rsidRDefault="005D70F9" w:rsidP="0060434B">
      <w:pPr>
        <w:tabs>
          <w:tab w:val="left" w:pos="709"/>
        </w:tabs>
        <w:ind w:left="426"/>
      </w:pPr>
      <w:r w:rsidRPr="005F15DA">
        <w:t>Verletzt der Erblasser in Verfügungen von Todes wegen die Pflichtteile, können die en</w:t>
      </w:r>
      <w:r w:rsidRPr="005F15DA">
        <w:t>t</w:t>
      </w:r>
      <w:r w:rsidRPr="005F15DA">
        <w:t>sprechenden Erben ihren Anspruch beim Richter mit der Herabsetzungsklage geltend machen (Art. 522 – 533 ZGB).</w:t>
      </w:r>
    </w:p>
    <w:p w:rsidR="0060434B" w:rsidRPr="005F15DA" w:rsidRDefault="0060434B" w:rsidP="0060434B">
      <w:pPr>
        <w:tabs>
          <w:tab w:val="left" w:pos="709"/>
        </w:tabs>
        <w:ind w:left="426"/>
      </w:pPr>
    </w:p>
    <w:p w:rsidR="005D70F9" w:rsidRPr="005F15DA" w:rsidRDefault="005D70F9" w:rsidP="0060434B">
      <w:pPr>
        <w:tabs>
          <w:tab w:val="left" w:pos="709"/>
        </w:tabs>
        <w:ind w:left="426"/>
      </w:pPr>
      <w:r w:rsidRPr="005F15DA">
        <w:t>Der Pflichtteil kann einem Erben mittels Verfügung von Todes wegen entzogen werden, wenn ein Grund für eine Enterbung (Art. 477 und 480 ZGB) vorliegt. Der Enterbung</w:t>
      </w:r>
      <w:r w:rsidRPr="005F15DA">
        <w:t>s</w:t>
      </w:r>
      <w:r w:rsidRPr="005F15DA">
        <w:t>grund muss in der Verfügung von Todes wegen angegeben werden. Die Beweislast für die Richtigkeit des Enterbungsgrundes obliegt den anderen Erben, weshalb es sich em</w:t>
      </w:r>
      <w:r w:rsidRPr="005F15DA">
        <w:t>p</w:t>
      </w:r>
      <w:r w:rsidRPr="005F15DA">
        <w:t>fiehlt, den Enterbungsgrund genau anzugeben und allfällige Beweismittel aufzubewahren.</w:t>
      </w:r>
    </w:p>
    <w:p w:rsidR="00E40D09" w:rsidRPr="005F15DA" w:rsidRDefault="00E40D09" w:rsidP="00E40D09"/>
    <w:p w:rsidR="00E40D09" w:rsidRPr="005F15DA" w:rsidRDefault="00E40D09" w:rsidP="00E40D09"/>
    <w:p w:rsidR="005D70F9" w:rsidRPr="005F15DA" w:rsidRDefault="005D70F9" w:rsidP="00A11594">
      <w:pPr>
        <w:pStyle w:val="berschrift4"/>
      </w:pPr>
      <w:r w:rsidRPr="005F15DA">
        <w:lastRenderedPageBreak/>
        <w:t>5.</w:t>
      </w:r>
      <w:r w:rsidRPr="005F15DA">
        <w:tab/>
        <w:t>Verfügungsarten (Art. 481 – 497 ZGB)</w:t>
      </w:r>
    </w:p>
    <w:p w:rsidR="005D70F9" w:rsidRPr="005F15DA" w:rsidRDefault="005D70F9" w:rsidP="0060434B">
      <w:pPr>
        <w:ind w:left="426"/>
      </w:pPr>
      <w:r w:rsidRPr="005F15DA">
        <w:t>Der Erblasser kann in den Schranken der Verfügungsfreiheit über sein Vermögen mit letztwilliger Verfügung oder mit Erbvertrag ganz oder teilweise verfügen. Der Teil über den er nicht verfügt, fällt an die gesetzlichen Erben.</w:t>
      </w:r>
    </w:p>
    <w:p w:rsidR="0060434B" w:rsidRPr="005F15DA" w:rsidRDefault="0060434B" w:rsidP="0060434B">
      <w:pPr>
        <w:ind w:left="426"/>
      </w:pPr>
    </w:p>
    <w:p w:rsidR="005D70F9" w:rsidRPr="005F15DA" w:rsidRDefault="005D70F9" w:rsidP="0060434B">
      <w:pPr>
        <w:ind w:left="426"/>
      </w:pPr>
      <w:r w:rsidRPr="005F15DA">
        <w:t>Es stehen ihm folgende Möglichkeiten zur Verfügung:</w:t>
      </w:r>
    </w:p>
    <w:p w:rsidR="00E40D09" w:rsidRPr="005F15DA" w:rsidRDefault="00E40D09" w:rsidP="0060434B">
      <w:pPr>
        <w:ind w:left="426"/>
      </w:pPr>
    </w:p>
    <w:p w:rsidR="005D70F9" w:rsidRPr="005F15DA" w:rsidRDefault="0060434B" w:rsidP="00A11594">
      <w:pPr>
        <w:pStyle w:val="berschrift5"/>
      </w:pPr>
      <w:r w:rsidRPr="005F15DA">
        <w:t>5.1.</w:t>
      </w:r>
      <w:r w:rsidRPr="005F15DA">
        <w:tab/>
      </w:r>
      <w:r w:rsidR="005D70F9" w:rsidRPr="005F15DA">
        <w:t>Auflagen und Bedingungen (Art. 482 ZGB)</w:t>
      </w:r>
    </w:p>
    <w:p w:rsidR="005D70F9" w:rsidRPr="005F15DA" w:rsidRDefault="005D70F9" w:rsidP="0060434B">
      <w:pPr>
        <w:ind w:left="851"/>
      </w:pPr>
      <w:r w:rsidRPr="005F15DA">
        <w:t>Der Erblasser kann seinen Verfügungen Auflagen oder Bedingungen anfügen (z.B. die Auszahlung eines Legats davon abhängig machen, dass dieses für die Ausbi</w:t>
      </w:r>
      <w:r w:rsidRPr="005F15DA">
        <w:t>l</w:t>
      </w:r>
      <w:r w:rsidRPr="005F15DA">
        <w:t>dung verwendet wird).</w:t>
      </w:r>
    </w:p>
    <w:p w:rsidR="00E40D09" w:rsidRPr="005F15DA" w:rsidRDefault="00E40D09" w:rsidP="0060434B">
      <w:pPr>
        <w:ind w:left="851"/>
      </w:pPr>
    </w:p>
    <w:p w:rsidR="005D70F9" w:rsidRPr="005F15DA" w:rsidRDefault="0060434B" w:rsidP="00A11594">
      <w:pPr>
        <w:pStyle w:val="berschrift5"/>
      </w:pPr>
      <w:r w:rsidRPr="005F15DA">
        <w:t>5.2.</w:t>
      </w:r>
      <w:r w:rsidRPr="005F15DA">
        <w:tab/>
      </w:r>
      <w:r w:rsidR="005D70F9" w:rsidRPr="005F15DA">
        <w:t>Erbeinsetzung (Art. 483 ZGB)</w:t>
      </w:r>
    </w:p>
    <w:p w:rsidR="005D70F9" w:rsidRPr="005F15DA" w:rsidRDefault="005D70F9" w:rsidP="0060434B">
      <w:pPr>
        <w:ind w:left="851"/>
      </w:pPr>
      <w:r w:rsidRPr="005F15DA">
        <w:t>Der Erblasser hat die Möglichkeit, beliebige natürliche und/oder juristische Personen für den gesamten Nachlass oder einen Bruchteil davon als Erben einzusetzen.</w:t>
      </w:r>
    </w:p>
    <w:p w:rsidR="0060434B" w:rsidRPr="005F15DA" w:rsidRDefault="0060434B" w:rsidP="0060434B">
      <w:pPr>
        <w:ind w:left="851"/>
      </w:pPr>
    </w:p>
    <w:p w:rsidR="005D70F9" w:rsidRPr="005F15DA" w:rsidRDefault="005D70F9" w:rsidP="0060434B">
      <w:pPr>
        <w:ind w:left="851"/>
      </w:pPr>
      <w:r w:rsidRPr="005F15DA">
        <w:t>Möglich ist auch, dass der Erblasser neben den gesetzlichen Erben zusätzlich Dritte als Erben einsetzt oder einem gesetzlichen Erben zusätzlich zu seiner Erbquote eine zusätzliche Quote zukommen lässt, so dass dieser sowohl gesetzlicher als auch ei</w:t>
      </w:r>
      <w:r w:rsidRPr="005F15DA">
        <w:t>n</w:t>
      </w:r>
      <w:r w:rsidRPr="005F15DA">
        <w:t>gesetzter Erbe wird (so kann der Erblasser z.B. dem überlebenden Ehegatten z</w:t>
      </w:r>
      <w:r w:rsidRPr="005F15DA">
        <w:t>u</w:t>
      </w:r>
      <w:r w:rsidRPr="005F15DA">
        <w:t>sätzlich zum Erbanspruch die frei verfügbare Quote zuweisen).</w:t>
      </w:r>
    </w:p>
    <w:p w:rsidR="0060434B" w:rsidRPr="005F15DA" w:rsidRDefault="0060434B" w:rsidP="0060434B">
      <w:pPr>
        <w:ind w:left="851"/>
      </w:pPr>
    </w:p>
    <w:p w:rsidR="005D70F9" w:rsidRPr="005F15DA" w:rsidRDefault="005D70F9" w:rsidP="0060434B">
      <w:pPr>
        <w:ind w:left="851"/>
      </w:pPr>
      <w:r w:rsidRPr="005F15DA">
        <w:t>Weil niemand sagen kann, ob der eingesetzte Erbe den Erblasser auch tatsächlich überlebt, kann im Testament oder Erbvertrag bereits vorgesehen werden, wer an Stelle des eingesetzten Erben treten soll, wenn dieser vorversterben sollte. Fehlt die Bezeichnung eines Ersatzerben, geht der Teil des vorverstorbenen eingesetzten E</w:t>
      </w:r>
      <w:r w:rsidRPr="005F15DA">
        <w:t>r</w:t>
      </w:r>
      <w:r w:rsidRPr="005F15DA">
        <w:t>ben an die gesetzlichen Erben.</w:t>
      </w:r>
    </w:p>
    <w:p w:rsidR="0060434B" w:rsidRPr="005F15DA" w:rsidRDefault="0060434B" w:rsidP="0060434B">
      <w:pPr>
        <w:ind w:left="851"/>
      </w:pPr>
    </w:p>
    <w:p w:rsidR="005D70F9" w:rsidRPr="005F15DA" w:rsidRDefault="005D70F9" w:rsidP="0060434B">
      <w:pPr>
        <w:ind w:left="851"/>
      </w:pPr>
      <w:r w:rsidRPr="005F15DA">
        <w:t>Eingesetzte Erben erhalten die gleiche Stellung wie gesetzliche Erben (alle Aktiven und Passiven gehen auf alle eingesetzten und/oder gesetzlichen Erben über).</w:t>
      </w:r>
    </w:p>
    <w:p w:rsidR="00E40D09" w:rsidRPr="005F15DA" w:rsidRDefault="00E40D09" w:rsidP="0060434B">
      <w:pPr>
        <w:ind w:left="851"/>
      </w:pPr>
    </w:p>
    <w:p w:rsidR="005D70F9" w:rsidRPr="005F15DA" w:rsidRDefault="0060434B" w:rsidP="00A11594">
      <w:pPr>
        <w:pStyle w:val="berschrift5"/>
      </w:pPr>
      <w:r w:rsidRPr="005F15DA">
        <w:t>5.3.</w:t>
      </w:r>
      <w:r w:rsidRPr="005F15DA">
        <w:tab/>
      </w:r>
      <w:r w:rsidR="005D70F9" w:rsidRPr="005F15DA">
        <w:t>Vermächtnis / Legat (Art. 484 ZGB)</w:t>
      </w:r>
    </w:p>
    <w:p w:rsidR="005D70F9" w:rsidRPr="005F15DA" w:rsidRDefault="005D70F9" w:rsidP="0060434B">
      <w:pPr>
        <w:ind w:left="851"/>
      </w:pPr>
      <w:r w:rsidRPr="005F15DA">
        <w:t>Mit einem Vermächtnis, auch Legat genannt, können einem Erben oder einem Dri</w:t>
      </w:r>
      <w:r w:rsidRPr="005F15DA">
        <w:t>t</w:t>
      </w:r>
      <w:r w:rsidRPr="005F15DA">
        <w:t>ten bestimmte Vermögenswerte (keine Erbquoten) zugewiesen werden. Das Ve</w:t>
      </w:r>
      <w:r w:rsidRPr="005F15DA">
        <w:t>r</w:t>
      </w:r>
      <w:r w:rsidRPr="005F15DA">
        <w:t>mächtnis ist eine reine Begünstigung; der Vermächtnisnehmer haftet nicht für die Schulden des Erblassers.</w:t>
      </w:r>
    </w:p>
    <w:p w:rsidR="0060434B" w:rsidRPr="005F15DA" w:rsidRDefault="0060434B" w:rsidP="0060434B">
      <w:pPr>
        <w:ind w:left="851"/>
      </w:pPr>
    </w:p>
    <w:p w:rsidR="005D70F9" w:rsidRPr="005F15DA" w:rsidRDefault="005D70F9" w:rsidP="0060434B">
      <w:pPr>
        <w:ind w:left="851"/>
      </w:pPr>
      <w:r w:rsidRPr="005F15DA">
        <w:t>Das Vermächtnis geht beim Tod des Erblassers vorerst auf die Erben über. Der Vermächtnisnehmer erhält einen Anspruch auf Aushändigung des Vermögenswertes gegenüber den Erben. Besteht das Legat aus einem Grundstück, sind im Grundbuch vorerst die Erben einzutragen, welche anschliessend dem Vermächtnisnehmer das Grundstück übereignen müssen.</w:t>
      </w:r>
    </w:p>
    <w:p w:rsidR="0060434B" w:rsidRPr="005F15DA" w:rsidRDefault="0060434B" w:rsidP="0060434B">
      <w:pPr>
        <w:ind w:left="851"/>
      </w:pPr>
    </w:p>
    <w:p w:rsidR="005D70F9" w:rsidRPr="005F15DA" w:rsidRDefault="005D70F9" w:rsidP="0060434B">
      <w:pPr>
        <w:ind w:left="851"/>
      </w:pPr>
      <w:r w:rsidRPr="005F15DA">
        <w:t>Erlebt der Vermächtnisnehmer den Tod des Erblassers nicht, so fällt das Vermäch</w:t>
      </w:r>
      <w:r w:rsidRPr="005F15DA">
        <w:t>t</w:t>
      </w:r>
      <w:r w:rsidRPr="005F15DA">
        <w:t>nis zugunsten der Erben dahin, es sei denn, der Erblasser habe einen Ersatzve</w:t>
      </w:r>
      <w:r w:rsidRPr="005F15DA">
        <w:t>r</w:t>
      </w:r>
      <w:r w:rsidRPr="005F15DA">
        <w:t>mächtnisnehmer bezeichnet.</w:t>
      </w:r>
    </w:p>
    <w:p w:rsidR="0060434B" w:rsidRPr="005F15DA" w:rsidRDefault="0060434B" w:rsidP="0060434B">
      <w:pPr>
        <w:ind w:left="851"/>
      </w:pPr>
    </w:p>
    <w:p w:rsidR="005D70F9" w:rsidRPr="005F15DA" w:rsidRDefault="005D70F9" w:rsidP="0060434B">
      <w:pPr>
        <w:ind w:left="851"/>
      </w:pPr>
      <w:r w:rsidRPr="005F15DA">
        <w:lastRenderedPageBreak/>
        <w:t xml:space="preserve">Befindet sich der Gegenstand, welcher dem Vermächtnisnehmer zugeteilt wurde, nicht (mehr) in der Erbmasse, fällt das Vermächtnis dahin, ausser es ergäbe sich aus der Verfügung von </w:t>
      </w:r>
      <w:proofErr w:type="gramStart"/>
      <w:r w:rsidRPr="005F15DA">
        <w:t>Todes</w:t>
      </w:r>
      <w:proofErr w:type="gramEnd"/>
      <w:r w:rsidRPr="005F15DA">
        <w:t xml:space="preserve"> wegen etwas anderes.</w:t>
      </w:r>
    </w:p>
    <w:p w:rsidR="00E40D09" w:rsidRPr="005F15DA" w:rsidRDefault="00E40D09" w:rsidP="0060434B">
      <w:pPr>
        <w:ind w:left="851"/>
      </w:pPr>
    </w:p>
    <w:p w:rsidR="005D70F9" w:rsidRPr="005F15DA" w:rsidRDefault="0060434B" w:rsidP="00A11594">
      <w:pPr>
        <w:pStyle w:val="berschrift5"/>
      </w:pPr>
      <w:r w:rsidRPr="005F15DA">
        <w:t>5.4.</w:t>
      </w:r>
      <w:r w:rsidRPr="005F15DA">
        <w:tab/>
      </w:r>
      <w:r w:rsidR="005D70F9" w:rsidRPr="005F15DA">
        <w:t>Teilungsregeln (Art. 608 ZGB)</w:t>
      </w:r>
    </w:p>
    <w:p w:rsidR="005D70F9" w:rsidRPr="005F15DA" w:rsidRDefault="005D70F9" w:rsidP="0060434B">
      <w:pPr>
        <w:ind w:left="851"/>
      </w:pPr>
      <w:r w:rsidRPr="005F15DA">
        <w:t>Der Erblasser kann anordnen, wie die Erbschaft auf die Erben verteilt werden soll. Grundsätzlich kann der Erblasser beliebige Teilungsregeln aufstellen, welche für die Erben verbindlich sind. Mit Einstimmigkeit können die Erben eine andere Teilungsl</w:t>
      </w:r>
      <w:r w:rsidRPr="005F15DA">
        <w:t>ö</w:t>
      </w:r>
      <w:r w:rsidRPr="005F15DA">
        <w:t>sung treffen.</w:t>
      </w:r>
    </w:p>
    <w:p w:rsidR="00E40D09" w:rsidRPr="005F15DA" w:rsidRDefault="00E40D09" w:rsidP="0060434B">
      <w:pPr>
        <w:ind w:left="851"/>
      </w:pPr>
    </w:p>
    <w:p w:rsidR="005D70F9" w:rsidRPr="005F15DA" w:rsidRDefault="0060434B" w:rsidP="00A11594">
      <w:pPr>
        <w:pStyle w:val="berschrift5"/>
      </w:pPr>
      <w:r w:rsidRPr="005F15DA">
        <w:t>5.5.</w:t>
      </w:r>
      <w:r w:rsidRPr="005F15DA">
        <w:tab/>
      </w:r>
      <w:r w:rsidR="005D70F9" w:rsidRPr="005F15DA">
        <w:t>Nacherbeneinsetzung (Art. 488 ZGB)</w:t>
      </w:r>
    </w:p>
    <w:p w:rsidR="005D70F9" w:rsidRPr="005F15DA" w:rsidRDefault="005D70F9" w:rsidP="0060434B">
      <w:pPr>
        <w:ind w:left="851"/>
      </w:pPr>
      <w:r w:rsidRPr="005F15DA">
        <w:t>Der Erblasser kann einen eingesetzten Erben (Vorerben) verpflichten, die Erbschaft einem anderen als Nacherbe auszuliefern.</w:t>
      </w:r>
    </w:p>
    <w:p w:rsidR="0060434B" w:rsidRPr="005F15DA" w:rsidRDefault="0060434B" w:rsidP="0060434B">
      <w:pPr>
        <w:ind w:left="851"/>
      </w:pPr>
    </w:p>
    <w:p w:rsidR="005D70F9" w:rsidRPr="005F15DA" w:rsidRDefault="005D70F9" w:rsidP="0060434B">
      <w:pPr>
        <w:ind w:left="851"/>
      </w:pPr>
      <w:r w:rsidRPr="005F15DA">
        <w:t>Von Gesetzes wegen erfolgt diese Auslieferung beim Tode des Vorerben; der Er</w:t>
      </w:r>
      <w:r w:rsidRPr="005F15DA">
        <w:t>b</w:t>
      </w:r>
      <w:r w:rsidRPr="005F15DA">
        <w:t>lasser kann aber auch einen anderen Zeitpunkt bestimmen.</w:t>
      </w:r>
    </w:p>
    <w:p w:rsidR="0060434B" w:rsidRPr="005F15DA" w:rsidRDefault="0060434B" w:rsidP="0060434B">
      <w:pPr>
        <w:ind w:left="851"/>
      </w:pPr>
    </w:p>
    <w:p w:rsidR="005D70F9" w:rsidRPr="005F15DA" w:rsidRDefault="005D70F9" w:rsidP="0060434B">
      <w:pPr>
        <w:ind w:left="851"/>
      </w:pPr>
      <w:r w:rsidRPr="005F15DA">
        <w:t>Der Vorerbe ist gegenüber dem Nacherben grundsätzlich sicherstellungspflichtig (Stellung ähnlich dem Nutzniesser); der Erblasser kann aber den Vorerben von der Sicherstellungspflicht entbinden. Zudem kann der Nacherbe für den „Überrest“ ei</w:t>
      </w:r>
      <w:r w:rsidRPr="005F15DA">
        <w:t>n</w:t>
      </w:r>
      <w:r w:rsidRPr="005F15DA">
        <w:t>gesetzt werden, also auf das beim Tode des Vorerben noch vorhandene Vermögen.</w:t>
      </w:r>
    </w:p>
    <w:p w:rsidR="00E40D09" w:rsidRPr="005F15DA" w:rsidRDefault="00E40D09" w:rsidP="0060434B">
      <w:pPr>
        <w:ind w:left="851"/>
      </w:pPr>
    </w:p>
    <w:p w:rsidR="005D70F9" w:rsidRPr="005F15DA" w:rsidRDefault="0060434B" w:rsidP="00A11594">
      <w:pPr>
        <w:pStyle w:val="berschrift5"/>
      </w:pPr>
      <w:r w:rsidRPr="005F15DA">
        <w:t>5.6.</w:t>
      </w:r>
      <w:r w:rsidRPr="005F15DA">
        <w:tab/>
      </w:r>
      <w:r w:rsidR="005D70F9" w:rsidRPr="005F15DA">
        <w:t>Willensvollstrecker (Art. 517 ZGB)</w:t>
      </w:r>
    </w:p>
    <w:p w:rsidR="005D70F9" w:rsidRPr="005F15DA" w:rsidRDefault="005D70F9" w:rsidP="0060434B">
      <w:pPr>
        <w:ind w:left="851"/>
      </w:pPr>
      <w:r w:rsidRPr="005F15DA">
        <w:t>Der Erblasser kann einen Willensvollstrecker bezeichnen, der die von ihm vorges</w:t>
      </w:r>
      <w:r w:rsidRPr="005F15DA">
        <w:t>e</w:t>
      </w:r>
      <w:r w:rsidRPr="005F15DA">
        <w:t>hene Teilung der Erbschaft vorzunehmen hat.</w:t>
      </w:r>
    </w:p>
    <w:p w:rsidR="00E40D09" w:rsidRPr="005F15DA" w:rsidRDefault="00E40D09" w:rsidP="0060434B">
      <w:pPr>
        <w:ind w:left="851"/>
      </w:pPr>
    </w:p>
    <w:p w:rsidR="005D70F9" w:rsidRPr="005F15DA" w:rsidRDefault="0060434B" w:rsidP="00A11594">
      <w:pPr>
        <w:pStyle w:val="berschrift5"/>
      </w:pPr>
      <w:r w:rsidRPr="005F15DA">
        <w:t>5.7.</w:t>
      </w:r>
      <w:r w:rsidRPr="005F15DA">
        <w:tab/>
      </w:r>
      <w:r w:rsidR="005D70F9" w:rsidRPr="005F15DA">
        <w:t>Meistbegünstigung des überlebenden Ehegatten (Art. 473 ZGB)</w:t>
      </w:r>
    </w:p>
    <w:p w:rsidR="005D70F9" w:rsidRPr="005F15DA" w:rsidRDefault="005D70F9" w:rsidP="0060434B">
      <w:pPr>
        <w:ind w:left="851"/>
      </w:pPr>
      <w:r w:rsidRPr="005F15DA">
        <w:t>Der Erblasser kann dem überlebenden Ehegatten gegenüber den gemeinsamen Kindern an der ganzen Erbschaft die lebenslängliche Nutzniessung zuwenden. Diese Nutzniessung tritt allerdings an die Stelle des gesetzlichen Erbanspruches des Eh</w:t>
      </w:r>
      <w:r w:rsidRPr="005F15DA">
        <w:t>e</w:t>
      </w:r>
      <w:r w:rsidRPr="005F15DA">
        <w:t>gatten; er fällt somit als Erbe weg. Die Nachkommen erhalten das nackte Eigentum; die Nutzung der einzelnen Gegenstände steht dem überlebenden Ehegatten zu. Der überlebende Ehegatte (Nutzniesser) seinerseits kann nur über die Erträgnisse, nicht aber über die Erbschaft selber verfügen. Der mit der Nutzniessung belastete Erbteil wird normalerweise erst mit dem Tode des Nutzniessers frei; nur im Falle der Wi</w:t>
      </w:r>
      <w:r w:rsidRPr="005F15DA">
        <w:t>e</w:t>
      </w:r>
      <w:r w:rsidRPr="005F15DA">
        <w:t>derverheiratung des Berechtigten entfällt die Nutzniessung teilweise.</w:t>
      </w:r>
    </w:p>
    <w:p w:rsidR="0060434B" w:rsidRPr="005F15DA" w:rsidRDefault="0060434B" w:rsidP="0060434B">
      <w:pPr>
        <w:ind w:left="851"/>
      </w:pPr>
    </w:p>
    <w:p w:rsidR="005D70F9" w:rsidRPr="005F15DA" w:rsidRDefault="005D70F9" w:rsidP="0060434B">
      <w:pPr>
        <w:ind w:left="851"/>
      </w:pPr>
      <w:r w:rsidRPr="005F15DA">
        <w:t>Dem überlebenden Ehegatten kann nebst der Nutzniessung eine Erbquote von ¼ zugewiesen werden.</w:t>
      </w:r>
    </w:p>
    <w:p w:rsidR="00E40D09" w:rsidRPr="005F15DA" w:rsidRDefault="00E40D09" w:rsidP="0060434B">
      <w:pPr>
        <w:ind w:left="851"/>
      </w:pPr>
    </w:p>
    <w:p w:rsidR="00E40D09" w:rsidRPr="005F15DA" w:rsidRDefault="00E40D09" w:rsidP="0060434B">
      <w:pPr>
        <w:ind w:left="851"/>
      </w:pPr>
    </w:p>
    <w:p w:rsidR="005D70F9" w:rsidRPr="005F15DA" w:rsidRDefault="005D70F9" w:rsidP="00A11594">
      <w:pPr>
        <w:pStyle w:val="berschrift4"/>
      </w:pPr>
      <w:r w:rsidRPr="005F15DA">
        <w:t>6.</w:t>
      </w:r>
      <w:r w:rsidRPr="005F15DA">
        <w:tab/>
        <w:t>Verfügungsformen (Art. 498 – 515 ZGB)</w:t>
      </w:r>
    </w:p>
    <w:p w:rsidR="005D70F9" w:rsidRPr="005F15DA" w:rsidRDefault="005D70F9" w:rsidP="0060434B">
      <w:pPr>
        <w:tabs>
          <w:tab w:val="left" w:pos="709"/>
        </w:tabs>
        <w:ind w:left="426"/>
      </w:pPr>
      <w:r w:rsidRPr="005F15DA">
        <w:t>Bei den Verfügungen von Todes wegen ist es besonders wichtig, dass bestimmte Erric</w:t>
      </w:r>
      <w:r w:rsidRPr="005F15DA">
        <w:t>h</w:t>
      </w:r>
      <w:r w:rsidRPr="005F15DA">
        <w:t>tungsformen eingehalten werden. Es handelt sich um sehr wichtige Rechtsgeschäfte, die erst nach dem Ableben des Urhebers in Kraft treten. Bei Unklarheiten kann dieser nicht mehr nach seinem tatsächlichen Willen befragt werden. Der Nachteil der strengen g</w:t>
      </w:r>
      <w:r w:rsidRPr="005F15DA">
        <w:t>e</w:t>
      </w:r>
      <w:r w:rsidRPr="005F15DA">
        <w:lastRenderedPageBreak/>
        <w:t>setzlichen Regelung besteht selbstverständlich darin, dass wegen Nichteinhaltens der e</w:t>
      </w:r>
      <w:r w:rsidRPr="005F15DA">
        <w:t>r</w:t>
      </w:r>
      <w:r w:rsidRPr="005F15DA">
        <w:t>forderlichen Formen die Verfügung von Todes wegen ungültig sein kann.</w:t>
      </w:r>
    </w:p>
    <w:p w:rsidR="0060434B" w:rsidRPr="005F15DA" w:rsidRDefault="0060434B" w:rsidP="0060434B">
      <w:pPr>
        <w:tabs>
          <w:tab w:val="left" w:pos="709"/>
        </w:tabs>
        <w:ind w:left="426"/>
      </w:pPr>
    </w:p>
    <w:p w:rsidR="005D70F9" w:rsidRPr="005F15DA" w:rsidRDefault="005D70F9" w:rsidP="0060434B">
      <w:pPr>
        <w:tabs>
          <w:tab w:val="left" w:pos="709"/>
        </w:tabs>
        <w:ind w:left="426"/>
      </w:pPr>
      <w:r w:rsidRPr="005F15DA">
        <w:t>Zu beachten gilt, dass folgende Personen sowohl beim Testament als auch beim Erbve</w:t>
      </w:r>
      <w:r w:rsidRPr="005F15DA">
        <w:t>r</w:t>
      </w:r>
      <w:r w:rsidRPr="005F15DA">
        <w:t>trag nicht als Notar oder Zeugen mitwirken dürfen:</w:t>
      </w:r>
    </w:p>
    <w:p w:rsidR="005D70F9" w:rsidRPr="005F15DA" w:rsidRDefault="005D70F9" w:rsidP="0060434B">
      <w:pPr>
        <w:tabs>
          <w:tab w:val="left" w:pos="709"/>
        </w:tabs>
        <w:ind w:left="426"/>
      </w:pPr>
      <w:r w:rsidRPr="005F15DA">
        <w:t>-</w:t>
      </w:r>
      <w:r w:rsidRPr="005F15DA">
        <w:tab/>
        <w:t>nicht handlungsfähige Personen,</w:t>
      </w:r>
    </w:p>
    <w:p w:rsidR="005D70F9" w:rsidRPr="005F15DA" w:rsidRDefault="005D70F9" w:rsidP="0060434B">
      <w:pPr>
        <w:tabs>
          <w:tab w:val="left" w:pos="709"/>
        </w:tabs>
        <w:ind w:left="709" w:hanging="283"/>
      </w:pPr>
      <w:r w:rsidRPr="005F15DA">
        <w:t>-</w:t>
      </w:r>
      <w:r w:rsidRPr="005F15DA">
        <w:tab/>
        <w:t>Personen, die sich infolge eines strafgerichtlichen Urteils nicht im Besitz der bürgerl</w:t>
      </w:r>
      <w:r w:rsidRPr="005F15DA">
        <w:t>i</w:t>
      </w:r>
      <w:r w:rsidRPr="005F15DA">
        <w:t>chen Ehren und Rechte befinden,</w:t>
      </w:r>
    </w:p>
    <w:p w:rsidR="005D70F9" w:rsidRPr="005F15DA" w:rsidRDefault="005D70F9" w:rsidP="0060434B">
      <w:pPr>
        <w:tabs>
          <w:tab w:val="left" w:pos="709"/>
        </w:tabs>
        <w:ind w:left="426"/>
      </w:pPr>
      <w:r w:rsidRPr="005F15DA">
        <w:t>-</w:t>
      </w:r>
      <w:r w:rsidRPr="005F15DA">
        <w:tab/>
        <w:t>Personen, die nicht lesen und schreiben können,</w:t>
      </w:r>
    </w:p>
    <w:p w:rsidR="005D70F9" w:rsidRPr="005F15DA" w:rsidRDefault="005D70F9" w:rsidP="0060434B">
      <w:pPr>
        <w:tabs>
          <w:tab w:val="left" w:pos="709"/>
        </w:tabs>
        <w:ind w:left="709" w:hanging="283"/>
      </w:pPr>
      <w:r w:rsidRPr="005F15DA">
        <w:t>-</w:t>
      </w:r>
      <w:r w:rsidRPr="005F15DA">
        <w:tab/>
        <w:t>die Verwandten des Erblassers in gerader Linie, seine Ehefrau, seine Geschwister und deren Ehegatten.</w:t>
      </w:r>
    </w:p>
    <w:p w:rsidR="0060434B" w:rsidRPr="005F15DA" w:rsidRDefault="0060434B" w:rsidP="0060434B">
      <w:pPr>
        <w:tabs>
          <w:tab w:val="left" w:pos="709"/>
        </w:tabs>
        <w:ind w:left="426"/>
      </w:pPr>
    </w:p>
    <w:p w:rsidR="005D70F9" w:rsidRPr="005F15DA" w:rsidRDefault="005D70F9" w:rsidP="0060434B">
      <w:pPr>
        <w:tabs>
          <w:tab w:val="left" w:pos="709"/>
        </w:tabs>
        <w:ind w:left="426"/>
      </w:pPr>
      <w:r w:rsidRPr="005F15DA">
        <w:t>Zudem dürfen folgende Personen nicht in der Verfügung bedacht werden:</w:t>
      </w:r>
    </w:p>
    <w:p w:rsidR="005D70F9" w:rsidRPr="005F15DA" w:rsidRDefault="005D70F9" w:rsidP="0060434B">
      <w:pPr>
        <w:tabs>
          <w:tab w:val="left" w:pos="709"/>
        </w:tabs>
        <w:ind w:left="709" w:hanging="283"/>
      </w:pPr>
      <w:r w:rsidRPr="005F15DA">
        <w:t>-</w:t>
      </w:r>
      <w:r w:rsidRPr="005F15DA">
        <w:tab/>
        <w:t>der Notar und die Zeugen, ihre Verwandten in gerader Linie sowie die Geschwister und die Ehegatten.</w:t>
      </w:r>
    </w:p>
    <w:p w:rsidR="0060434B" w:rsidRPr="005F15DA" w:rsidRDefault="0060434B" w:rsidP="0060434B">
      <w:pPr>
        <w:tabs>
          <w:tab w:val="left" w:pos="709"/>
        </w:tabs>
        <w:ind w:left="426"/>
      </w:pPr>
    </w:p>
    <w:p w:rsidR="005D70F9" w:rsidRPr="005F15DA" w:rsidRDefault="005D70F9" w:rsidP="0060434B">
      <w:pPr>
        <w:tabs>
          <w:tab w:val="left" w:pos="709"/>
        </w:tabs>
        <w:ind w:left="426"/>
      </w:pPr>
      <w:r w:rsidRPr="005F15DA">
        <w:t>Das Gesetz unterscheidet bei den Verfügungen von Todes wegen zwischen den Erric</w:t>
      </w:r>
      <w:r w:rsidRPr="005F15DA">
        <w:t>h</w:t>
      </w:r>
      <w:r w:rsidRPr="005F15DA">
        <w:t>tungsformen der letztwilligen Verfügung (oder Testament) (Art. 498 – 511 ZGB) und des Erbvertrages (Art. 512 – 516 ZGB).</w:t>
      </w:r>
    </w:p>
    <w:p w:rsidR="00E40D09" w:rsidRPr="005F15DA" w:rsidRDefault="00E40D09" w:rsidP="0060434B">
      <w:pPr>
        <w:tabs>
          <w:tab w:val="left" w:pos="709"/>
        </w:tabs>
        <w:ind w:left="426"/>
      </w:pPr>
    </w:p>
    <w:p w:rsidR="00E40D09" w:rsidRPr="005F15DA" w:rsidRDefault="00E40D09" w:rsidP="0060434B">
      <w:pPr>
        <w:tabs>
          <w:tab w:val="left" w:pos="709"/>
        </w:tabs>
        <w:ind w:left="426"/>
      </w:pPr>
    </w:p>
    <w:p w:rsidR="005D70F9" w:rsidRPr="005F15DA" w:rsidRDefault="005D70F9" w:rsidP="00A11594">
      <w:pPr>
        <w:pStyle w:val="berschrift5"/>
      </w:pPr>
      <w:r w:rsidRPr="005F15DA">
        <w:rPr>
          <w:spacing w:val="-9"/>
        </w:rPr>
        <w:t>6.1.</w:t>
      </w:r>
      <w:r w:rsidRPr="005F15DA">
        <w:tab/>
        <w:t>Grundsätzlicher Unterschied Testament/Erbvertrag</w:t>
      </w:r>
    </w:p>
    <w:p w:rsidR="005D70F9" w:rsidRPr="005F15DA" w:rsidRDefault="005D70F9" w:rsidP="0060434B">
      <w:pPr>
        <w:ind w:left="851"/>
      </w:pPr>
      <w:r w:rsidRPr="005F15DA">
        <w:t>Das Testament drückt den Willen einer einzelnen Person aus, der Erbvertrag denj</w:t>
      </w:r>
      <w:r w:rsidRPr="005F15DA">
        <w:t>e</w:t>
      </w:r>
      <w:r w:rsidRPr="005F15DA">
        <w:t>nigen zweier oder mehrerer Personen.</w:t>
      </w:r>
    </w:p>
    <w:p w:rsidR="0060434B" w:rsidRPr="005F15DA" w:rsidRDefault="0060434B" w:rsidP="0060434B">
      <w:pPr>
        <w:ind w:left="851"/>
      </w:pPr>
    </w:p>
    <w:p w:rsidR="005D70F9" w:rsidRPr="005F15DA" w:rsidRDefault="005D70F9" w:rsidP="0060434B">
      <w:pPr>
        <w:ind w:left="851"/>
      </w:pPr>
      <w:r w:rsidRPr="005F15DA">
        <w:t>Das Testament ist eine einseitige persönliche Willenserklärung auf den Tod hin, die zu Lebzeiten keine Wirkung hat. Sie ist jederzeit frei widerrufbar und abänderbar.</w:t>
      </w:r>
    </w:p>
    <w:p w:rsidR="0060434B" w:rsidRPr="005F15DA" w:rsidRDefault="0060434B" w:rsidP="0060434B">
      <w:pPr>
        <w:ind w:left="851"/>
      </w:pPr>
    </w:p>
    <w:p w:rsidR="005D70F9" w:rsidRPr="005F15DA" w:rsidRDefault="005D70F9" w:rsidP="0060434B">
      <w:pPr>
        <w:ind w:left="851"/>
      </w:pPr>
      <w:r w:rsidRPr="005F15DA">
        <w:t>Der Erbvertrag als zweiseitiges Rechtsgeschäft ist für die Beteiligten bindend. Er kann nur durch gegenseitige schriftliche Übereinkunft wieder aufgehoben werden.</w:t>
      </w:r>
    </w:p>
    <w:p w:rsidR="00E40D09" w:rsidRPr="005F15DA" w:rsidRDefault="00E40D09" w:rsidP="0060434B">
      <w:pPr>
        <w:ind w:left="851"/>
      </w:pPr>
    </w:p>
    <w:p w:rsidR="00E40D09" w:rsidRPr="005F15DA" w:rsidRDefault="00E40D09" w:rsidP="0060434B">
      <w:pPr>
        <w:ind w:left="851"/>
      </w:pPr>
    </w:p>
    <w:p w:rsidR="005D70F9" w:rsidRPr="005F15DA" w:rsidRDefault="005D70F9" w:rsidP="00A11594">
      <w:pPr>
        <w:pStyle w:val="berschrift5"/>
      </w:pPr>
      <w:r w:rsidRPr="005F15DA">
        <w:rPr>
          <w:spacing w:val="-6"/>
        </w:rPr>
        <w:t>6.2.</w:t>
      </w:r>
      <w:r w:rsidRPr="005F15DA">
        <w:tab/>
        <w:t>Testament</w:t>
      </w:r>
    </w:p>
    <w:p w:rsidR="00E40D09" w:rsidRPr="005F15DA" w:rsidRDefault="00E40D09" w:rsidP="0060434B">
      <w:pPr>
        <w:ind w:left="851"/>
      </w:pPr>
    </w:p>
    <w:p w:rsidR="005D70F9" w:rsidRPr="005F15DA" w:rsidRDefault="005D70F9" w:rsidP="00075306">
      <w:pPr>
        <w:pStyle w:val="berschrift6"/>
        <w:tabs>
          <w:tab w:val="clear" w:pos="1701"/>
          <w:tab w:val="left" w:pos="1560"/>
        </w:tabs>
        <w:ind w:left="851"/>
      </w:pPr>
      <w:r w:rsidRPr="005F15DA">
        <w:t>6.2.1.</w:t>
      </w:r>
      <w:r w:rsidRPr="005F15DA">
        <w:tab/>
        <w:t>Testamentsarten</w:t>
      </w:r>
    </w:p>
    <w:p w:rsidR="005D70F9" w:rsidRPr="005F15DA" w:rsidRDefault="005D70F9" w:rsidP="00075306">
      <w:pPr>
        <w:ind w:left="1560"/>
      </w:pPr>
      <w:r w:rsidRPr="005F15DA">
        <w:t>Wer urteilsfähig und 18 Jahre alt ist, kann in einem Testament seinen Nac</w:t>
      </w:r>
      <w:r w:rsidRPr="005F15DA">
        <w:t>h</w:t>
      </w:r>
      <w:r w:rsidRPr="005F15DA">
        <w:t>lass im Rahmen des Gesetzes selber regeln. Das ZGB stellt ihm drei mögl</w:t>
      </w:r>
      <w:r w:rsidRPr="005F15DA">
        <w:t>i</w:t>
      </w:r>
      <w:r w:rsidRPr="005F15DA">
        <w:t>che Errichtungsformen zur Verfügung:</w:t>
      </w:r>
    </w:p>
    <w:p w:rsidR="005D70F9" w:rsidRPr="005F15DA" w:rsidRDefault="005D70F9" w:rsidP="009D34F3">
      <w:pPr>
        <w:pStyle w:val="Listenabsatz"/>
        <w:numPr>
          <w:ilvl w:val="0"/>
          <w:numId w:val="49"/>
        </w:numPr>
        <w:ind w:left="1843" w:hanging="283"/>
      </w:pPr>
      <w:r w:rsidRPr="005F15DA">
        <w:t>das eigenhändige Testament</w:t>
      </w:r>
    </w:p>
    <w:p w:rsidR="005D70F9" w:rsidRPr="005F15DA" w:rsidRDefault="005D70F9" w:rsidP="009D34F3">
      <w:pPr>
        <w:pStyle w:val="Listenabsatz"/>
        <w:numPr>
          <w:ilvl w:val="0"/>
          <w:numId w:val="49"/>
        </w:numPr>
        <w:ind w:left="1843" w:hanging="283"/>
      </w:pPr>
      <w:r w:rsidRPr="005F15DA">
        <w:t>das öffentliche Testament</w:t>
      </w:r>
    </w:p>
    <w:p w:rsidR="005D70F9" w:rsidRPr="005F15DA" w:rsidRDefault="005D70F9" w:rsidP="009D34F3">
      <w:pPr>
        <w:pStyle w:val="Listenabsatz"/>
        <w:numPr>
          <w:ilvl w:val="0"/>
          <w:numId w:val="49"/>
        </w:numPr>
        <w:ind w:left="1843" w:hanging="283"/>
      </w:pPr>
      <w:r w:rsidRPr="005F15DA">
        <w:t>das mündliche Testament (Nottestament)</w:t>
      </w:r>
    </w:p>
    <w:p w:rsidR="00E40D09" w:rsidRPr="005F15DA" w:rsidRDefault="00E40D09" w:rsidP="00075306">
      <w:pPr>
        <w:ind w:left="1560"/>
      </w:pPr>
    </w:p>
    <w:p w:rsidR="001019E0" w:rsidRPr="005F15DA" w:rsidRDefault="001019E0">
      <w:pPr>
        <w:spacing w:after="200"/>
        <w:rPr>
          <w:rFonts w:eastAsiaTheme="majorEastAsia" w:cstheme="majorBidi"/>
          <w:b/>
          <w:color w:val="000000" w:themeColor="text1"/>
        </w:rPr>
      </w:pPr>
      <w:r w:rsidRPr="005F15DA">
        <w:br w:type="page"/>
      </w:r>
    </w:p>
    <w:p w:rsidR="005D70F9" w:rsidRPr="005F15DA" w:rsidRDefault="005D70F9" w:rsidP="00075306">
      <w:pPr>
        <w:pStyle w:val="berschrift6"/>
        <w:tabs>
          <w:tab w:val="clear" w:pos="1701"/>
          <w:tab w:val="left" w:pos="1560"/>
        </w:tabs>
        <w:ind w:left="851"/>
      </w:pPr>
      <w:r w:rsidRPr="005F15DA">
        <w:lastRenderedPageBreak/>
        <w:t>6.2.2.</w:t>
      </w:r>
      <w:r w:rsidRPr="005F15DA">
        <w:tab/>
        <w:t>Formvorschriften /Verfahrensarten</w:t>
      </w:r>
    </w:p>
    <w:p w:rsidR="00E40D09" w:rsidRPr="005F15DA" w:rsidRDefault="00E40D09" w:rsidP="00E40D09"/>
    <w:p w:rsidR="005D70F9" w:rsidRPr="005F15DA" w:rsidRDefault="005D70F9" w:rsidP="005C3F17">
      <w:pPr>
        <w:pStyle w:val="berschrift8"/>
      </w:pPr>
      <w:r w:rsidRPr="005F15DA">
        <w:t>6.2.2.1.</w:t>
      </w:r>
      <w:r w:rsidRPr="005F15DA">
        <w:tab/>
        <w:t>Eigenhändiges Testament (Art. 505 ZGB)</w:t>
      </w:r>
    </w:p>
    <w:p w:rsidR="005D70F9" w:rsidRPr="005F15DA" w:rsidRDefault="005D70F9" w:rsidP="005C3F17">
      <w:pPr>
        <w:ind w:left="2410"/>
      </w:pPr>
      <w:r w:rsidRPr="005F15DA">
        <w:t>Das eigenhändige Testament ist eine vom Testator vollständig von Hand geschriebene, mit dem Errichtungsdatum versehene und u</w:t>
      </w:r>
      <w:r w:rsidRPr="005F15DA">
        <w:t>n</w:t>
      </w:r>
      <w:r w:rsidRPr="005F15DA">
        <w:t>terzeichnete Urkunde. Es braucht weder Zeugen, noch die Beglaub</w:t>
      </w:r>
      <w:r w:rsidRPr="005F15DA">
        <w:t>i</w:t>
      </w:r>
      <w:r w:rsidRPr="005F15DA">
        <w:t>gung der Unterschrift, noch die Hinterlegung der Verfügung bei einer Amtsstelle. Die Kantone haben jedoch dafür zu sorgen, dass solche Verfügungen offen oder verschlossen einer Amtsstelle zur Aufb</w:t>
      </w:r>
      <w:r w:rsidRPr="005F15DA">
        <w:t>e</w:t>
      </w:r>
      <w:r w:rsidRPr="005F15DA">
        <w:t>wahrung übergeben werden können. Auch ein Brief kann eine Verf</w:t>
      </w:r>
      <w:r w:rsidRPr="005F15DA">
        <w:t>ü</w:t>
      </w:r>
      <w:r w:rsidRPr="005F15DA">
        <w:t>gung von Todes wegen sein, wenn er die Formvorschriften für ein Testament erfüllt. Ein Testament, das diese Vorschriften nicht erfüllt, kann von den Erben nach dem Tod angefochten und durch den Ric</w:t>
      </w:r>
      <w:r w:rsidRPr="005F15DA">
        <w:t>h</w:t>
      </w:r>
      <w:r w:rsidRPr="005F15DA">
        <w:t>ter als ungültig erklärt werden.</w:t>
      </w:r>
    </w:p>
    <w:p w:rsidR="00E40D09" w:rsidRPr="005F15DA" w:rsidRDefault="00E40D09" w:rsidP="005C3F17">
      <w:pPr>
        <w:ind w:left="2410"/>
      </w:pPr>
    </w:p>
    <w:p w:rsidR="005D70F9" w:rsidRPr="005F15DA" w:rsidRDefault="005D70F9" w:rsidP="005C3F17">
      <w:pPr>
        <w:pStyle w:val="berschrift8"/>
      </w:pPr>
      <w:r w:rsidRPr="005F15DA">
        <w:t>6.2.2.2.</w:t>
      </w:r>
      <w:r w:rsidRPr="005F15DA">
        <w:tab/>
        <w:t>Das öffentlich beurkundete Testament (Art. 499 – 503 ZGB)</w:t>
      </w:r>
    </w:p>
    <w:p w:rsidR="005D70F9" w:rsidRPr="005F15DA" w:rsidRDefault="005D70F9" w:rsidP="005C3F17">
      <w:pPr>
        <w:ind w:left="2410"/>
      </w:pPr>
      <w:r w:rsidRPr="005F15DA">
        <w:t>Es wird von einer Urkundsperson (Kanton Bern: praktizierender be</w:t>
      </w:r>
      <w:r w:rsidRPr="005F15DA">
        <w:t>r</w:t>
      </w:r>
      <w:r w:rsidRPr="005F15DA">
        <w:t>nischer Notar) nach den Angaben des Erblassers aufgesetzt. Zusät</w:t>
      </w:r>
      <w:r w:rsidRPr="005F15DA">
        <w:t>z</w:t>
      </w:r>
      <w:r w:rsidRPr="005F15DA">
        <w:t>lich braucht es zur Errichtung die Mitwirkung von zwei Zeugen. Das öffentliche Testament kann auf zwei Arten errichtet werden, je nac</w:t>
      </w:r>
      <w:r w:rsidRPr="005F15DA">
        <w:t>h</w:t>
      </w:r>
      <w:r w:rsidRPr="005F15DA">
        <w:t>dem, ob der Erblasser bei der Beurkundung das Testament selbst liest oder nicht.</w:t>
      </w:r>
    </w:p>
    <w:p w:rsidR="005D70F9" w:rsidRPr="005F15DA" w:rsidRDefault="005C3F17" w:rsidP="005C3F17">
      <w:pPr>
        <w:tabs>
          <w:tab w:val="left" w:pos="2694"/>
        </w:tabs>
        <w:ind w:left="2410"/>
        <w:rPr>
          <w:b/>
        </w:rPr>
      </w:pPr>
      <w:r w:rsidRPr="005F15DA">
        <w:rPr>
          <w:b/>
        </w:rPr>
        <w:t>-</w:t>
      </w:r>
      <w:r w:rsidRPr="005F15DA">
        <w:rPr>
          <w:b/>
        </w:rPr>
        <w:tab/>
      </w:r>
      <w:r w:rsidR="005D70F9" w:rsidRPr="005F15DA">
        <w:rPr>
          <w:b/>
        </w:rPr>
        <w:t>Selbstlesung (Art. 500 – 501 ZGB)</w:t>
      </w:r>
    </w:p>
    <w:p w:rsidR="005D70F9" w:rsidRPr="005F15DA" w:rsidRDefault="005C3F17" w:rsidP="005C3F17">
      <w:pPr>
        <w:tabs>
          <w:tab w:val="left" w:pos="2694"/>
        </w:tabs>
        <w:ind w:left="2694" w:hanging="284"/>
        <w:rPr>
          <w:spacing w:val="-2"/>
        </w:rPr>
      </w:pPr>
      <w:r w:rsidRPr="005F15DA">
        <w:rPr>
          <w:spacing w:val="-2"/>
        </w:rPr>
        <w:tab/>
      </w:r>
      <w:r w:rsidR="005D70F9" w:rsidRPr="005F15DA">
        <w:rPr>
          <w:spacing w:val="-2"/>
        </w:rPr>
        <w:t>Gestützt auf eine Besprechung mit dem Testator bereitet die U</w:t>
      </w:r>
      <w:r w:rsidR="005D70F9" w:rsidRPr="005F15DA">
        <w:rPr>
          <w:spacing w:val="-2"/>
        </w:rPr>
        <w:t>r</w:t>
      </w:r>
      <w:r w:rsidR="005D70F9" w:rsidRPr="005F15DA">
        <w:rPr>
          <w:spacing w:val="-2"/>
        </w:rPr>
        <w:t>kundsperson das Testament vor. Anlässlich des Verurkundung</w:t>
      </w:r>
      <w:r w:rsidR="005D70F9" w:rsidRPr="005F15DA">
        <w:rPr>
          <w:spacing w:val="-2"/>
        </w:rPr>
        <w:t>s</w:t>
      </w:r>
      <w:r w:rsidR="005D70F9" w:rsidRPr="005F15DA">
        <w:rPr>
          <w:spacing w:val="-2"/>
        </w:rPr>
        <w:t>termines liest der Testator das öffentliche Testament in Gegenwart der Urkundsperson. Hierauf werden die zwei Zeugen herbeiger</w:t>
      </w:r>
      <w:r w:rsidR="005D70F9" w:rsidRPr="005F15DA">
        <w:rPr>
          <w:spacing w:val="-2"/>
        </w:rPr>
        <w:t>u</w:t>
      </w:r>
      <w:r w:rsidR="005D70F9" w:rsidRPr="005F15DA">
        <w:rPr>
          <w:spacing w:val="-2"/>
        </w:rPr>
        <w:t>fen. Der Testator und die Urkundsperson unterzeichnen anschlie</w:t>
      </w:r>
      <w:r w:rsidR="005D70F9" w:rsidRPr="005F15DA">
        <w:rPr>
          <w:spacing w:val="-2"/>
        </w:rPr>
        <w:t>s</w:t>
      </w:r>
      <w:r w:rsidR="005D70F9" w:rsidRPr="005F15DA">
        <w:rPr>
          <w:spacing w:val="-2"/>
        </w:rPr>
        <w:t>send die Urkunde vor den Zeugen. Es ist auch möglich, dass die Zeugen erst nach der Unterzeichnung der Urkunde beigezogen werden. Der Testator erklärt den Zeugen, dass er die Urkunde in Gegenwart des Notars gelesen habe und, dass diese seinen let</w:t>
      </w:r>
      <w:r w:rsidR="005D70F9" w:rsidRPr="005F15DA">
        <w:rPr>
          <w:spacing w:val="-2"/>
        </w:rPr>
        <w:t>z</w:t>
      </w:r>
      <w:r w:rsidR="005D70F9" w:rsidRPr="005F15DA">
        <w:rPr>
          <w:spacing w:val="-2"/>
        </w:rPr>
        <w:t>ten Willen enthalte. Darauf bestätigen die Zeugen mit ihrer Unte</w:t>
      </w:r>
      <w:r w:rsidR="005D70F9" w:rsidRPr="005F15DA">
        <w:rPr>
          <w:spacing w:val="-2"/>
        </w:rPr>
        <w:t>r</w:t>
      </w:r>
      <w:r w:rsidR="005D70F9" w:rsidRPr="005F15DA">
        <w:rPr>
          <w:spacing w:val="-2"/>
        </w:rPr>
        <w:t>schrift, dass der Testator diese Erklärungen abgegeben habe und, dass er sich nach ihrer Wahrnehmung im Zustande der Verf</w:t>
      </w:r>
      <w:r w:rsidR="005D70F9" w:rsidRPr="005F15DA">
        <w:rPr>
          <w:spacing w:val="-2"/>
        </w:rPr>
        <w:t>ü</w:t>
      </w:r>
      <w:r w:rsidR="005D70F9" w:rsidRPr="005F15DA">
        <w:rPr>
          <w:spacing w:val="-2"/>
        </w:rPr>
        <w:t>gungsfähigkeit befunden habe.</w:t>
      </w:r>
    </w:p>
    <w:p w:rsidR="005D70F9" w:rsidRPr="005F15DA" w:rsidRDefault="005C3F17" w:rsidP="005C3F17">
      <w:pPr>
        <w:tabs>
          <w:tab w:val="left" w:pos="2694"/>
        </w:tabs>
        <w:ind w:left="2410"/>
        <w:rPr>
          <w:b/>
        </w:rPr>
      </w:pPr>
      <w:r w:rsidRPr="005F15DA">
        <w:rPr>
          <w:b/>
        </w:rPr>
        <w:t>-</w:t>
      </w:r>
      <w:r w:rsidRPr="005F15DA">
        <w:rPr>
          <w:b/>
        </w:rPr>
        <w:tab/>
      </w:r>
      <w:r w:rsidR="005D70F9" w:rsidRPr="005F15DA">
        <w:rPr>
          <w:b/>
        </w:rPr>
        <w:t>Vorlesung durch den Notar (Art. 502 ZGB)</w:t>
      </w:r>
    </w:p>
    <w:p w:rsidR="005D70F9" w:rsidRPr="005F15DA" w:rsidRDefault="005C3F17" w:rsidP="005C3F17">
      <w:pPr>
        <w:tabs>
          <w:tab w:val="left" w:pos="2694"/>
        </w:tabs>
        <w:ind w:left="2694" w:hanging="284"/>
        <w:rPr>
          <w:spacing w:val="-2"/>
        </w:rPr>
      </w:pPr>
      <w:r w:rsidRPr="005F15DA">
        <w:rPr>
          <w:spacing w:val="-2"/>
        </w:rPr>
        <w:tab/>
      </w:r>
      <w:r w:rsidR="005D70F9" w:rsidRPr="005F15DA">
        <w:rPr>
          <w:spacing w:val="-2"/>
        </w:rPr>
        <w:t>Eine Nebenform, die ebenfalls zulässig ist, sieht vor, dass die U</w:t>
      </w:r>
      <w:r w:rsidR="005D70F9" w:rsidRPr="005F15DA">
        <w:rPr>
          <w:spacing w:val="-2"/>
        </w:rPr>
        <w:t>r</w:t>
      </w:r>
      <w:r w:rsidR="005D70F9" w:rsidRPr="005F15DA">
        <w:rPr>
          <w:spacing w:val="-2"/>
        </w:rPr>
        <w:t>kundsperson das Testament dem Testator in Gegenwart der zwei Zeugen vorliest, worauf diese den Vorgang ebenfalls unterschrif</w:t>
      </w:r>
      <w:r w:rsidR="005D70F9" w:rsidRPr="005F15DA">
        <w:rPr>
          <w:spacing w:val="-2"/>
        </w:rPr>
        <w:t>t</w:t>
      </w:r>
      <w:r w:rsidR="005D70F9" w:rsidRPr="005F15DA">
        <w:rPr>
          <w:spacing w:val="-2"/>
        </w:rPr>
        <w:t>lich bestätigen. Diese Urkunde wird regelmässig nur von der U</w:t>
      </w:r>
      <w:r w:rsidR="005D70F9" w:rsidRPr="005F15DA">
        <w:rPr>
          <w:spacing w:val="-2"/>
        </w:rPr>
        <w:t>r</w:t>
      </w:r>
      <w:r w:rsidR="005D70F9" w:rsidRPr="005F15DA">
        <w:rPr>
          <w:spacing w:val="-2"/>
        </w:rPr>
        <w:t>kundsperson und den zwei Zeugen unterschrieben.</w:t>
      </w:r>
    </w:p>
    <w:p w:rsidR="005D70F9" w:rsidRPr="005F15DA" w:rsidRDefault="005C3F17" w:rsidP="005C3F17">
      <w:pPr>
        <w:tabs>
          <w:tab w:val="left" w:pos="2694"/>
        </w:tabs>
        <w:ind w:left="2694" w:hanging="284"/>
        <w:rPr>
          <w:spacing w:val="-2"/>
        </w:rPr>
      </w:pPr>
      <w:r w:rsidRPr="005F15DA">
        <w:rPr>
          <w:spacing w:val="-2"/>
        </w:rPr>
        <w:tab/>
      </w:r>
      <w:r w:rsidR="005D70F9" w:rsidRPr="005F15DA">
        <w:rPr>
          <w:spacing w:val="-2"/>
        </w:rPr>
        <w:t>Diese Form hat den Nachteil, dass die Zeugen vom Inhalt des Te</w:t>
      </w:r>
      <w:r w:rsidR="005D70F9" w:rsidRPr="005F15DA">
        <w:rPr>
          <w:spacing w:val="-2"/>
        </w:rPr>
        <w:t>s</w:t>
      </w:r>
      <w:r w:rsidR="005D70F9" w:rsidRPr="005F15DA">
        <w:rPr>
          <w:spacing w:val="-2"/>
        </w:rPr>
        <w:t>tamentes Kenntnis erhalten.</w:t>
      </w:r>
    </w:p>
    <w:p w:rsidR="00E40D09" w:rsidRPr="005F15DA" w:rsidRDefault="00E40D09" w:rsidP="005C3F17"/>
    <w:p w:rsidR="001019E0" w:rsidRPr="005F15DA" w:rsidRDefault="001019E0">
      <w:pPr>
        <w:spacing w:after="200"/>
        <w:rPr>
          <w:b/>
          <w:bCs/>
          <w:spacing w:val="-5"/>
          <w:szCs w:val="22"/>
        </w:rPr>
      </w:pPr>
      <w:r w:rsidRPr="005F15DA">
        <w:br w:type="page"/>
      </w:r>
    </w:p>
    <w:p w:rsidR="005D70F9" w:rsidRPr="005F15DA" w:rsidRDefault="005D70F9" w:rsidP="005C3F17">
      <w:pPr>
        <w:pStyle w:val="berschrift8"/>
      </w:pPr>
      <w:r w:rsidRPr="005F15DA">
        <w:lastRenderedPageBreak/>
        <w:t>6.2.2.3.</w:t>
      </w:r>
      <w:r w:rsidRPr="005F15DA">
        <w:tab/>
        <w:t>Nottestament (Mündliche Verfügung) (Art. 506 – 508 ZGB)</w:t>
      </w:r>
    </w:p>
    <w:p w:rsidR="005D70F9" w:rsidRPr="005F15DA" w:rsidRDefault="005D70F9" w:rsidP="005C3F17">
      <w:pPr>
        <w:ind w:left="2410"/>
      </w:pPr>
      <w:r w:rsidRPr="005F15DA">
        <w:t>Ist der Erblasser infolge ausserordentlicher Umstände nicht in der Lage, eine der beiden anderen Formvorschriften einzuhalten, kann er auch eine mündliche letztwillige Verfügung errichten, indem er se</w:t>
      </w:r>
      <w:r w:rsidRPr="005F15DA">
        <w:t>i</w:t>
      </w:r>
      <w:r w:rsidRPr="005F15DA">
        <w:t>nen letzten Willen vor zwei Zeugen erklärt und sie beauftragt, diesen beurkunden zu lassen. Für die beiden Zeugen gelten die gleichen Ausschliessungsgründe wie bei der öffentlichen Beurkundung.</w:t>
      </w:r>
    </w:p>
    <w:p w:rsidR="005C3F17" w:rsidRPr="005F15DA" w:rsidRDefault="005C3F17" w:rsidP="005C3F17">
      <w:pPr>
        <w:ind w:left="2410"/>
      </w:pPr>
    </w:p>
    <w:p w:rsidR="005D70F9" w:rsidRPr="005F15DA" w:rsidRDefault="005D70F9" w:rsidP="005C3F17">
      <w:pPr>
        <w:ind w:left="2410"/>
      </w:pPr>
      <w:r w:rsidRPr="005F15DA">
        <w:t>Die beiden Zeugen haben die mündliche Verfügung unter Angabe von Ort und Datum sofort niederzuschreiben und zu unterzeichnen; sie müssen zudem die Erklärung abgeben, dass der Erblasser ihnen diesen, seinen letzten Willen, im Zustand der Verfügungsfähigkeit und unter den besonderen Umständen, mitgeteilt habe. Anschlie</w:t>
      </w:r>
      <w:r w:rsidRPr="005F15DA">
        <w:t>s</w:t>
      </w:r>
      <w:r w:rsidRPr="005F15DA">
        <w:t>send ist das Nottestament umgehend bei einer Gerichtsbehörde (Kt. Bern: Gerichtspräsident gem. Art. 2 Abs. 2 EGzZGB) einzureichen. Alternativ können die beiden Zeugen gemeinsam die Verfügung bei der Gerichtsbehörde zu Protokoll geben.</w:t>
      </w:r>
    </w:p>
    <w:p w:rsidR="005C3F17" w:rsidRPr="005F15DA" w:rsidRDefault="005C3F17" w:rsidP="005C3F17">
      <w:pPr>
        <w:ind w:left="2410"/>
      </w:pPr>
    </w:p>
    <w:p w:rsidR="005D70F9" w:rsidRPr="005F15DA" w:rsidRDefault="005D70F9" w:rsidP="005C3F17">
      <w:pPr>
        <w:ind w:left="2410"/>
      </w:pPr>
      <w:r w:rsidRPr="005F15DA">
        <w:t>Errichtet der Erblasser die mündliche Verfügung im Militärdienst, kann die Erklärung (statt beim Gerichtspräsidenten) gegenüber e</w:t>
      </w:r>
      <w:r w:rsidRPr="005F15DA">
        <w:t>i</w:t>
      </w:r>
      <w:r w:rsidRPr="005F15DA">
        <w:t>nem Offizier, der mindestens im Range eines Hauptmannes steht, abgegeben werden.</w:t>
      </w:r>
    </w:p>
    <w:p w:rsidR="005C3F17" w:rsidRPr="005F15DA" w:rsidRDefault="005C3F17" w:rsidP="005C3F17">
      <w:pPr>
        <w:ind w:left="2410"/>
      </w:pPr>
    </w:p>
    <w:p w:rsidR="005D70F9" w:rsidRPr="005F15DA" w:rsidRDefault="005D70F9" w:rsidP="005C3F17">
      <w:pPr>
        <w:ind w:left="2410"/>
      </w:pPr>
      <w:r w:rsidRPr="005F15DA">
        <w:t>Wird es dem Erblasser nachträglich möglich, sich einer der beiden anderen Verfügungsformen zu bedienen, so verliert die mündliche Verfügung ab diesem Zeitpunkt nach 14 Tagen ihre Gültigkeit.</w:t>
      </w:r>
    </w:p>
    <w:p w:rsidR="00E40D09" w:rsidRPr="005F15DA" w:rsidRDefault="00E40D09" w:rsidP="00E40D09"/>
    <w:p w:rsidR="00E40D09" w:rsidRPr="005F15DA" w:rsidRDefault="00E40D09" w:rsidP="00E40D09"/>
    <w:p w:rsidR="005D70F9" w:rsidRPr="005F15DA" w:rsidRDefault="005D70F9" w:rsidP="00A11594">
      <w:pPr>
        <w:pStyle w:val="berschrift6"/>
      </w:pPr>
      <w:r w:rsidRPr="005F15DA">
        <w:t>6.2.3.</w:t>
      </w:r>
      <w:r w:rsidRPr="005F15DA">
        <w:tab/>
        <w:t>Grundsätzliches zum Testament</w:t>
      </w:r>
    </w:p>
    <w:p w:rsidR="005D70F9" w:rsidRPr="005F15DA" w:rsidRDefault="005D70F9" w:rsidP="005C3F17">
      <w:pPr>
        <w:ind w:left="1701"/>
      </w:pPr>
      <w:r w:rsidRPr="005F15DA">
        <w:t>Die Kantone haben dafür zu sorgen, dass letztwillige Verfügungen einer Amtsstelle zur Aufbewahrung übergeben werden können. Im Kanton Bern wurde diese Aufgabe dem Einwohnergemeinderat übertragen, sofern die letztwilligen Verfügungen nicht bei einem Notar hinterlegt werden (Art. 6 Abs. 1 EGzZGB).</w:t>
      </w:r>
    </w:p>
    <w:p w:rsidR="005C3F17" w:rsidRPr="005F15DA" w:rsidRDefault="005C3F17" w:rsidP="005C3F17">
      <w:pPr>
        <w:ind w:left="1701"/>
      </w:pPr>
    </w:p>
    <w:p w:rsidR="005D70F9" w:rsidRPr="005F15DA" w:rsidRDefault="005D70F9" w:rsidP="005C3F17">
      <w:pPr>
        <w:ind w:left="1701"/>
      </w:pPr>
      <w:r w:rsidRPr="005F15DA">
        <w:t>Eine letztwillige Verfügung kann durch den Erblasser jederzeit widerrufen werden. Dies kann durch Aufhebung unter Beachtung der gleichen For</w:t>
      </w:r>
      <w:r w:rsidRPr="005F15DA">
        <w:t>m</w:t>
      </w:r>
      <w:r w:rsidRPr="005F15DA">
        <w:t>vorschriften wie die Errichtung (Art. 509 ZGB) geschehen oder durch Ve</w:t>
      </w:r>
      <w:r w:rsidRPr="005F15DA">
        <w:t>r</w:t>
      </w:r>
      <w:r w:rsidRPr="005F15DA">
        <w:t>nichtung des Testamentes (Art. 510 ZGB). Errichtet der Erblasser zu einem späteren Zeitpunkt eine neue letztwillige Verfügung, so tritt die neue letztwi</w:t>
      </w:r>
      <w:r w:rsidRPr="005F15DA">
        <w:t>l</w:t>
      </w:r>
      <w:r w:rsidRPr="005F15DA">
        <w:t>lige Verfügung an die Stelle der früheren Verfügung, soweit sie nicht zweife</w:t>
      </w:r>
      <w:r w:rsidRPr="005F15DA">
        <w:t>l</w:t>
      </w:r>
      <w:r w:rsidRPr="005F15DA">
        <w:t>los eine blosse Ergänzung darstellt, auch wenn dies nicht ausdrücklich so verfügt wird (Art. 511 ZGB).</w:t>
      </w:r>
    </w:p>
    <w:p w:rsidR="00E40D09" w:rsidRPr="005F15DA" w:rsidRDefault="00E40D09" w:rsidP="005C3F17">
      <w:pPr>
        <w:ind w:left="1701"/>
      </w:pPr>
    </w:p>
    <w:p w:rsidR="00E40D09" w:rsidRPr="005F15DA" w:rsidRDefault="00E40D09" w:rsidP="005C3F17">
      <w:pPr>
        <w:ind w:left="1701"/>
      </w:pPr>
    </w:p>
    <w:p w:rsidR="005D70F9" w:rsidRPr="005F15DA" w:rsidRDefault="005D70F9" w:rsidP="00A11594">
      <w:pPr>
        <w:pStyle w:val="berschrift5"/>
      </w:pPr>
      <w:r w:rsidRPr="005F15DA">
        <w:rPr>
          <w:spacing w:val="-6"/>
        </w:rPr>
        <w:lastRenderedPageBreak/>
        <w:t>6.3.</w:t>
      </w:r>
      <w:r w:rsidRPr="005F15DA">
        <w:tab/>
        <w:t>Erbvertrag</w:t>
      </w:r>
    </w:p>
    <w:p w:rsidR="005D70F9" w:rsidRPr="005F15DA" w:rsidRDefault="005D70F9" w:rsidP="005C3F17">
      <w:pPr>
        <w:ind w:left="851"/>
      </w:pPr>
      <w:r w:rsidRPr="005F15DA">
        <w:t>Wer handlungsfähig ist, kann einen Erbvertrag abschliessen. In einem Erbvertrag können die Vertragsschliessenden über den Nachlass verfügen oder ein zukünftiger Erbe kann auf seinen Erbanspruch ganz oder teilweise verzichten.</w:t>
      </w:r>
    </w:p>
    <w:p w:rsidR="005C3F17" w:rsidRPr="005F15DA" w:rsidRDefault="005C3F17" w:rsidP="005C3F17">
      <w:pPr>
        <w:ind w:left="851"/>
      </w:pPr>
    </w:p>
    <w:p w:rsidR="005D70F9" w:rsidRPr="005F15DA" w:rsidRDefault="005D70F9" w:rsidP="005C3F17">
      <w:pPr>
        <w:ind w:left="851"/>
      </w:pPr>
      <w:r w:rsidRPr="005F15DA">
        <w:t>Der Erbvertrag bedarf zu seiner Gültigkeit der Form der öffentlichen letztwilligen Ve</w:t>
      </w:r>
      <w:r w:rsidRPr="005F15DA">
        <w:t>r</w:t>
      </w:r>
      <w:r w:rsidRPr="005F15DA">
        <w:t>fügung, d.h. der öffentlichen Beurkundung; andere Formen stehen nicht zur Verf</w:t>
      </w:r>
      <w:r w:rsidRPr="005F15DA">
        <w:t>ü</w:t>
      </w:r>
      <w:r w:rsidRPr="005F15DA">
        <w:t>gung. Weil es sich um ein zweiseitiges Rechtsgeschäft handelt, braucht es ein Z</w:t>
      </w:r>
      <w:r w:rsidRPr="005F15DA">
        <w:t>u</w:t>
      </w:r>
      <w:r w:rsidRPr="005F15DA">
        <w:t>sammenwirken der Vertragsparteien. Beide müssen gleichzeitig, d.h. bei derselben Gelegenheit, der Urkundsperson ihren Willen kundtun.</w:t>
      </w:r>
    </w:p>
    <w:p w:rsidR="00E40D09" w:rsidRPr="005F15DA" w:rsidRDefault="00E40D09" w:rsidP="005C3F17">
      <w:pPr>
        <w:ind w:left="851"/>
      </w:pPr>
    </w:p>
    <w:p w:rsidR="00E40D09" w:rsidRPr="005F15DA" w:rsidRDefault="00E40D09" w:rsidP="005C3F17">
      <w:pPr>
        <w:ind w:left="851"/>
      </w:pPr>
    </w:p>
    <w:p w:rsidR="005D70F9" w:rsidRPr="005F15DA" w:rsidRDefault="005D70F9" w:rsidP="005B0AC0">
      <w:pPr>
        <w:pStyle w:val="berschrift6"/>
      </w:pPr>
      <w:r w:rsidRPr="005F15DA">
        <w:t>6.3.1.</w:t>
      </w:r>
      <w:r w:rsidRPr="005F15DA">
        <w:tab/>
        <w:t>Formvorschriften /Verfahrensarten</w:t>
      </w:r>
    </w:p>
    <w:p w:rsidR="005D70F9" w:rsidRPr="005F15DA" w:rsidRDefault="005D70F9" w:rsidP="005C3F17">
      <w:pPr>
        <w:ind w:left="1701"/>
        <w:rPr>
          <w:b/>
        </w:rPr>
      </w:pPr>
      <w:r w:rsidRPr="005F15DA">
        <w:rPr>
          <w:b/>
        </w:rPr>
        <w:t>Selbstlesung</w:t>
      </w:r>
    </w:p>
    <w:p w:rsidR="005D70F9" w:rsidRPr="005F15DA" w:rsidRDefault="005D70F9" w:rsidP="005C3F17">
      <w:pPr>
        <w:ind w:left="1701"/>
        <w:rPr>
          <w:spacing w:val="-2"/>
        </w:rPr>
      </w:pPr>
      <w:r w:rsidRPr="005F15DA">
        <w:rPr>
          <w:spacing w:val="-2"/>
        </w:rPr>
        <w:t>Im Unterschied zum Testament hat die Unterzeichnung der Urkunde zwi</w:t>
      </w:r>
      <w:r w:rsidRPr="005F15DA">
        <w:rPr>
          <w:spacing w:val="-2"/>
        </w:rPr>
        <w:t>n</w:t>
      </w:r>
      <w:r w:rsidRPr="005F15DA">
        <w:rPr>
          <w:spacing w:val="-2"/>
        </w:rPr>
        <w:t>gend vor den Zeugen zu erfolgen. Die Parteien haben den Zeugen wie beim Testament eine ausdrückliche Erklärung abzugeben. Die Zeugen haben diese und die Verfügungsfähigkeit der Vertragsschliessenden wiederum schriftlich zu bestätigen.</w:t>
      </w:r>
    </w:p>
    <w:p w:rsidR="005C3F17" w:rsidRPr="005F15DA" w:rsidRDefault="005C3F17" w:rsidP="005C3F17">
      <w:pPr>
        <w:ind w:left="1701"/>
        <w:rPr>
          <w:spacing w:val="-2"/>
        </w:rPr>
      </w:pPr>
    </w:p>
    <w:p w:rsidR="005D70F9" w:rsidRPr="005F15DA" w:rsidRDefault="005D70F9" w:rsidP="005C3F17">
      <w:pPr>
        <w:ind w:left="1701"/>
        <w:rPr>
          <w:b/>
        </w:rPr>
      </w:pPr>
      <w:r w:rsidRPr="005F15DA">
        <w:rPr>
          <w:b/>
        </w:rPr>
        <w:t>Vorlesen durch den Notar</w:t>
      </w:r>
    </w:p>
    <w:p w:rsidR="005D70F9" w:rsidRPr="005F15DA" w:rsidRDefault="005D70F9" w:rsidP="005C3F17">
      <w:pPr>
        <w:ind w:left="1701"/>
        <w:rPr>
          <w:spacing w:val="-2"/>
        </w:rPr>
      </w:pPr>
      <w:r w:rsidRPr="005F15DA">
        <w:rPr>
          <w:spacing w:val="-2"/>
        </w:rPr>
        <w:t>Der Notar liest den Vertragsparteien den Erbvertrag in Gegenwart von zwei Zeugen vor, welche diesen Vorgang mit ihrer Unterschrift bestätigen. Die Zeugen erhalten so allerdings Kenntnis vom Inhalt der Urkunde.</w:t>
      </w:r>
    </w:p>
    <w:p w:rsidR="00E40D09" w:rsidRPr="005F15DA" w:rsidRDefault="00E40D09" w:rsidP="00E40D09"/>
    <w:p w:rsidR="00E40D09" w:rsidRPr="005F15DA" w:rsidRDefault="00E40D09" w:rsidP="00E40D09"/>
    <w:p w:rsidR="005D70F9" w:rsidRPr="005F15DA" w:rsidRDefault="005D70F9" w:rsidP="00A11594">
      <w:pPr>
        <w:pStyle w:val="berschrift6"/>
      </w:pPr>
      <w:r w:rsidRPr="005F15DA">
        <w:t>6.3.2.</w:t>
      </w:r>
      <w:r w:rsidRPr="005F15DA">
        <w:tab/>
        <w:t>Aufhebung / Abänderung des Erbvertrages</w:t>
      </w:r>
    </w:p>
    <w:p w:rsidR="005D70F9" w:rsidRPr="005F15DA" w:rsidRDefault="005D70F9" w:rsidP="005C3F17">
      <w:pPr>
        <w:ind w:left="1701"/>
      </w:pPr>
      <w:r w:rsidRPr="005F15DA">
        <w:t>Der Erbvertrag kann durch schriftliche Übereinkunft der Vertragsschliesse</w:t>
      </w:r>
      <w:r w:rsidRPr="005F15DA">
        <w:t>n</w:t>
      </w:r>
      <w:r w:rsidRPr="005F15DA">
        <w:t>den jederzeit aufgehoben werden. Der Erblasser kann zudem einseitig einen Erbeinsetzungs- oder Vermächtnisvertrag aufheben, wenn der Erbe oder Bedachte sich nach dem Abschluss des Vertrages dem Erblasser gege</w:t>
      </w:r>
      <w:r w:rsidRPr="005F15DA">
        <w:t>n</w:t>
      </w:r>
      <w:r w:rsidRPr="005F15DA">
        <w:t>über eines Verhaltens schuldig macht, das einen Enterbungsgrund darstellt.</w:t>
      </w:r>
    </w:p>
    <w:p w:rsidR="005C3F17" w:rsidRPr="005F15DA" w:rsidRDefault="005C3F17" w:rsidP="005C3F17">
      <w:pPr>
        <w:ind w:left="1701"/>
      </w:pPr>
    </w:p>
    <w:p w:rsidR="005D70F9" w:rsidRPr="005F15DA" w:rsidRDefault="005D70F9" w:rsidP="005C3F17">
      <w:pPr>
        <w:ind w:left="1701"/>
      </w:pPr>
      <w:r w:rsidRPr="005F15DA">
        <w:t>Sind Leistungen bereits unter Lebenden fällig, kann der Gläubiger dieser Leistungen zudem gemäss den Regeln des OR (Art. 107 ff. OR) vom Ve</w:t>
      </w:r>
      <w:r w:rsidRPr="005F15DA">
        <w:t>r</w:t>
      </w:r>
      <w:r w:rsidRPr="005F15DA">
        <w:t>trag zurücktreten, wenn diese nicht vertragsgemäss erfüllt oder sicherg</w:t>
      </w:r>
      <w:r w:rsidRPr="005F15DA">
        <w:t>e</w:t>
      </w:r>
      <w:r w:rsidRPr="005F15DA">
        <w:t>stellt werden.</w:t>
      </w:r>
    </w:p>
    <w:p w:rsidR="00E40D09" w:rsidRPr="005F15DA" w:rsidRDefault="00E40D09" w:rsidP="00E40D09"/>
    <w:p w:rsidR="00E40D09" w:rsidRPr="005F15DA" w:rsidRDefault="00E40D09" w:rsidP="00E40D09"/>
    <w:p w:rsidR="005D70F9" w:rsidRPr="005F15DA" w:rsidRDefault="005D70F9" w:rsidP="00A11594">
      <w:pPr>
        <w:pStyle w:val="berschrift5"/>
      </w:pPr>
      <w:r w:rsidRPr="005F15DA">
        <w:t>6.4.</w:t>
      </w:r>
      <w:r w:rsidRPr="005F15DA">
        <w:tab/>
        <w:t>Ungültigkeit und Herabsetzung der Verfügungen (Art. 519 – 526 ZGB)</w:t>
      </w:r>
    </w:p>
    <w:p w:rsidR="005D70F9" w:rsidRPr="005F15DA" w:rsidRDefault="005D70F9" w:rsidP="002F0DF8">
      <w:pPr>
        <w:tabs>
          <w:tab w:val="left" w:pos="1134"/>
        </w:tabs>
        <w:ind w:left="851"/>
      </w:pPr>
      <w:r w:rsidRPr="005F15DA">
        <w:t>Auf Klage hin wird eine Verfügung von Todes wegen für ungültig erklärt (Art. 519 – 521 ZGB), wenn</w:t>
      </w:r>
    </w:p>
    <w:p w:rsidR="005D70F9" w:rsidRPr="005F15DA" w:rsidRDefault="005D70F9" w:rsidP="002F0DF8">
      <w:pPr>
        <w:tabs>
          <w:tab w:val="left" w:pos="1134"/>
        </w:tabs>
        <w:ind w:left="851"/>
      </w:pPr>
      <w:r w:rsidRPr="005F15DA">
        <w:t>-</w:t>
      </w:r>
      <w:r w:rsidRPr="005F15DA">
        <w:tab/>
        <w:t>der Erblasser zu Zeit der Errichtung nicht verfügungsfähig war,</w:t>
      </w:r>
    </w:p>
    <w:p w:rsidR="005D70F9" w:rsidRPr="005F15DA" w:rsidRDefault="005D70F9" w:rsidP="002F0DF8">
      <w:pPr>
        <w:tabs>
          <w:tab w:val="left" w:pos="1134"/>
        </w:tabs>
        <w:ind w:left="851"/>
      </w:pPr>
      <w:r w:rsidRPr="005F15DA">
        <w:t>-</w:t>
      </w:r>
      <w:r w:rsidRPr="005F15DA">
        <w:tab/>
        <w:t>sie aus mangelhaftem Willen hervorgegangen ist,</w:t>
      </w:r>
    </w:p>
    <w:p w:rsidR="005D70F9" w:rsidRPr="005F15DA" w:rsidRDefault="005D70F9" w:rsidP="002F0DF8">
      <w:pPr>
        <w:tabs>
          <w:tab w:val="left" w:pos="1134"/>
        </w:tabs>
        <w:ind w:left="851"/>
      </w:pPr>
      <w:r w:rsidRPr="005F15DA">
        <w:t>-</w:t>
      </w:r>
      <w:r w:rsidRPr="005F15DA">
        <w:tab/>
        <w:t>ihr Inhalt oder eine darin enthaltene Bedingung unsittlich oder rechtswidrig ist,</w:t>
      </w:r>
    </w:p>
    <w:p w:rsidR="005D70F9" w:rsidRPr="005F15DA" w:rsidRDefault="005D70F9" w:rsidP="002F0DF8">
      <w:pPr>
        <w:tabs>
          <w:tab w:val="left" w:pos="1134"/>
        </w:tabs>
        <w:ind w:left="1134" w:hanging="283"/>
      </w:pPr>
      <w:r w:rsidRPr="005F15DA">
        <w:lastRenderedPageBreak/>
        <w:t>-</w:t>
      </w:r>
      <w:r w:rsidRPr="005F15DA">
        <w:tab/>
        <w:t>bei der Errichtung die Formvorschriften nicht eingehalten wurden. Liegt die For</w:t>
      </w:r>
      <w:r w:rsidRPr="005F15DA">
        <w:t>m</w:t>
      </w:r>
      <w:r w:rsidRPr="005F15DA">
        <w:t>widrigkeit darin, dass eine Person mitgewirkt hat, die selber in der Verfügung b</w:t>
      </w:r>
      <w:r w:rsidRPr="005F15DA">
        <w:t>e</w:t>
      </w:r>
      <w:r w:rsidRPr="005F15DA">
        <w:t>dacht ist, so wird nur diese Zuwendung für ungültig erklärt.</w:t>
      </w:r>
    </w:p>
    <w:p w:rsidR="002F0DF8" w:rsidRPr="005F15DA" w:rsidRDefault="002F0DF8" w:rsidP="002F0DF8">
      <w:pPr>
        <w:tabs>
          <w:tab w:val="left" w:pos="1134"/>
        </w:tabs>
        <w:ind w:left="851"/>
      </w:pPr>
    </w:p>
    <w:p w:rsidR="005D70F9" w:rsidRPr="005F15DA" w:rsidRDefault="005D70F9" w:rsidP="002F0DF8">
      <w:pPr>
        <w:tabs>
          <w:tab w:val="left" w:pos="1134"/>
        </w:tabs>
        <w:ind w:left="851"/>
      </w:pPr>
      <w:r w:rsidRPr="005F15DA">
        <w:t>Die Ungültigkeitsklage verjährt innert eines Jahres ab Kenntnis der Verfügung und des Ungültigkeitsgrundes, auf jeden Fall aber mit dem Ablauf von zehn Jahren ab dem Datum der Eröffnung der Verfügung.</w:t>
      </w:r>
    </w:p>
    <w:p w:rsidR="002F0DF8" w:rsidRPr="005F15DA" w:rsidRDefault="002F0DF8" w:rsidP="002F0DF8">
      <w:pPr>
        <w:tabs>
          <w:tab w:val="left" w:pos="1134"/>
        </w:tabs>
        <w:ind w:left="851"/>
      </w:pPr>
    </w:p>
    <w:p w:rsidR="005D70F9" w:rsidRPr="005F15DA" w:rsidRDefault="005D70F9" w:rsidP="002F0DF8">
      <w:pPr>
        <w:tabs>
          <w:tab w:val="left" w:pos="1134"/>
        </w:tabs>
        <w:ind w:left="851"/>
      </w:pPr>
      <w:r w:rsidRPr="005F15DA">
        <w:t>Hat der Erblasser seine Verfügungsbefugnisse überschritten, können die Erben, we</w:t>
      </w:r>
      <w:r w:rsidRPr="005F15DA">
        <w:t>l</w:t>
      </w:r>
      <w:r w:rsidRPr="005F15DA">
        <w:t>che wertmässig nicht den Pflichtteil erhalten, die Herabsetzung der Verfügung auf das erlaubte Mass verlangen (Art. 522 – 526 ZGB).</w:t>
      </w:r>
    </w:p>
    <w:p w:rsidR="002F0DF8" w:rsidRPr="005F15DA" w:rsidRDefault="002F0DF8" w:rsidP="002F0DF8">
      <w:pPr>
        <w:tabs>
          <w:tab w:val="left" w:pos="1134"/>
        </w:tabs>
        <w:ind w:left="851"/>
      </w:pPr>
    </w:p>
    <w:p w:rsidR="005D70F9" w:rsidRPr="005F15DA" w:rsidRDefault="005D70F9" w:rsidP="002F0DF8">
      <w:pPr>
        <w:tabs>
          <w:tab w:val="left" w:pos="1134"/>
        </w:tabs>
        <w:ind w:left="851"/>
      </w:pPr>
      <w:r w:rsidRPr="005F15DA">
        <w:t>Der Herabsetzung unterliegen auch Zuwendungen auf Anrechnung an den Erbteil, als Heiratsgut, Ausstattung oder Vermögensabtretung, welche der Erblasser vor se</w:t>
      </w:r>
      <w:r w:rsidRPr="005F15DA">
        <w:t>i</w:t>
      </w:r>
      <w:r w:rsidRPr="005F15DA">
        <w:t>nem Tode ausgerichtet hat, wenn sie nicht der Ausgleichung unterworfen sind. We</w:t>
      </w:r>
      <w:r w:rsidRPr="005F15DA">
        <w:t>i</w:t>
      </w:r>
      <w:r w:rsidRPr="005F15DA">
        <w:t>ter unterliegen der Herabsetzung Erbabfindungen und Auskaufsbeträge, Schenku</w:t>
      </w:r>
      <w:r w:rsidRPr="005F15DA">
        <w:t>n</w:t>
      </w:r>
      <w:r w:rsidRPr="005F15DA">
        <w:t>gen, die der Erblasser frei widerrufen konnte oder die er in den letzten fünf Jahren vor seinem Tod ausgerichtet hat (mit Ausnahme der üblichen Gelegenheitsgesche</w:t>
      </w:r>
      <w:r w:rsidRPr="005F15DA">
        <w:t>n</w:t>
      </w:r>
      <w:r w:rsidRPr="005F15DA">
        <w:t>ke) sowie Entäusserungen von Vermögenswerten, die der Erblasser offenbar zur Umgehung der Verfügungsbeschränkung vorgenommen hat.</w:t>
      </w:r>
    </w:p>
    <w:p w:rsidR="002F0DF8" w:rsidRPr="005F15DA" w:rsidRDefault="002F0DF8" w:rsidP="002F0DF8">
      <w:pPr>
        <w:tabs>
          <w:tab w:val="left" w:pos="1134"/>
        </w:tabs>
        <w:ind w:left="851"/>
      </w:pPr>
    </w:p>
    <w:p w:rsidR="005D70F9" w:rsidRPr="005F15DA" w:rsidRDefault="005D70F9" w:rsidP="002F0DF8">
      <w:pPr>
        <w:tabs>
          <w:tab w:val="left" w:pos="1134"/>
        </w:tabs>
        <w:ind w:left="851"/>
      </w:pPr>
      <w:r w:rsidRPr="005F15DA">
        <w:t>Auch die Herabsetzungsklage verjährt innert eines Jahres ab Kenntnis des Erben von der Verletzung seiner Rechte, auf jeden Fall aber mit Ablauf von zehn Jahren seit Eröffnung der Verfügung bzw. seit dem Tod des Erblassers bei anderen Zuwe</w:t>
      </w:r>
      <w:r w:rsidRPr="005F15DA">
        <w:t>n</w:t>
      </w:r>
      <w:r w:rsidRPr="005F15DA">
        <w:t>dungen.</w:t>
      </w:r>
    </w:p>
    <w:p w:rsidR="00E40D09" w:rsidRPr="005F15DA" w:rsidRDefault="00E40D09" w:rsidP="00E40D09"/>
    <w:p w:rsidR="00E40D09" w:rsidRPr="005F15DA" w:rsidRDefault="00E40D09" w:rsidP="00E40D09"/>
    <w:p w:rsidR="002F0DF8" w:rsidRPr="005F15DA" w:rsidRDefault="002F0DF8" w:rsidP="00E40D09"/>
    <w:p w:rsidR="002F0DF8" w:rsidRPr="005F15DA" w:rsidRDefault="002F0DF8" w:rsidP="00E40D09"/>
    <w:p w:rsidR="005D70F9" w:rsidRPr="005F15DA" w:rsidRDefault="005D70F9" w:rsidP="00E36E8F">
      <w:pPr>
        <w:pStyle w:val="berschrift2"/>
      </w:pPr>
      <w:bookmarkStart w:id="63" w:name="_Toc432175584"/>
      <w:r w:rsidRPr="005F15DA">
        <w:t>III. Der Erbgang</w:t>
      </w:r>
      <w:bookmarkEnd w:id="63"/>
    </w:p>
    <w:p w:rsidR="00B11D0F" w:rsidRPr="005F15DA" w:rsidRDefault="00B11D0F" w:rsidP="003F73F7">
      <w:r w:rsidRPr="005F15DA">
        <w:t>________</w:t>
      </w:r>
      <w:r w:rsidR="005759BE" w:rsidRPr="005F15DA">
        <w:t>________</w:t>
      </w:r>
      <w:r w:rsidR="003F73F7">
        <w:t>___</w:t>
      </w:r>
    </w:p>
    <w:p w:rsidR="00E40D09" w:rsidRPr="005F15DA" w:rsidRDefault="00E40D09" w:rsidP="00E40D09"/>
    <w:p w:rsidR="005D70F9" w:rsidRPr="005F15DA" w:rsidRDefault="005D70F9" w:rsidP="005759BE">
      <w:pPr>
        <w:tabs>
          <w:tab w:val="left" w:pos="426"/>
          <w:tab w:val="left" w:pos="851"/>
        </w:tabs>
      </w:pPr>
      <w:r w:rsidRPr="005F15DA">
        <w:t>-</w:t>
      </w:r>
      <w:r w:rsidRPr="005F15DA">
        <w:tab/>
        <w:t>Wie wird der Nachlass und die Erbberechtigung festgestellt?</w:t>
      </w:r>
    </w:p>
    <w:p w:rsidR="005D70F9" w:rsidRPr="005F15DA" w:rsidRDefault="005D70F9" w:rsidP="005759BE">
      <w:pPr>
        <w:tabs>
          <w:tab w:val="left" w:pos="426"/>
          <w:tab w:val="left" w:pos="851"/>
        </w:tabs>
      </w:pPr>
      <w:r w:rsidRPr="005F15DA">
        <w:rPr>
          <w:spacing w:val="-6"/>
        </w:rPr>
        <w:tab/>
        <w:t>-</w:t>
      </w:r>
      <w:r w:rsidRPr="005F15DA">
        <w:rPr>
          <w:spacing w:val="-6"/>
        </w:rPr>
        <w:tab/>
        <w:t>Siegelung</w:t>
      </w:r>
    </w:p>
    <w:p w:rsidR="005D70F9" w:rsidRPr="005F15DA" w:rsidRDefault="005D70F9" w:rsidP="005759BE">
      <w:pPr>
        <w:tabs>
          <w:tab w:val="left" w:pos="426"/>
          <w:tab w:val="left" w:pos="851"/>
        </w:tabs>
      </w:pPr>
      <w:r w:rsidRPr="005F15DA">
        <w:rPr>
          <w:spacing w:val="-4"/>
        </w:rPr>
        <w:tab/>
        <w:t>-</w:t>
      </w:r>
      <w:r w:rsidRPr="005F15DA">
        <w:rPr>
          <w:spacing w:val="-4"/>
        </w:rPr>
        <w:tab/>
        <w:t>Eröffnung von Testamenten oder Erbverträgen</w:t>
      </w:r>
    </w:p>
    <w:p w:rsidR="005D70F9" w:rsidRPr="005F15DA" w:rsidRDefault="005D70F9" w:rsidP="005759BE">
      <w:pPr>
        <w:tabs>
          <w:tab w:val="left" w:pos="426"/>
          <w:tab w:val="left" w:pos="851"/>
        </w:tabs>
      </w:pPr>
      <w:r w:rsidRPr="005F15DA">
        <w:t>-</w:t>
      </w:r>
      <w:r w:rsidRPr="005F15DA">
        <w:tab/>
        <w:t>Welche Bedeutung hat die Erbengemeinschaft?</w:t>
      </w:r>
    </w:p>
    <w:p w:rsidR="005D70F9" w:rsidRPr="005F15DA" w:rsidRDefault="005D70F9" w:rsidP="005759BE">
      <w:pPr>
        <w:tabs>
          <w:tab w:val="left" w:pos="426"/>
          <w:tab w:val="left" w:pos="851"/>
        </w:tabs>
      </w:pPr>
      <w:r w:rsidRPr="005F15DA">
        <w:rPr>
          <w:spacing w:val="-13"/>
        </w:rPr>
        <w:tab/>
        <w:t>-</w:t>
      </w:r>
      <w:r w:rsidRPr="005F15DA">
        <w:rPr>
          <w:spacing w:val="-13"/>
        </w:rPr>
        <w:tab/>
        <w:t>Universalsukzession</w:t>
      </w:r>
    </w:p>
    <w:p w:rsidR="005D70F9" w:rsidRPr="005F15DA" w:rsidRDefault="005D70F9" w:rsidP="005759BE">
      <w:pPr>
        <w:tabs>
          <w:tab w:val="left" w:pos="426"/>
          <w:tab w:val="left" w:pos="851"/>
        </w:tabs>
      </w:pPr>
      <w:r w:rsidRPr="005F15DA">
        <w:rPr>
          <w:spacing w:val="-4"/>
        </w:rPr>
        <w:tab/>
        <w:t>-</w:t>
      </w:r>
      <w:r w:rsidRPr="005F15DA">
        <w:rPr>
          <w:spacing w:val="-4"/>
        </w:rPr>
        <w:tab/>
        <w:t>Gesamthandverhältnis</w:t>
      </w:r>
    </w:p>
    <w:p w:rsidR="005D70F9" w:rsidRPr="005F15DA" w:rsidRDefault="005D70F9" w:rsidP="005759BE">
      <w:pPr>
        <w:tabs>
          <w:tab w:val="left" w:pos="426"/>
          <w:tab w:val="left" w:pos="851"/>
        </w:tabs>
      </w:pPr>
      <w:r w:rsidRPr="005F15DA">
        <w:t>-</w:t>
      </w:r>
      <w:r w:rsidRPr="005F15DA">
        <w:tab/>
        <w:t>Welche Inventare werden unterschieden?</w:t>
      </w:r>
    </w:p>
    <w:p w:rsidR="005D70F9" w:rsidRPr="005F15DA" w:rsidRDefault="005D70F9" w:rsidP="005759BE">
      <w:pPr>
        <w:tabs>
          <w:tab w:val="left" w:pos="426"/>
          <w:tab w:val="left" w:pos="851"/>
        </w:tabs>
      </w:pPr>
      <w:r w:rsidRPr="005F15DA">
        <w:tab/>
        <w:t>-</w:t>
      </w:r>
      <w:r w:rsidRPr="005F15DA">
        <w:tab/>
        <w:t>Steuerinventar</w:t>
      </w:r>
    </w:p>
    <w:p w:rsidR="005D70F9" w:rsidRPr="005F15DA" w:rsidRDefault="005D70F9" w:rsidP="005759BE">
      <w:pPr>
        <w:tabs>
          <w:tab w:val="left" w:pos="426"/>
          <w:tab w:val="left" w:pos="851"/>
        </w:tabs>
      </w:pPr>
      <w:r w:rsidRPr="005F15DA">
        <w:rPr>
          <w:spacing w:val="-5"/>
        </w:rPr>
        <w:tab/>
        <w:t>-</w:t>
      </w:r>
      <w:r w:rsidRPr="005F15DA">
        <w:rPr>
          <w:spacing w:val="-5"/>
        </w:rPr>
        <w:tab/>
        <w:t>Erbschaftsinventar</w:t>
      </w:r>
    </w:p>
    <w:p w:rsidR="005D70F9" w:rsidRPr="005F15DA" w:rsidRDefault="005D70F9" w:rsidP="005759BE">
      <w:pPr>
        <w:tabs>
          <w:tab w:val="left" w:pos="426"/>
          <w:tab w:val="left" w:pos="851"/>
        </w:tabs>
      </w:pPr>
      <w:r w:rsidRPr="005F15DA">
        <w:rPr>
          <w:spacing w:val="-2"/>
        </w:rPr>
        <w:tab/>
        <w:t>-</w:t>
      </w:r>
      <w:r w:rsidRPr="005F15DA">
        <w:rPr>
          <w:spacing w:val="-2"/>
        </w:rPr>
        <w:tab/>
        <w:t>öffentliches Inventar</w:t>
      </w:r>
    </w:p>
    <w:p w:rsidR="005D70F9" w:rsidRPr="005F15DA" w:rsidRDefault="005D70F9" w:rsidP="005759BE">
      <w:pPr>
        <w:tabs>
          <w:tab w:val="left" w:pos="426"/>
          <w:tab w:val="left" w:pos="851"/>
        </w:tabs>
      </w:pPr>
      <w:r w:rsidRPr="005F15DA">
        <w:t>-</w:t>
      </w:r>
      <w:r w:rsidRPr="005F15DA">
        <w:tab/>
        <w:t>Welche Zwecke erfüllen</w:t>
      </w:r>
    </w:p>
    <w:p w:rsidR="005D70F9" w:rsidRPr="005F15DA" w:rsidRDefault="005D70F9" w:rsidP="005759BE">
      <w:pPr>
        <w:tabs>
          <w:tab w:val="left" w:pos="426"/>
          <w:tab w:val="left" w:pos="851"/>
        </w:tabs>
      </w:pPr>
      <w:r w:rsidRPr="005F15DA">
        <w:rPr>
          <w:spacing w:val="-5"/>
        </w:rPr>
        <w:tab/>
        <w:t>-</w:t>
      </w:r>
      <w:r w:rsidRPr="005F15DA">
        <w:rPr>
          <w:spacing w:val="-5"/>
        </w:rPr>
        <w:tab/>
        <w:t>der Erbenschein?</w:t>
      </w:r>
    </w:p>
    <w:p w:rsidR="005D70F9" w:rsidRPr="005F15DA" w:rsidRDefault="005D70F9" w:rsidP="005759BE">
      <w:pPr>
        <w:tabs>
          <w:tab w:val="left" w:pos="426"/>
          <w:tab w:val="left" w:pos="851"/>
        </w:tabs>
      </w:pPr>
      <w:r w:rsidRPr="005F15DA">
        <w:rPr>
          <w:spacing w:val="-5"/>
        </w:rPr>
        <w:tab/>
        <w:t>-</w:t>
      </w:r>
      <w:r w:rsidRPr="005F15DA">
        <w:rPr>
          <w:spacing w:val="-5"/>
        </w:rPr>
        <w:tab/>
        <w:t>die Erbschaftssteueranzeige?</w:t>
      </w:r>
    </w:p>
    <w:p w:rsidR="00E40D09" w:rsidRPr="005F15DA" w:rsidRDefault="00E40D09" w:rsidP="00E40D09"/>
    <w:p w:rsidR="00E40D09" w:rsidRPr="005F15DA" w:rsidRDefault="00E40D09" w:rsidP="00E40D09"/>
    <w:p w:rsidR="005D70F9" w:rsidRPr="005F15DA" w:rsidRDefault="005D70F9" w:rsidP="005759BE">
      <w:pPr>
        <w:pStyle w:val="berschrift3"/>
        <w:rPr>
          <w:lang w:val="de-CH"/>
        </w:rPr>
      </w:pPr>
      <w:bookmarkStart w:id="64" w:name="_Toc432175585"/>
      <w:r w:rsidRPr="005F15DA">
        <w:rPr>
          <w:lang w:val="de-CH"/>
        </w:rPr>
        <w:lastRenderedPageBreak/>
        <w:t>A.</w:t>
      </w:r>
      <w:r w:rsidRPr="005F15DA">
        <w:rPr>
          <w:lang w:val="de-CH"/>
        </w:rPr>
        <w:tab/>
        <w:t>Grundsätzliches (Art. 551 – 601 ZGB)</w:t>
      </w:r>
      <w:bookmarkEnd w:id="64"/>
    </w:p>
    <w:p w:rsidR="005759BE" w:rsidRPr="005F15DA" w:rsidRDefault="005759BE" w:rsidP="005759BE"/>
    <w:p w:rsidR="005D70F9" w:rsidRPr="005F15DA" w:rsidRDefault="005D70F9" w:rsidP="005759BE">
      <w:r w:rsidRPr="005F15DA">
        <w:t>Die Eröffnung des Erbganges erfolgt am letzten Wohnsitz des Erblassers; an diesem Ort sind auch allfällige Klagen auf Ungültigerklärung einer letztwilligen Verfügung oder Herabsetzung anhängig zu machen (Art. 538 ZGB).</w:t>
      </w:r>
    </w:p>
    <w:p w:rsidR="005759BE" w:rsidRPr="005F15DA" w:rsidRDefault="005759BE" w:rsidP="005759BE"/>
    <w:p w:rsidR="005D70F9" w:rsidRPr="005F15DA" w:rsidRDefault="005D70F9" w:rsidP="005759BE">
      <w:r w:rsidRPr="005F15DA">
        <w:t>Voraussetzung dafür, Erbe oder Vermächtnisnehmer zu werden, ist auf Seite der Bedachten einerseits, dass diese den Erbgang erleben, andererseits, dass sie nicht erbunwürdig sind (Art. 540 ZGB).</w:t>
      </w:r>
    </w:p>
    <w:p w:rsidR="005759BE" w:rsidRPr="005F15DA" w:rsidRDefault="005759BE" w:rsidP="005759BE"/>
    <w:p w:rsidR="005D70F9" w:rsidRPr="005F15DA" w:rsidRDefault="005D70F9" w:rsidP="005759BE">
      <w:r w:rsidRPr="005F15DA">
        <w:t>Mit dem Tod des Erblassers gehen alle Rechte und Pflichten des Verstorbenen, also auch seine Schulden, ohne weiteres auf die Erben über. Grundstücke des Erblassers gehen au</w:t>
      </w:r>
      <w:r w:rsidRPr="005F15DA">
        <w:t>s</w:t>
      </w:r>
      <w:r w:rsidRPr="005F15DA">
        <w:t>serbuchlich (= ohne Grundbucheintrag) auf die Erben über. Dieser Vorgang, der automatisch mit dem Tod eintritt, wird Universalsukzession (Gesamtnachfolge) genannt. Gleichzeitig eröf</w:t>
      </w:r>
      <w:r w:rsidRPr="005F15DA">
        <w:t>f</w:t>
      </w:r>
      <w:r w:rsidRPr="005F15DA">
        <w:t>net der Augenblick des Todes den Erbgang (Art. 537 ZGB). Auch Erben, die erst später vom Tod des Erblassers oder davon erfahren, dass sie Erben sind, treten unmittelbar mit dem Tod an die Stelle des Erblassers. Nicht auf die Erben gehen Rechte und Pflichten über, die u</w:t>
      </w:r>
      <w:r w:rsidRPr="005F15DA">
        <w:t>n</w:t>
      </w:r>
      <w:r w:rsidRPr="005F15DA">
        <w:t>trennbar an die Person des Erblassers gebunden waren, wie z.B. die Ehe.</w:t>
      </w:r>
    </w:p>
    <w:p w:rsidR="005759BE" w:rsidRPr="005F15DA" w:rsidRDefault="005759BE" w:rsidP="005759BE"/>
    <w:p w:rsidR="005D70F9" w:rsidRPr="005F15DA" w:rsidRDefault="005D70F9" w:rsidP="005759BE">
      <w:r w:rsidRPr="005F15DA">
        <w:t>Für die Schulden des Erblassers haftet nun zusätzlich das persönliche Vermögen der geset</w:t>
      </w:r>
      <w:r w:rsidRPr="005F15DA">
        <w:t>z</w:t>
      </w:r>
      <w:r w:rsidRPr="005F15DA">
        <w:t>lichen und/oder eingesetzten Erben (Art. 560 ZGB).</w:t>
      </w:r>
    </w:p>
    <w:p w:rsidR="005759BE" w:rsidRPr="005F15DA" w:rsidRDefault="005759BE" w:rsidP="005759BE"/>
    <w:p w:rsidR="005D70F9" w:rsidRPr="005F15DA" w:rsidRDefault="005D70F9" w:rsidP="005759BE">
      <w:r w:rsidRPr="005F15DA">
        <w:t>Um eine Haftung mit dem persönlichen Vermögen zu verhindern, können die Erben innert drei Monaten nach Bekanntwerden des Erbfalles die Erbschaft ausschlagen (Art. 566 – 570 ZGB). Im Kanton Bern ist der Regierungsstatthalter am letzten Wohnsitz des Erblassers zur Entg</w:t>
      </w:r>
      <w:r w:rsidRPr="005F15DA">
        <w:t>e</w:t>
      </w:r>
      <w:r w:rsidRPr="005F15DA">
        <w:t>gennahme der Ausschlagungserklärung zuständig. Nicht nötig ist die Ausschlagung, wenn die Zahlungsunfähigkeit offenkundig ist. Bei einem Erbschafts- oder öffentlichen Inventar läuft die Frist ab Kenntnis des Inventars.</w:t>
      </w:r>
    </w:p>
    <w:p w:rsidR="005759BE" w:rsidRPr="005F15DA" w:rsidRDefault="005759BE" w:rsidP="005759BE"/>
    <w:p w:rsidR="005D70F9" w:rsidRPr="005F15DA" w:rsidRDefault="005D70F9" w:rsidP="005759BE">
      <w:r w:rsidRPr="005F15DA">
        <w:t>Erklärt ein Erbe die Ausschlagung nicht fristgerecht, hat er die Erbschaft vorbehaltlos erwo</w:t>
      </w:r>
      <w:r w:rsidRPr="005F15DA">
        <w:t>r</w:t>
      </w:r>
      <w:r w:rsidRPr="005F15DA">
        <w:t>ben (Art. 571 Abs. 1 ZGB). Mischt sich ein Erbe vor Ablauf der Ausschlagungsfrist in die A</w:t>
      </w:r>
      <w:r w:rsidRPr="005F15DA">
        <w:t>n</w:t>
      </w:r>
      <w:r w:rsidRPr="005F15DA">
        <w:t xml:space="preserve">gelegenheiten der Erbschaft ein, nimmt Handlungen vor, welche über die blosse Verwaltung der Erbmasse hinausgehen, eignet er sich Erbschaftssachen an oder verheimlicht er solche, kann er die Erbschaft </w:t>
      </w:r>
      <w:r w:rsidR="00370647">
        <w:t>nicht mehr ausschlagen (Art. 571</w:t>
      </w:r>
      <w:r w:rsidRPr="005F15DA">
        <w:t xml:space="preserve"> Abs. 2 ZGB).</w:t>
      </w:r>
    </w:p>
    <w:p w:rsidR="005759BE" w:rsidRPr="005F15DA" w:rsidRDefault="005759BE" w:rsidP="005759BE"/>
    <w:p w:rsidR="005D70F9" w:rsidRPr="005F15DA" w:rsidRDefault="00C2758A" w:rsidP="005759BE">
      <w:r>
        <w:t>Schlägt nur ein Erbe</w:t>
      </w:r>
      <w:r w:rsidR="005D70F9" w:rsidRPr="005F15DA">
        <w:t xml:space="preserve"> von mehreren die Erbschaft aus, vererbt sich sein Erbteil, wie wenn er den Erbfall nicht erlebt hätte. Schlägt ein eingesetzter Erbe aus, fällt sein Anteil an die geset</w:t>
      </w:r>
      <w:r w:rsidR="005D70F9" w:rsidRPr="005F15DA">
        <w:t>z</w:t>
      </w:r>
      <w:r w:rsidR="005D70F9" w:rsidRPr="005F15DA">
        <w:t>lichen Erben des Erblassers, sofern keine anders lautende Verfügung von Todes wegen exi</w:t>
      </w:r>
      <w:r w:rsidR="005D70F9" w:rsidRPr="005F15DA">
        <w:t>s</w:t>
      </w:r>
      <w:r w:rsidR="005D70F9" w:rsidRPr="005F15DA">
        <w:t>tiert (Art. 572 ZGB).</w:t>
      </w:r>
    </w:p>
    <w:p w:rsidR="005759BE" w:rsidRPr="005F15DA" w:rsidRDefault="005759BE" w:rsidP="005759BE"/>
    <w:p w:rsidR="005D70F9" w:rsidRPr="005F15DA" w:rsidRDefault="005D70F9" w:rsidP="005759BE">
      <w:r w:rsidRPr="005F15DA">
        <w:t>Schlagen alle gesetzlichen Erben aus (=Verlassenschaft), so wird die Erbschaft durch das Konkursamt liquidiert; ein allfälliger Überschuss wird den Erben überlassen (Art. 573 ZGB).</w:t>
      </w:r>
    </w:p>
    <w:p w:rsidR="005759BE" w:rsidRPr="005F15DA" w:rsidRDefault="005759BE" w:rsidP="005759BE"/>
    <w:p w:rsidR="005D70F9" w:rsidRPr="005F15DA" w:rsidRDefault="005D70F9" w:rsidP="005759BE">
      <w:r w:rsidRPr="005F15DA">
        <w:t>Vermächtnisnehmer treten bezüglich des Vermächtnisses nicht an die Stelle des Erblassers, sondern erhalten einen Forderungsanspruch gegen die Erben (Art. 562 ZGB). Die Forderu</w:t>
      </w:r>
      <w:r w:rsidRPr="005F15DA">
        <w:t>n</w:t>
      </w:r>
      <w:r w:rsidRPr="005F15DA">
        <w:t>gen der Gläubiger des Erblassers gehen aber den Ansprüchen der Vermächtnisnehmer vor (Art. 564 ZGB).</w:t>
      </w:r>
    </w:p>
    <w:p w:rsidR="005D70F9" w:rsidRPr="005F15DA" w:rsidRDefault="005D70F9" w:rsidP="005759BE">
      <w:r w:rsidRPr="005F15DA">
        <w:lastRenderedPageBreak/>
        <w:t>Die zuständige Behörde am letzten Wohnsitz des Erblassers hat von Amtes wegen die zur Sicherung des Erbganges notwendigen Massnahmen zu treffen (Siegelung, Inventar, Einlief</w:t>
      </w:r>
      <w:r w:rsidRPr="005F15DA">
        <w:t>e</w:t>
      </w:r>
      <w:r w:rsidRPr="005F15DA">
        <w:t>rung und Eröffnung von Testamenten und Erbverträgen, Erbenschein).</w:t>
      </w:r>
    </w:p>
    <w:p w:rsidR="00E40D09" w:rsidRPr="005F15DA" w:rsidRDefault="00E40D09" w:rsidP="005759BE"/>
    <w:p w:rsidR="005759BE" w:rsidRPr="005F15DA" w:rsidRDefault="005759BE" w:rsidP="005759BE"/>
    <w:p w:rsidR="00E40D09" w:rsidRPr="005F15DA" w:rsidRDefault="00E40D09" w:rsidP="005759BE"/>
    <w:p w:rsidR="005D70F9" w:rsidRPr="005F15DA" w:rsidRDefault="005D70F9" w:rsidP="005759BE">
      <w:pPr>
        <w:pStyle w:val="berschrift3"/>
        <w:rPr>
          <w:lang w:val="de-CH"/>
        </w:rPr>
      </w:pPr>
      <w:bookmarkStart w:id="65" w:name="_Toc432175586"/>
      <w:r w:rsidRPr="005F15DA">
        <w:rPr>
          <w:spacing w:val="-24"/>
          <w:lang w:val="de-CH"/>
        </w:rPr>
        <w:t>B.</w:t>
      </w:r>
      <w:r w:rsidRPr="005F15DA">
        <w:rPr>
          <w:lang w:val="de-CH"/>
        </w:rPr>
        <w:tab/>
        <w:t>Die Erbengemeinschaft und deren Bedeutung</w:t>
      </w:r>
      <w:bookmarkEnd w:id="65"/>
    </w:p>
    <w:p w:rsidR="005759BE" w:rsidRPr="005F15DA" w:rsidRDefault="005759BE" w:rsidP="005759BE"/>
    <w:p w:rsidR="005D70F9" w:rsidRPr="005F15DA" w:rsidRDefault="005D70F9" w:rsidP="005759BE">
      <w:r w:rsidRPr="005F15DA">
        <w:t>Alle Erben zusammen bilden eine Gemeinschaft, die sogenannte Erbengemeinschaft. Sola</w:t>
      </w:r>
      <w:r w:rsidRPr="005F15DA">
        <w:t>n</w:t>
      </w:r>
      <w:r w:rsidRPr="005F15DA">
        <w:t>ge diese Erbengemeinschaft besteht, können die Erben nur gemeinsam und einstimmig über Erbschaftsgegenstände verfügen, denn die Erbschaftssachen stehen allen gemeinsam zu. Die Erben sind Gesamteigentümer der Erbschaftssachen und unterstehen damit speziellen Eigentumsregeln, durch die verhindert wird, dass einzelne Erben Sachen veräussern können.</w:t>
      </w:r>
    </w:p>
    <w:p w:rsidR="005759BE" w:rsidRPr="005F15DA" w:rsidRDefault="005759BE" w:rsidP="005759BE"/>
    <w:p w:rsidR="005D70F9" w:rsidRPr="005F15DA" w:rsidRDefault="005D70F9" w:rsidP="005759BE">
      <w:r w:rsidRPr="005F15DA">
        <w:t>Jeder Erbe kann aber jederzeit verlangen, dass die Erbschaft geteilt und so die Erbeng</w:t>
      </w:r>
      <w:r w:rsidRPr="005F15DA">
        <w:t>e</w:t>
      </w:r>
      <w:r w:rsidRPr="005F15DA">
        <w:t>meinschaft aufgelöst wird. Können sich die Erben in einer Erbschaftsangelegenheit nicht ein</w:t>
      </w:r>
      <w:r w:rsidRPr="005F15DA">
        <w:t>i</w:t>
      </w:r>
      <w:r w:rsidRPr="005F15DA">
        <w:t>gen, bleibt oft nichts anderes übrig, als die Erbschaft freiwillig oder mit Hilfe des Richters zu teilen.</w:t>
      </w:r>
    </w:p>
    <w:p w:rsidR="00E40D09" w:rsidRPr="005F15DA" w:rsidRDefault="00E40D09" w:rsidP="005759BE"/>
    <w:p w:rsidR="005759BE" w:rsidRPr="005F15DA" w:rsidRDefault="005759BE" w:rsidP="005759BE"/>
    <w:p w:rsidR="00E40D09" w:rsidRPr="005F15DA" w:rsidRDefault="00E40D09" w:rsidP="005759BE"/>
    <w:p w:rsidR="005D70F9" w:rsidRPr="005F15DA" w:rsidRDefault="005759BE" w:rsidP="005759BE">
      <w:pPr>
        <w:pStyle w:val="berschrift3"/>
        <w:rPr>
          <w:lang w:val="de-CH"/>
        </w:rPr>
      </w:pPr>
      <w:bookmarkStart w:id="66" w:name="_Toc432175587"/>
      <w:r w:rsidRPr="005F15DA">
        <w:rPr>
          <w:lang w:val="de-CH"/>
        </w:rPr>
        <w:t>C.</w:t>
      </w:r>
      <w:r w:rsidRPr="005F15DA">
        <w:rPr>
          <w:lang w:val="de-CH"/>
        </w:rPr>
        <w:tab/>
      </w:r>
      <w:r w:rsidR="005D70F9" w:rsidRPr="005F15DA">
        <w:rPr>
          <w:lang w:val="de-CH"/>
        </w:rPr>
        <w:t>Feststellung des Nachlasses und der Erben</w:t>
      </w:r>
      <w:bookmarkEnd w:id="66"/>
    </w:p>
    <w:p w:rsidR="00E40D09" w:rsidRPr="005F15DA" w:rsidRDefault="00E40D09" w:rsidP="00E40D09"/>
    <w:p w:rsidR="005D70F9" w:rsidRPr="005F15DA" w:rsidRDefault="005D70F9" w:rsidP="005759BE">
      <w:pPr>
        <w:pStyle w:val="berschrift4"/>
      </w:pPr>
      <w:r w:rsidRPr="005F15DA">
        <w:rPr>
          <w:spacing w:val="-22"/>
        </w:rPr>
        <w:t>1.</w:t>
      </w:r>
      <w:r w:rsidRPr="005F15DA">
        <w:tab/>
        <w:t>Siegelung (Art. 552 ZGB)</w:t>
      </w:r>
    </w:p>
    <w:p w:rsidR="005D70F9" w:rsidRPr="005F15DA" w:rsidRDefault="005D70F9" w:rsidP="005759BE">
      <w:pPr>
        <w:ind w:left="426"/>
      </w:pPr>
      <w:r w:rsidRPr="005F15DA">
        <w:t>Zur Sicherung des Nachlasses vor Unbefugten sieht das Gesetz verschiedene Mas</w:t>
      </w:r>
      <w:r w:rsidRPr="005F15DA">
        <w:t>s</w:t>
      </w:r>
      <w:r w:rsidRPr="005F15DA">
        <w:t>nahmen vor. Gleichzeitig wird damit eine geordnete Verteilung der Erbschaft bezweckt.</w:t>
      </w:r>
    </w:p>
    <w:p w:rsidR="005759BE" w:rsidRPr="005F15DA" w:rsidRDefault="005759BE" w:rsidP="005759BE">
      <w:pPr>
        <w:ind w:left="426"/>
      </w:pPr>
    </w:p>
    <w:p w:rsidR="005D70F9" w:rsidRPr="005F15DA" w:rsidRDefault="005D70F9" w:rsidP="005759BE">
      <w:pPr>
        <w:ind w:left="426"/>
      </w:pPr>
      <w:r w:rsidRPr="005F15DA">
        <w:t>Mit der Siegelung werden sofort nach dem Tod des Erblassers die Nachlassverhältnisse festgestellt. Der Kanton Bern schreibt vor, dass in jedem Todesfall die Siegelung inne</w:t>
      </w:r>
      <w:r w:rsidRPr="005F15DA">
        <w:t>r</w:t>
      </w:r>
      <w:r w:rsidRPr="005F15DA">
        <w:t>halb von 7 Tagen nach Eintritt des Todes zu erfolgen hat. Die Siegelung wird von einem Gemeindebeamten vorgenommen. Sie dient im Kanton Bern hauptsächlich der Sicherung der Nachlasswerte.</w:t>
      </w:r>
    </w:p>
    <w:p w:rsidR="005759BE" w:rsidRPr="005F15DA" w:rsidRDefault="005759BE" w:rsidP="005759BE">
      <w:pPr>
        <w:ind w:left="426"/>
      </w:pPr>
    </w:p>
    <w:p w:rsidR="005D70F9" w:rsidRPr="005F15DA" w:rsidRDefault="005D70F9" w:rsidP="005759BE">
      <w:pPr>
        <w:ind w:left="426"/>
      </w:pPr>
      <w:r w:rsidRPr="005F15DA">
        <w:t>Der Siegelungsbeamte stellt das Siegelungsprotokoll anschliessend dem Regierung</w:t>
      </w:r>
      <w:r w:rsidRPr="005F15DA">
        <w:t>s</w:t>
      </w:r>
      <w:r w:rsidRPr="005F15DA">
        <w:t>statthalter zu. Dieser veranlasst darauf, je nach Bedeutung der Erbschaft, die Errichtung eines Inventars durch einen Notar oder er fordert die Erben bloss zur Einreichung der Erbschaftssteuer-Anzeige auf.</w:t>
      </w:r>
    </w:p>
    <w:p w:rsidR="00E40D09" w:rsidRPr="005F15DA" w:rsidRDefault="00E40D09" w:rsidP="005759BE">
      <w:pPr>
        <w:ind w:left="426"/>
      </w:pPr>
    </w:p>
    <w:p w:rsidR="00E40D09" w:rsidRPr="005F15DA" w:rsidRDefault="00E40D09" w:rsidP="005759BE">
      <w:pPr>
        <w:ind w:left="426"/>
      </w:pPr>
    </w:p>
    <w:p w:rsidR="001019E0" w:rsidRPr="005F15DA" w:rsidRDefault="001019E0">
      <w:pPr>
        <w:spacing w:after="200"/>
        <w:rPr>
          <w:rFonts w:eastAsiaTheme="majorEastAsia" w:cstheme="majorBidi"/>
          <w:b/>
          <w:bCs/>
          <w:iCs/>
          <w:color w:val="000000" w:themeColor="text1"/>
          <w:spacing w:val="-11"/>
          <w:sz w:val="24"/>
        </w:rPr>
      </w:pPr>
      <w:r w:rsidRPr="005F15DA">
        <w:rPr>
          <w:spacing w:val="-11"/>
        </w:rPr>
        <w:br w:type="page"/>
      </w:r>
    </w:p>
    <w:p w:rsidR="005D70F9" w:rsidRPr="005F15DA" w:rsidRDefault="005D70F9" w:rsidP="005759BE">
      <w:pPr>
        <w:pStyle w:val="berschrift4"/>
      </w:pPr>
      <w:r w:rsidRPr="005F15DA">
        <w:rPr>
          <w:spacing w:val="-11"/>
        </w:rPr>
        <w:lastRenderedPageBreak/>
        <w:t>2.</w:t>
      </w:r>
      <w:r w:rsidRPr="005F15DA">
        <w:tab/>
        <w:t>Einlieferung und Eröffnung von Testamenten und Erbverträgen (Art. 556 – 559 ZGB)</w:t>
      </w:r>
    </w:p>
    <w:p w:rsidR="005759BE" w:rsidRPr="005F15DA" w:rsidRDefault="005759BE" w:rsidP="005759BE"/>
    <w:p w:rsidR="005D70F9" w:rsidRPr="005F15DA" w:rsidRDefault="005D70F9" w:rsidP="005759BE">
      <w:pPr>
        <w:pStyle w:val="berschrift5"/>
      </w:pPr>
      <w:r w:rsidRPr="005F15DA">
        <w:rPr>
          <w:spacing w:val="-10"/>
        </w:rPr>
        <w:t>2.1.</w:t>
      </w:r>
      <w:r w:rsidRPr="005F15DA">
        <w:tab/>
        <w:t>Eröffnung von Testamenten</w:t>
      </w:r>
    </w:p>
    <w:p w:rsidR="005D70F9" w:rsidRPr="005F15DA" w:rsidRDefault="005D70F9" w:rsidP="005759BE">
      <w:pPr>
        <w:ind w:left="851"/>
      </w:pPr>
      <w:r w:rsidRPr="005F15DA">
        <w:t>Jedermann ist verpflichtet, eine nach dem Tod aufgefundene letztwillige Verfügung des Erblassers der zuständigen Behörde (Kanton Bern: Notar oder Gemeinderat) einzureichen. Dieselbe Pflicht trifft auch die Urkundsperson, bei der ein Testament hinterlegt worden ist. Binnen Monatsfrist nach der Einlieferung muss die Behörde den Beteiligten die Verfügung eröffnen. Dies geschieht in der Regel schriftlich durch Zustellung einer Kopie des Testamentes.</w:t>
      </w:r>
    </w:p>
    <w:p w:rsidR="005759BE" w:rsidRPr="005F15DA" w:rsidRDefault="005759BE" w:rsidP="005759BE">
      <w:pPr>
        <w:ind w:left="851"/>
      </w:pPr>
    </w:p>
    <w:p w:rsidR="005D70F9" w:rsidRPr="005F15DA" w:rsidRDefault="005D70F9" w:rsidP="005759BE">
      <w:pPr>
        <w:ind w:left="851"/>
      </w:pPr>
      <w:r w:rsidRPr="005F15DA">
        <w:t>Die Vermächtnisnehmer erhalten lediglich eine schriftliche Mitteilung der sie betre</w:t>
      </w:r>
      <w:r w:rsidRPr="005F15DA">
        <w:t>f</w:t>
      </w:r>
      <w:r w:rsidRPr="005F15DA">
        <w:t>fenden Verfügung.</w:t>
      </w:r>
    </w:p>
    <w:p w:rsidR="00E40D09" w:rsidRPr="005F15DA" w:rsidRDefault="00E40D09" w:rsidP="005759BE">
      <w:pPr>
        <w:ind w:left="851"/>
      </w:pPr>
    </w:p>
    <w:p w:rsidR="005D70F9" w:rsidRPr="005F15DA" w:rsidRDefault="005D70F9" w:rsidP="005759BE">
      <w:pPr>
        <w:pStyle w:val="berschrift5"/>
      </w:pPr>
      <w:r w:rsidRPr="005F15DA">
        <w:rPr>
          <w:spacing w:val="-6"/>
        </w:rPr>
        <w:t>2.2.</w:t>
      </w:r>
      <w:r w:rsidRPr="005F15DA">
        <w:tab/>
        <w:t>Eröffnung von Erbverträgen</w:t>
      </w:r>
    </w:p>
    <w:p w:rsidR="005D70F9" w:rsidRPr="005F15DA" w:rsidRDefault="005D70F9" w:rsidP="005759BE">
      <w:pPr>
        <w:ind w:left="851"/>
      </w:pPr>
      <w:r w:rsidRPr="005F15DA">
        <w:t>Die Erbverträge müssen durch einen Notar eröffnet werden. Eheverträge werden nicht eröffnet.</w:t>
      </w:r>
    </w:p>
    <w:p w:rsidR="00E40D09" w:rsidRPr="005F15DA" w:rsidRDefault="00E40D09" w:rsidP="005759BE">
      <w:pPr>
        <w:ind w:left="851"/>
      </w:pPr>
    </w:p>
    <w:p w:rsidR="00E40D09" w:rsidRPr="005F15DA" w:rsidRDefault="00E40D09" w:rsidP="005759BE">
      <w:pPr>
        <w:ind w:left="851"/>
      </w:pPr>
    </w:p>
    <w:p w:rsidR="005D70F9" w:rsidRPr="005F15DA" w:rsidRDefault="005D70F9" w:rsidP="005759BE">
      <w:pPr>
        <w:pStyle w:val="berschrift4"/>
      </w:pPr>
      <w:r w:rsidRPr="005F15DA">
        <w:rPr>
          <w:spacing w:val="-9"/>
        </w:rPr>
        <w:t>3.</w:t>
      </w:r>
      <w:r w:rsidRPr="005F15DA">
        <w:tab/>
        <w:t>Inventare (Art. 553 ZGB)</w:t>
      </w:r>
    </w:p>
    <w:p w:rsidR="005D70F9" w:rsidRPr="005F15DA" w:rsidRDefault="005D70F9" w:rsidP="003C6F8B">
      <w:pPr>
        <w:tabs>
          <w:tab w:val="left" w:pos="709"/>
        </w:tabs>
        <w:ind w:left="426"/>
      </w:pPr>
      <w:r w:rsidRPr="005F15DA">
        <w:t>Die Inventare geben einen Gesamtüberblick über sämtliche Aktiven und Passiven des Erblassers. Sie dienen so einerseits den Erben und andererseits dem Kanton Bern, der gestützt auf diese Unterlagen die Erbschaftssteuern festsetzt.</w:t>
      </w:r>
    </w:p>
    <w:p w:rsidR="005759BE" w:rsidRPr="005F15DA" w:rsidRDefault="005759BE" w:rsidP="003C6F8B">
      <w:pPr>
        <w:tabs>
          <w:tab w:val="left" w:pos="709"/>
        </w:tabs>
        <w:ind w:left="426"/>
      </w:pPr>
    </w:p>
    <w:p w:rsidR="005D70F9" w:rsidRPr="005F15DA" w:rsidRDefault="005D70F9" w:rsidP="003C6F8B">
      <w:pPr>
        <w:tabs>
          <w:tab w:val="left" w:pos="709"/>
        </w:tabs>
        <w:ind w:left="426"/>
      </w:pPr>
      <w:r w:rsidRPr="005F15DA">
        <w:t>Man unterscheidet folgende Inventararten:</w:t>
      </w:r>
    </w:p>
    <w:p w:rsidR="005D70F9" w:rsidRPr="005F15DA" w:rsidRDefault="003C6F8B" w:rsidP="003C6F8B">
      <w:pPr>
        <w:tabs>
          <w:tab w:val="left" w:pos="709"/>
        </w:tabs>
        <w:ind w:left="426"/>
      </w:pPr>
      <w:r w:rsidRPr="005F15DA">
        <w:t>-</w:t>
      </w:r>
      <w:r w:rsidRPr="005F15DA">
        <w:tab/>
      </w:r>
      <w:r w:rsidR="005D70F9" w:rsidRPr="005F15DA">
        <w:t>Steuerinventar</w:t>
      </w:r>
    </w:p>
    <w:p w:rsidR="005D70F9" w:rsidRPr="005F15DA" w:rsidRDefault="003C6F8B" w:rsidP="003C6F8B">
      <w:pPr>
        <w:tabs>
          <w:tab w:val="left" w:pos="709"/>
        </w:tabs>
        <w:ind w:left="426"/>
      </w:pPr>
      <w:r w:rsidRPr="005F15DA">
        <w:t>-</w:t>
      </w:r>
      <w:r w:rsidRPr="005F15DA">
        <w:tab/>
      </w:r>
      <w:r w:rsidR="005D70F9" w:rsidRPr="005F15DA">
        <w:t>Erbschaftsinventar</w:t>
      </w:r>
    </w:p>
    <w:p w:rsidR="005D70F9" w:rsidRPr="005F15DA" w:rsidRDefault="003C6F8B" w:rsidP="003C6F8B">
      <w:pPr>
        <w:tabs>
          <w:tab w:val="left" w:pos="709"/>
        </w:tabs>
        <w:ind w:left="426"/>
      </w:pPr>
      <w:r w:rsidRPr="005F15DA">
        <w:t>-</w:t>
      </w:r>
      <w:r w:rsidRPr="005F15DA">
        <w:tab/>
        <w:t>Ö</w:t>
      </w:r>
      <w:r w:rsidR="005D70F9" w:rsidRPr="005F15DA">
        <w:t>ffentliches Inventar</w:t>
      </w:r>
    </w:p>
    <w:p w:rsidR="005759BE" w:rsidRPr="005F15DA" w:rsidRDefault="005759BE" w:rsidP="003C6F8B">
      <w:pPr>
        <w:tabs>
          <w:tab w:val="left" w:pos="709"/>
        </w:tabs>
        <w:ind w:left="426"/>
      </w:pPr>
    </w:p>
    <w:p w:rsidR="005D70F9" w:rsidRPr="005F15DA" w:rsidRDefault="005D70F9" w:rsidP="003C6F8B">
      <w:pPr>
        <w:tabs>
          <w:tab w:val="left" w:pos="709"/>
        </w:tabs>
        <w:ind w:left="426"/>
      </w:pPr>
      <w:r w:rsidRPr="005F15DA">
        <w:t>Hinsichtlich des Aufbaus unterscheiden sich diese nur geringfügig. Einzig der Vorbericht weist Unterschiede auf, da die Inventare von verschiedenen Behörden angeordnet we</w:t>
      </w:r>
      <w:r w:rsidRPr="005F15DA">
        <w:t>r</w:t>
      </w:r>
      <w:r w:rsidRPr="005F15DA">
        <w:t>den. Grundsätzlich werden aufgenommen:</w:t>
      </w:r>
    </w:p>
    <w:p w:rsidR="005D70F9" w:rsidRPr="005F15DA" w:rsidRDefault="005D70F9" w:rsidP="003C6F8B">
      <w:pPr>
        <w:tabs>
          <w:tab w:val="left" w:pos="709"/>
        </w:tabs>
        <w:ind w:left="709" w:hanging="283"/>
      </w:pPr>
      <w:r w:rsidRPr="005F15DA">
        <w:t>-</w:t>
      </w:r>
      <w:r w:rsidRPr="005F15DA">
        <w:tab/>
        <w:t>Vorbericht (persönliche Daten des Erblassers, einleitende Feststellungen, güter- und erbrechtliche Verhältnisse: Güterstand, Eheverträge, Verfügungen von Todes wegen, Erben, Vermächtnisnehmer),</w:t>
      </w:r>
    </w:p>
    <w:p w:rsidR="005D70F9" w:rsidRPr="005F15DA" w:rsidRDefault="005D70F9" w:rsidP="003C6F8B">
      <w:pPr>
        <w:tabs>
          <w:tab w:val="left" w:pos="709"/>
        </w:tabs>
        <w:ind w:left="709" w:hanging="283"/>
      </w:pPr>
      <w:r w:rsidRPr="005F15DA">
        <w:t>-</w:t>
      </w:r>
      <w:r w:rsidRPr="005F15DA">
        <w:tab/>
        <w:t>Inventar des ehelichen Vermögens (Darstellung aller Aktiven und Passiven des ehel</w:t>
      </w:r>
      <w:r w:rsidRPr="005F15DA">
        <w:t>i</w:t>
      </w:r>
      <w:r w:rsidRPr="005F15DA">
        <w:t>chen Vermögens),</w:t>
      </w:r>
    </w:p>
    <w:p w:rsidR="005D70F9" w:rsidRPr="005F15DA" w:rsidRDefault="005D70F9" w:rsidP="003C6F8B">
      <w:pPr>
        <w:tabs>
          <w:tab w:val="left" w:pos="709"/>
        </w:tabs>
        <w:ind w:left="709" w:hanging="283"/>
      </w:pPr>
      <w:r w:rsidRPr="005F15DA">
        <w:t>-</w:t>
      </w:r>
      <w:r w:rsidRPr="005F15DA">
        <w:tab/>
        <w:t>Berechnung des güterrechtlichen Vorschlages (Anteil des Erblassers am ehelichen Vermögen),</w:t>
      </w:r>
    </w:p>
    <w:p w:rsidR="005D70F9" w:rsidRPr="005F15DA" w:rsidRDefault="005D70F9" w:rsidP="003C6F8B">
      <w:pPr>
        <w:tabs>
          <w:tab w:val="left" w:pos="709"/>
        </w:tabs>
        <w:ind w:left="426"/>
      </w:pPr>
      <w:r w:rsidRPr="005F15DA">
        <w:t>-</w:t>
      </w:r>
      <w:r w:rsidRPr="005F15DA">
        <w:tab/>
        <w:t>eventuell Kindesvermögen,</w:t>
      </w:r>
    </w:p>
    <w:p w:rsidR="005D70F9" w:rsidRPr="005F15DA" w:rsidRDefault="005D70F9" w:rsidP="003C6F8B">
      <w:pPr>
        <w:tabs>
          <w:tab w:val="left" w:pos="709"/>
        </w:tabs>
        <w:ind w:left="709" w:hanging="283"/>
      </w:pPr>
      <w:r w:rsidRPr="005F15DA">
        <w:t>-</w:t>
      </w:r>
      <w:r w:rsidRPr="005F15DA">
        <w:tab/>
        <w:t>Feststellung des erbrechtlichen Nachlasses (Beteiligung am ehegüterrechtlichen Vo</w:t>
      </w:r>
      <w:r w:rsidRPr="005F15DA">
        <w:t>r</w:t>
      </w:r>
      <w:r w:rsidRPr="005F15DA">
        <w:t>schlag zuzüglich Wert des Eigengutes des Erblassers, Nachlassschulden),</w:t>
      </w:r>
    </w:p>
    <w:p w:rsidR="005D70F9" w:rsidRPr="005F15DA" w:rsidRDefault="005D70F9" w:rsidP="003C6F8B">
      <w:pPr>
        <w:tabs>
          <w:tab w:val="left" w:pos="709"/>
        </w:tabs>
        <w:ind w:left="426"/>
      </w:pPr>
      <w:r w:rsidRPr="005F15DA">
        <w:t>-</w:t>
      </w:r>
      <w:r w:rsidRPr="005F15DA">
        <w:tab/>
        <w:t>Schlussbestimmungen (eventuell Berechnung der einzelnen Erbquoten).</w:t>
      </w:r>
    </w:p>
    <w:p w:rsidR="00E40D09" w:rsidRPr="005F15DA" w:rsidRDefault="00E40D09" w:rsidP="003C6F8B">
      <w:pPr>
        <w:tabs>
          <w:tab w:val="left" w:pos="709"/>
        </w:tabs>
        <w:ind w:left="426"/>
      </w:pPr>
    </w:p>
    <w:p w:rsidR="00E40D09" w:rsidRPr="005F15DA" w:rsidRDefault="00E40D09" w:rsidP="003C6F8B">
      <w:pPr>
        <w:tabs>
          <w:tab w:val="left" w:pos="709"/>
        </w:tabs>
        <w:ind w:left="426"/>
      </w:pPr>
    </w:p>
    <w:p w:rsidR="005D70F9" w:rsidRPr="005F15DA" w:rsidRDefault="005D70F9" w:rsidP="003C6F8B">
      <w:pPr>
        <w:pStyle w:val="berschrift5"/>
      </w:pPr>
      <w:r w:rsidRPr="005F15DA">
        <w:rPr>
          <w:spacing w:val="-9"/>
        </w:rPr>
        <w:lastRenderedPageBreak/>
        <w:t>3.1.</w:t>
      </w:r>
      <w:r w:rsidRPr="005F15DA">
        <w:tab/>
        <w:t>Steuerinventar</w:t>
      </w:r>
    </w:p>
    <w:p w:rsidR="005D70F9" w:rsidRPr="005F15DA" w:rsidRDefault="005D70F9" w:rsidP="003C6F8B">
      <w:pPr>
        <w:ind w:left="851"/>
      </w:pPr>
      <w:r w:rsidRPr="005F15DA">
        <w:t>Der Regierungsstatthalter ordnet die Errichtung eines Steuerinventars an, wenn der Nachlass von einiger Bedeutung ist (</w:t>
      </w:r>
      <w:proofErr w:type="gramStart"/>
      <w:r w:rsidRPr="005F15DA">
        <w:t>zur Zeit</w:t>
      </w:r>
      <w:proofErr w:type="gramEnd"/>
      <w:r w:rsidRPr="005F15DA">
        <w:t>: Rohvermögen = Aktiven über Fr. 100’000.-), und beauftragt damit einen Notar. Diese Feststellungsurkunde dient in erster Linie dem Kanton Bern zur Festsetzung der Erbschaftssteuern</w:t>
      </w:r>
      <w:r w:rsidR="003F73F7">
        <w:t xml:space="preserve"> und allfälliger Nachsteuern</w:t>
      </w:r>
      <w:r w:rsidRPr="005F15DA">
        <w:t>.</w:t>
      </w:r>
    </w:p>
    <w:p w:rsidR="00E40D09" w:rsidRPr="005F15DA" w:rsidRDefault="00E40D09" w:rsidP="003C6F8B">
      <w:pPr>
        <w:ind w:left="851"/>
      </w:pPr>
    </w:p>
    <w:p w:rsidR="00E40D09" w:rsidRPr="005F15DA" w:rsidRDefault="00E40D09" w:rsidP="003C6F8B">
      <w:pPr>
        <w:ind w:left="851"/>
      </w:pPr>
    </w:p>
    <w:p w:rsidR="005D70F9" w:rsidRPr="005F15DA" w:rsidRDefault="005D70F9" w:rsidP="003C6F8B">
      <w:pPr>
        <w:pStyle w:val="berschrift5"/>
      </w:pPr>
      <w:r w:rsidRPr="005F15DA">
        <w:rPr>
          <w:spacing w:val="-6"/>
        </w:rPr>
        <w:t>3.2.</w:t>
      </w:r>
      <w:r w:rsidRPr="005F15DA">
        <w:tab/>
        <w:t>Erbschaftsinventar</w:t>
      </w:r>
    </w:p>
    <w:p w:rsidR="003C6F8B" w:rsidRPr="005F15DA" w:rsidRDefault="005D70F9" w:rsidP="003C6F8B">
      <w:pPr>
        <w:tabs>
          <w:tab w:val="left" w:pos="1134"/>
        </w:tabs>
        <w:ind w:left="851"/>
      </w:pPr>
      <w:r w:rsidRPr="005F15DA">
        <w:t xml:space="preserve">Das Erbschaftsinventar wird von der </w:t>
      </w:r>
      <w:r w:rsidR="00240417">
        <w:t>KESB (Kinder- und Erwachsenen-Schutz-Behörde)</w:t>
      </w:r>
      <w:r w:rsidRPr="005F15DA">
        <w:t xml:space="preserve"> des letzten Wohnsitzes von </w:t>
      </w:r>
      <w:proofErr w:type="gramStart"/>
      <w:r w:rsidRPr="005F15DA">
        <w:t>Amtes</w:t>
      </w:r>
      <w:proofErr w:type="gramEnd"/>
      <w:r w:rsidRPr="005F15DA">
        <w:t xml:space="preserve"> wegen oder auf Antrag eines Erben a</w:t>
      </w:r>
      <w:r w:rsidRPr="005F15DA">
        <w:t>n</w:t>
      </w:r>
      <w:r w:rsidRPr="005F15DA">
        <w:t>geordnet. Es ist ein Sicherungsinventar und dient zum Schutz der Erbansprüche und zur Festsetzung der Erbschafts</w:t>
      </w:r>
      <w:r w:rsidR="00240417">
        <w:t>steuern.</w:t>
      </w:r>
    </w:p>
    <w:p w:rsidR="003C6F8B" w:rsidRPr="005F15DA" w:rsidRDefault="003C6F8B" w:rsidP="003C6F8B">
      <w:pPr>
        <w:tabs>
          <w:tab w:val="left" w:pos="1134"/>
        </w:tabs>
        <w:ind w:left="851"/>
      </w:pPr>
    </w:p>
    <w:p w:rsidR="005D70F9" w:rsidRPr="005F15DA" w:rsidRDefault="005D70F9" w:rsidP="003C6F8B">
      <w:pPr>
        <w:tabs>
          <w:tab w:val="left" w:pos="1134"/>
        </w:tabs>
        <w:ind w:left="851"/>
      </w:pPr>
      <w:r w:rsidRPr="005F15DA">
        <w:t>Die Aufnahme eines Erbschaftsinventars wird angeordnet, wenn:</w:t>
      </w:r>
    </w:p>
    <w:p w:rsidR="005D70F9" w:rsidRPr="005F15DA" w:rsidRDefault="005D70F9" w:rsidP="003C6F8B">
      <w:pPr>
        <w:tabs>
          <w:tab w:val="left" w:pos="1134"/>
        </w:tabs>
        <w:ind w:left="851"/>
      </w:pPr>
      <w:r w:rsidRPr="005F15DA">
        <w:t>-</w:t>
      </w:r>
      <w:r w:rsidRPr="005F15DA">
        <w:tab/>
      </w:r>
      <w:r w:rsidR="00240417">
        <w:t>ein minderjähriger Erbe unter Vormundschaft steht oder zu stellen ist</w:t>
      </w:r>
      <w:r w:rsidRPr="005F15DA">
        <w:t>,</w:t>
      </w:r>
    </w:p>
    <w:p w:rsidR="005D70F9" w:rsidRPr="005F15DA" w:rsidRDefault="005D70F9" w:rsidP="003C6F8B">
      <w:pPr>
        <w:tabs>
          <w:tab w:val="left" w:pos="1134"/>
        </w:tabs>
        <w:ind w:left="851"/>
      </w:pPr>
      <w:r w:rsidRPr="005F15DA">
        <w:t>-</w:t>
      </w:r>
      <w:r w:rsidRPr="005F15DA">
        <w:tab/>
      </w:r>
      <w:r w:rsidR="00240417">
        <w:t>ein Erbe dauernd und ohne Vertretung abwesend ist</w:t>
      </w:r>
      <w:r w:rsidRPr="005F15DA">
        <w:t>,</w:t>
      </w:r>
    </w:p>
    <w:p w:rsidR="005D70F9" w:rsidRPr="005F15DA" w:rsidRDefault="005D70F9" w:rsidP="003C6F8B">
      <w:pPr>
        <w:tabs>
          <w:tab w:val="left" w:pos="1134"/>
        </w:tabs>
        <w:ind w:left="851"/>
      </w:pPr>
      <w:r w:rsidRPr="005F15DA">
        <w:t>-</w:t>
      </w:r>
      <w:r w:rsidRPr="005F15DA">
        <w:tab/>
      </w:r>
      <w:r w:rsidR="00240417">
        <w:t>einer der Erben oder die Erwachsenenschutzbehörde es verlangt</w:t>
      </w:r>
      <w:r w:rsidRPr="005F15DA">
        <w:t>,</w:t>
      </w:r>
    </w:p>
    <w:p w:rsidR="005D70F9" w:rsidRPr="005F15DA" w:rsidRDefault="005D70F9" w:rsidP="003C6F8B">
      <w:pPr>
        <w:tabs>
          <w:tab w:val="left" w:pos="1134"/>
        </w:tabs>
        <w:ind w:left="1134" w:hanging="283"/>
      </w:pPr>
      <w:r w:rsidRPr="005F15DA">
        <w:t>-</w:t>
      </w:r>
      <w:r w:rsidRPr="005F15DA">
        <w:tab/>
      </w:r>
      <w:r w:rsidR="00240417">
        <w:t>ein volljähriger Erbe unter umfassender Beistandschaft steht oder unter sie zu stellen ist.</w:t>
      </w:r>
    </w:p>
    <w:p w:rsidR="003C6F8B" w:rsidRPr="005F15DA" w:rsidRDefault="003C6F8B" w:rsidP="003C6F8B">
      <w:pPr>
        <w:tabs>
          <w:tab w:val="left" w:pos="1134"/>
        </w:tabs>
        <w:ind w:left="851"/>
      </w:pPr>
    </w:p>
    <w:p w:rsidR="005D70F9" w:rsidRPr="005F15DA" w:rsidRDefault="005D70F9" w:rsidP="003C6F8B">
      <w:pPr>
        <w:tabs>
          <w:tab w:val="left" w:pos="1134"/>
        </w:tabs>
        <w:ind w:left="851"/>
      </w:pPr>
      <w:r w:rsidRPr="005F15DA">
        <w:t xml:space="preserve">Auch hier handelt es sich um eine Feststellungsurkunde des Notars. </w:t>
      </w:r>
      <w:r w:rsidR="00D94CDF">
        <w:t>Kinder die das 18. Lebensjahr noch nicht zurückgelegt haben</w:t>
      </w:r>
      <w:r w:rsidRPr="005F15DA">
        <w:t xml:space="preserve"> erhalten zur Mitwirkung einen Be</w:t>
      </w:r>
      <w:r w:rsidRPr="005F15DA">
        <w:t>i</w:t>
      </w:r>
      <w:r w:rsidRPr="005F15DA">
        <w:t>stand, welcher ihre Interessen vertritt.</w:t>
      </w:r>
    </w:p>
    <w:p w:rsidR="00E40D09" w:rsidRPr="005F15DA" w:rsidRDefault="00E40D09" w:rsidP="003C6F8B">
      <w:pPr>
        <w:tabs>
          <w:tab w:val="left" w:pos="1134"/>
        </w:tabs>
        <w:ind w:left="851"/>
      </w:pPr>
    </w:p>
    <w:p w:rsidR="00E40D09" w:rsidRPr="005F15DA" w:rsidRDefault="00E40D09" w:rsidP="003C6F8B">
      <w:pPr>
        <w:tabs>
          <w:tab w:val="left" w:pos="1134"/>
        </w:tabs>
        <w:ind w:left="851"/>
      </w:pPr>
    </w:p>
    <w:p w:rsidR="005D70F9" w:rsidRPr="005F15DA" w:rsidRDefault="005D70F9" w:rsidP="003C6F8B">
      <w:pPr>
        <w:pStyle w:val="berschrift5"/>
      </w:pPr>
      <w:r w:rsidRPr="005F15DA">
        <w:rPr>
          <w:spacing w:val="-4"/>
        </w:rPr>
        <w:t>3.3.</w:t>
      </w:r>
      <w:r w:rsidRPr="005F15DA">
        <w:tab/>
        <w:t>Öffentliches Inventar (Art. 580 – 592 ZGB)</w:t>
      </w:r>
    </w:p>
    <w:p w:rsidR="005D70F9" w:rsidRPr="005F15DA" w:rsidRDefault="005D70F9" w:rsidP="003C6F8B">
      <w:pPr>
        <w:tabs>
          <w:tab w:val="left" w:pos="1134"/>
        </w:tabs>
        <w:ind w:left="851"/>
      </w:pPr>
      <w:r w:rsidRPr="005F15DA">
        <w:t>Jeder Erbe, der die Erbschaft ausschlagen könnte, ist berechtigt, ohne Grundangabe die Aufnahme eines öffentlichen Inventars zu verlangen. Dies wird er insbesondere dann tun, wenn er keine genauen Kenntnisse über die Vermögensverhältnisse des Erblassers hat. Will er nicht Gefahr laufen, einen allfälligen Schuldenüberschuss des Nachlassvermögens mit seinem eigenen Vermögen abdecken zu müssen, verlangt er vorgängig ein öffentliches Inventar. Sein Begehren hat er beim Regierungsstat</w:t>
      </w:r>
      <w:r w:rsidRPr="005F15DA">
        <w:t>t</w:t>
      </w:r>
      <w:r w:rsidRPr="005F15DA">
        <w:t>halter anzubringen, welcher einen Notar damit beauftragt. Ihm zur Seite steht der Massaverwalter, der die Erbschaft während der Zeit der Inventaraufnahme zu ve</w:t>
      </w:r>
      <w:r w:rsidRPr="005F15DA">
        <w:t>r</w:t>
      </w:r>
      <w:r w:rsidRPr="005F15DA">
        <w:t>walten hat. Schliesslich ist ein öffentlicher Rechnungsruf anzuordnen, damit die Gläubiger und Schuldner des Erblassers ihre Forderungen anmelden können.</w:t>
      </w:r>
    </w:p>
    <w:p w:rsidR="003C6F8B" w:rsidRPr="005F15DA" w:rsidRDefault="003C6F8B" w:rsidP="003C6F8B">
      <w:pPr>
        <w:tabs>
          <w:tab w:val="left" w:pos="1134"/>
        </w:tabs>
        <w:ind w:left="851"/>
      </w:pPr>
    </w:p>
    <w:p w:rsidR="005D70F9" w:rsidRPr="005F15DA" w:rsidRDefault="005D70F9" w:rsidP="003C6F8B">
      <w:pPr>
        <w:tabs>
          <w:tab w:val="left" w:pos="1134"/>
        </w:tabs>
        <w:ind w:left="851"/>
      </w:pPr>
      <w:r w:rsidRPr="005F15DA">
        <w:t>Nach Beendigung des Inventars erhalten die Beteiligten Gelegenheit zur Einsich</w:t>
      </w:r>
      <w:r w:rsidRPr="005F15DA">
        <w:t>t</w:t>
      </w:r>
      <w:r w:rsidRPr="005F15DA">
        <w:t>nahme und sie werden aufgefordert, entweder</w:t>
      </w:r>
    </w:p>
    <w:p w:rsidR="005D70F9" w:rsidRPr="005F15DA" w:rsidRDefault="005D70F9" w:rsidP="003C6F8B">
      <w:pPr>
        <w:tabs>
          <w:tab w:val="left" w:pos="1134"/>
        </w:tabs>
        <w:ind w:left="851"/>
      </w:pPr>
      <w:r w:rsidRPr="005F15DA">
        <w:t>-</w:t>
      </w:r>
      <w:r w:rsidRPr="005F15DA">
        <w:tab/>
        <w:t>die Erbschaft auszuschlagen, oder</w:t>
      </w:r>
    </w:p>
    <w:p w:rsidR="005D70F9" w:rsidRPr="005F15DA" w:rsidRDefault="005D70F9" w:rsidP="003C6F8B">
      <w:pPr>
        <w:tabs>
          <w:tab w:val="left" w:pos="1134"/>
        </w:tabs>
        <w:ind w:left="851"/>
      </w:pPr>
      <w:r w:rsidRPr="005F15DA">
        <w:t>-</w:t>
      </w:r>
      <w:r w:rsidRPr="005F15DA">
        <w:tab/>
        <w:t>die Erbschaft vorbehaltlos anzunehmen, oder</w:t>
      </w:r>
    </w:p>
    <w:p w:rsidR="005D70F9" w:rsidRPr="005F15DA" w:rsidRDefault="005D70F9" w:rsidP="003C6F8B">
      <w:pPr>
        <w:tabs>
          <w:tab w:val="left" w:pos="1134"/>
        </w:tabs>
        <w:ind w:left="851"/>
      </w:pPr>
      <w:r w:rsidRPr="005F15DA">
        <w:t>-</w:t>
      </w:r>
      <w:r w:rsidRPr="005F15DA">
        <w:tab/>
        <w:t>die amtliche Liquidation zu verlangen, oder</w:t>
      </w:r>
    </w:p>
    <w:p w:rsidR="005D70F9" w:rsidRPr="005F15DA" w:rsidRDefault="005D70F9" w:rsidP="003C6F8B">
      <w:pPr>
        <w:tabs>
          <w:tab w:val="left" w:pos="1134"/>
        </w:tabs>
        <w:ind w:left="851"/>
      </w:pPr>
      <w:r w:rsidRPr="005F15DA">
        <w:t>-</w:t>
      </w:r>
      <w:r w:rsidRPr="005F15DA">
        <w:tab/>
        <w:t>die Erbschaft unter öffentlichem Inventar anzunehmen.</w:t>
      </w:r>
    </w:p>
    <w:p w:rsidR="00E40D09" w:rsidRPr="005F15DA" w:rsidRDefault="00E40D09" w:rsidP="003C6F8B">
      <w:pPr>
        <w:tabs>
          <w:tab w:val="left" w:pos="1134"/>
        </w:tabs>
        <w:ind w:left="851"/>
      </w:pPr>
    </w:p>
    <w:p w:rsidR="00E40D09" w:rsidRPr="005F15DA" w:rsidRDefault="00E40D09" w:rsidP="003C6F8B">
      <w:pPr>
        <w:tabs>
          <w:tab w:val="left" w:pos="1134"/>
        </w:tabs>
        <w:ind w:left="851"/>
      </w:pPr>
    </w:p>
    <w:p w:rsidR="005D70F9" w:rsidRPr="005F15DA" w:rsidRDefault="005D70F9" w:rsidP="003C6F8B">
      <w:pPr>
        <w:pStyle w:val="berschrift4"/>
      </w:pPr>
      <w:r w:rsidRPr="005F15DA">
        <w:lastRenderedPageBreak/>
        <w:t>4.</w:t>
      </w:r>
      <w:r w:rsidRPr="005F15DA">
        <w:tab/>
        <w:t>Ausschlagung einer Erbschaft</w:t>
      </w:r>
    </w:p>
    <w:p w:rsidR="005D70F9" w:rsidRPr="005F15DA" w:rsidRDefault="005D70F9" w:rsidP="003C6F8B">
      <w:pPr>
        <w:ind w:left="426"/>
      </w:pPr>
      <w:r w:rsidRPr="005F15DA">
        <w:t>Die Erben übernehmen nicht nur die Aktiven des Nachlasses, sondern auch die Pass</w:t>
      </w:r>
      <w:r w:rsidRPr="005F15DA">
        <w:t>i</w:t>
      </w:r>
      <w:r w:rsidRPr="005F15DA">
        <w:t>ven. Dies kann bei einem Schuldenüberschuss unangenehm sein; die Erben haften dafür solidarisch mit ihrem eigenen Vermögen. Davor kann sich der Erbe durch Ausschlagung der Erbschaft schützen.</w:t>
      </w:r>
    </w:p>
    <w:p w:rsidR="003C6F8B" w:rsidRPr="005F15DA" w:rsidRDefault="003C6F8B" w:rsidP="003C6F8B">
      <w:pPr>
        <w:ind w:left="426"/>
      </w:pPr>
    </w:p>
    <w:p w:rsidR="005D70F9" w:rsidRPr="005F15DA" w:rsidRDefault="005D70F9" w:rsidP="003C6F8B">
      <w:pPr>
        <w:ind w:left="426"/>
      </w:pPr>
      <w:r w:rsidRPr="005F15DA">
        <w:t>Die Erben können binnen drei Monaten nach Bekanntwerden des Erbfalls die Erbschaft beim Regierungsstatthalter am letzten Wohnsitz des Erblassers ausschlagen. Nicht nötig ist die Ausschlagung, wenn die Zahlungsunfähigkeit offenkundig ist. Bei einem Er</w:t>
      </w:r>
      <w:r w:rsidRPr="005F15DA">
        <w:t>b</w:t>
      </w:r>
      <w:r w:rsidRPr="005F15DA">
        <w:t>schafts- oder öffentlichen Inventar läuft die Frist ab Kenntnis des Inventars.</w:t>
      </w:r>
    </w:p>
    <w:p w:rsidR="00E40D09" w:rsidRPr="005F15DA" w:rsidRDefault="00E40D09" w:rsidP="003C6F8B">
      <w:pPr>
        <w:ind w:left="426"/>
      </w:pPr>
    </w:p>
    <w:p w:rsidR="00E40D09" w:rsidRPr="005F15DA" w:rsidRDefault="00E40D09" w:rsidP="003C6F8B">
      <w:pPr>
        <w:ind w:left="426"/>
      </w:pPr>
    </w:p>
    <w:p w:rsidR="005D70F9" w:rsidRPr="005F15DA" w:rsidRDefault="005D70F9" w:rsidP="003C6F8B">
      <w:pPr>
        <w:pStyle w:val="berschrift4"/>
      </w:pPr>
      <w:r w:rsidRPr="005F15DA">
        <w:rPr>
          <w:spacing w:val="-9"/>
        </w:rPr>
        <w:t>5.</w:t>
      </w:r>
      <w:r w:rsidRPr="005F15DA">
        <w:tab/>
        <w:t>Erbenschein (Art. 559 ZGB)</w:t>
      </w:r>
    </w:p>
    <w:p w:rsidR="005D70F9" w:rsidRPr="005F15DA" w:rsidRDefault="005D70F9" w:rsidP="003C6F8B">
      <w:pPr>
        <w:pStyle w:val="berschrift5"/>
      </w:pPr>
      <w:r w:rsidRPr="005F15DA">
        <w:rPr>
          <w:spacing w:val="-9"/>
        </w:rPr>
        <w:t>5.1.</w:t>
      </w:r>
      <w:r w:rsidRPr="005F15DA">
        <w:tab/>
        <w:t>Zweck</w:t>
      </w:r>
    </w:p>
    <w:p w:rsidR="005D70F9" w:rsidRPr="005F15DA" w:rsidRDefault="005D70F9" w:rsidP="003C6F8B">
      <w:pPr>
        <w:ind w:left="851"/>
      </w:pPr>
      <w:r w:rsidRPr="005F15DA">
        <w:t xml:space="preserve">Der Erbenschein ist ein Ausweis, aus welchem hervorgeht, welche Personen am Nachlass berechtigt sind; der Erbenschein wird im Kanton Bern durch einen Notar oder die letzte Wohnsitzgemeinde ausgestellt. </w:t>
      </w:r>
    </w:p>
    <w:p w:rsidR="003C6F8B" w:rsidRPr="005F15DA" w:rsidRDefault="003C6F8B" w:rsidP="003C6F8B">
      <w:pPr>
        <w:ind w:left="851"/>
      </w:pPr>
    </w:p>
    <w:p w:rsidR="003C6F8B" w:rsidRPr="005F15DA" w:rsidRDefault="005D70F9" w:rsidP="003C6F8B">
      <w:pPr>
        <w:ind w:left="851"/>
      </w:pPr>
      <w:r w:rsidRPr="005F15DA">
        <w:t xml:space="preserve">Der Erbenschein dient </w:t>
      </w:r>
    </w:p>
    <w:p w:rsidR="003C6F8B" w:rsidRPr="005F15DA" w:rsidRDefault="005D70F9" w:rsidP="003C6F8B">
      <w:pPr>
        <w:ind w:left="851"/>
      </w:pPr>
      <w:r w:rsidRPr="005F15DA">
        <w:t>den Erben als Ausweis für ihre Berechtigung, beispielsweise gegenüber einer Bank, oder</w:t>
      </w:r>
    </w:p>
    <w:p w:rsidR="005D70F9" w:rsidRPr="005F15DA" w:rsidRDefault="005D70F9" w:rsidP="003C6F8B">
      <w:pPr>
        <w:ind w:left="851"/>
      </w:pPr>
      <w:r w:rsidRPr="005F15DA">
        <w:t>dem Grundbuchamt als Rechtsgrundausweis zur rechtsgültigen Bekanntgabe, wer Erbe der Nachlassliegenschaften ist.</w:t>
      </w:r>
    </w:p>
    <w:p w:rsidR="00E40D09" w:rsidRPr="005F15DA" w:rsidRDefault="00E40D09" w:rsidP="003C6F8B">
      <w:pPr>
        <w:ind w:left="851"/>
      </w:pPr>
    </w:p>
    <w:p w:rsidR="00E40D09" w:rsidRPr="005F15DA" w:rsidRDefault="00E40D09" w:rsidP="003C6F8B">
      <w:pPr>
        <w:ind w:left="851"/>
      </w:pPr>
    </w:p>
    <w:p w:rsidR="005D70F9" w:rsidRPr="005F15DA" w:rsidRDefault="005D70F9" w:rsidP="003C6F8B">
      <w:pPr>
        <w:pStyle w:val="berschrift5"/>
      </w:pPr>
      <w:r w:rsidRPr="005F15DA">
        <w:rPr>
          <w:spacing w:val="-5"/>
        </w:rPr>
        <w:t>5.2.</w:t>
      </w:r>
      <w:r w:rsidRPr="005F15DA">
        <w:tab/>
        <w:t>Inhalt des Erbenscheines</w:t>
      </w:r>
    </w:p>
    <w:p w:rsidR="005D70F9" w:rsidRPr="005F15DA" w:rsidRDefault="005D70F9" w:rsidP="00BE42EF">
      <w:pPr>
        <w:ind w:left="851"/>
      </w:pPr>
      <w:r w:rsidRPr="005F15DA">
        <w:t>Die gesetzlichen und die eingesetzten Erben können bei der zuständigen Behörde eine Bestätigung über ihre Erbberechtigung verlangen. Diese Erbbescheinigung b</w:t>
      </w:r>
      <w:r w:rsidRPr="005F15DA">
        <w:t>e</w:t>
      </w:r>
      <w:r w:rsidRPr="005F15DA">
        <w:t xml:space="preserve">ruht auf einem nichtgerichtlichen Verfahren. Das Gerichtsverfahren über Gültigkeit, Herabsetzbarkeit oder Auslegung von Verfügungen von Todes wegen bleibt darum immer vorbehalten. Der Erbenschein muss deshalb auf die verbleibende Möglichkeit der Ungültigkeits- und Erbschaftsklage hinweisen. </w:t>
      </w:r>
    </w:p>
    <w:p w:rsidR="003C6F8B" w:rsidRPr="005F15DA" w:rsidRDefault="003C6F8B" w:rsidP="00BE42EF">
      <w:pPr>
        <w:ind w:left="851"/>
      </w:pPr>
    </w:p>
    <w:p w:rsidR="005D70F9" w:rsidRPr="005F15DA" w:rsidRDefault="005D70F9" w:rsidP="00BE42EF">
      <w:pPr>
        <w:ind w:left="851"/>
      </w:pPr>
      <w:r w:rsidRPr="005F15DA">
        <w:t>Der von einem Notar ausgestellte Erbenschein ist eine Feststellungsurkunde. Sie bescheinigt, wer verstorben ist, wer die Erben sind, die Feststellung, dass die Erben anerkannt sind (bei Grundbuchgeschäften dass die Erben als einzige Erben ane</w:t>
      </w:r>
      <w:r w:rsidRPr="005F15DA">
        <w:t>r</w:t>
      </w:r>
      <w:r w:rsidRPr="005F15DA">
        <w:t>kannt sind), den Vorbehalt der Ungültigkeits- und Erbschaftsklage, die Angabe, wer den Notar rogiert hat, bei Grundbuchgeschäften die genau Bezeichnung des Grun</w:t>
      </w:r>
      <w:r w:rsidRPr="005F15DA">
        <w:t>d</w:t>
      </w:r>
      <w:r w:rsidRPr="005F15DA">
        <w:t>stückes.</w:t>
      </w:r>
    </w:p>
    <w:p w:rsidR="003C6F8B" w:rsidRPr="005F15DA" w:rsidRDefault="003C6F8B" w:rsidP="00BE42EF">
      <w:pPr>
        <w:ind w:left="851"/>
      </w:pPr>
    </w:p>
    <w:p w:rsidR="005D70F9" w:rsidRPr="005F15DA" w:rsidRDefault="005D70F9" w:rsidP="00BE42EF">
      <w:pPr>
        <w:ind w:left="851"/>
      </w:pPr>
      <w:r w:rsidRPr="005F15DA">
        <w:rPr>
          <w:u w:val="single"/>
        </w:rPr>
        <w:t>Beispiel</w:t>
      </w:r>
      <w:r w:rsidRPr="005F15DA">
        <w:t>:</w:t>
      </w:r>
    </w:p>
    <w:p w:rsidR="005D70F9" w:rsidRPr="005F15DA" w:rsidRDefault="005D70F9" w:rsidP="009D34F3">
      <w:pPr>
        <w:pStyle w:val="Listenabsatz"/>
        <w:numPr>
          <w:ilvl w:val="0"/>
          <w:numId w:val="50"/>
        </w:numPr>
        <w:ind w:left="1276" w:hanging="425"/>
      </w:pPr>
      <w:r w:rsidRPr="005F15DA">
        <w:t>Herr Kurt Zbinden, geb. 10. 10. 1909, von Seeberg, pens. eidg. Beamter, Ber</w:t>
      </w:r>
      <w:r w:rsidRPr="005F15DA">
        <w:t>n</w:t>
      </w:r>
      <w:r w:rsidRPr="005F15DA">
        <w:t>strasse 13, 3422 Kirchberg, ist am 3. Januar 1984 verstorben.</w:t>
      </w:r>
    </w:p>
    <w:p w:rsidR="005D70F9" w:rsidRPr="005F15DA" w:rsidRDefault="005D70F9" w:rsidP="009D34F3">
      <w:pPr>
        <w:pStyle w:val="Listenabsatz"/>
        <w:numPr>
          <w:ilvl w:val="0"/>
          <w:numId w:val="50"/>
        </w:numPr>
        <w:ind w:left="1276" w:hanging="425"/>
      </w:pPr>
      <w:r w:rsidRPr="005F15DA">
        <w:t>Am 23. Januar 1984 hat der Gemeinderat von Kirchberg eine öffentliche letztwi</w:t>
      </w:r>
      <w:r w:rsidRPr="005F15DA">
        <w:t>l</w:t>
      </w:r>
      <w:r w:rsidRPr="005F15DA">
        <w:t>lige Verfügung des Erblassers vom 24. April 1972 eröffnet. In diesem Testament hat der Erblasser seine Ehefrau als Alleinerbin eingesetzt. Gegen diese Erbb</w:t>
      </w:r>
      <w:r w:rsidRPr="005F15DA">
        <w:t>e</w:t>
      </w:r>
      <w:r w:rsidRPr="005F15DA">
        <w:lastRenderedPageBreak/>
        <w:t>rechtigung wurde keine Einsprache erhoben. Dem Notar wurde kein Erbvertrag vorgelegt.</w:t>
      </w:r>
    </w:p>
    <w:p w:rsidR="005D70F9" w:rsidRPr="005F15DA" w:rsidRDefault="005D70F9" w:rsidP="009D34F3">
      <w:pPr>
        <w:pStyle w:val="Listenabsatz"/>
        <w:numPr>
          <w:ilvl w:val="0"/>
          <w:numId w:val="50"/>
        </w:numPr>
        <w:ind w:left="1276" w:hanging="425"/>
      </w:pPr>
      <w:r w:rsidRPr="005F15DA">
        <w:t>Demzufolge ist die Ehefrau des Erblassers, Rosmarie Zbinden geb. Schweizer, geb. 2.1.1916, von Seeberg, Hausfrau, Bernstrasse 13, 3422 Kirchberg, als ei</w:t>
      </w:r>
      <w:r w:rsidRPr="005F15DA">
        <w:t>n</w:t>
      </w:r>
      <w:r w:rsidRPr="005F15DA">
        <w:t>zige Erbin anerkannt, unter Vorbehalt der Ungültigkeits- und Erbschaftsklage.</w:t>
      </w:r>
    </w:p>
    <w:p w:rsidR="005D70F9" w:rsidRPr="005F15DA" w:rsidRDefault="005D70F9" w:rsidP="009D34F3">
      <w:pPr>
        <w:pStyle w:val="Listenabsatz"/>
        <w:numPr>
          <w:ilvl w:val="0"/>
          <w:numId w:val="50"/>
        </w:numPr>
        <w:ind w:left="1276" w:hanging="425"/>
      </w:pPr>
      <w:r w:rsidRPr="005F15DA">
        <w:t>Der Erblasser war Eigentümer des Grundstückes, Kirchberg-Grundbuchblatt Nr. 127.</w:t>
      </w:r>
    </w:p>
    <w:p w:rsidR="005D70F9" w:rsidRPr="005F15DA" w:rsidRDefault="005D70F9" w:rsidP="009D34F3">
      <w:pPr>
        <w:pStyle w:val="Listenabsatz"/>
        <w:numPr>
          <w:ilvl w:val="0"/>
          <w:numId w:val="50"/>
        </w:numPr>
        <w:ind w:left="1276" w:hanging="425"/>
      </w:pPr>
      <w:r w:rsidRPr="005F15DA">
        <w:t>Der Notar errichtet diese Urkunde im Auftrag der Erben. Seine Feststellungen stützen sich auf folgende Unterlagen, welche als Beilagen Nrn. 1 – 2 dieser U</w:t>
      </w:r>
      <w:r w:rsidRPr="005F15DA">
        <w:t>r</w:t>
      </w:r>
      <w:r w:rsidRPr="005F15DA">
        <w:t>schrift im Original beigegeben sind: …</w:t>
      </w:r>
    </w:p>
    <w:p w:rsidR="00E40D09" w:rsidRPr="005F15DA" w:rsidRDefault="00E40D09" w:rsidP="00BE42EF">
      <w:pPr>
        <w:ind w:left="851"/>
      </w:pPr>
    </w:p>
    <w:p w:rsidR="00E40D09" w:rsidRPr="005F15DA" w:rsidRDefault="00E40D09" w:rsidP="00BE42EF">
      <w:pPr>
        <w:ind w:left="851"/>
      </w:pPr>
    </w:p>
    <w:p w:rsidR="005D70F9" w:rsidRPr="005F15DA" w:rsidRDefault="005D70F9" w:rsidP="00BE42EF">
      <w:pPr>
        <w:pStyle w:val="berschrift4"/>
      </w:pPr>
      <w:r w:rsidRPr="005F15DA">
        <w:rPr>
          <w:spacing w:val="-10"/>
        </w:rPr>
        <w:t>6.</w:t>
      </w:r>
      <w:r w:rsidRPr="005F15DA">
        <w:tab/>
        <w:t>Erbschaftssteueranzeige</w:t>
      </w:r>
    </w:p>
    <w:p w:rsidR="005D70F9" w:rsidRPr="005F15DA" w:rsidRDefault="005D70F9" w:rsidP="00BE42EF">
      <w:pPr>
        <w:ind w:left="426"/>
      </w:pPr>
      <w:r w:rsidRPr="005F15DA">
        <w:t>Unter Umständen werden die Erben verpflichtet, der Kantonalen Steuerverwaltung, Bern, eine Erbschaftssteuer-Anzeige einzureichen; gestützt darauf werden die Erbschaftsste</w:t>
      </w:r>
      <w:r w:rsidRPr="005F15DA">
        <w:t>u</w:t>
      </w:r>
      <w:r w:rsidRPr="005F15DA">
        <w:t>ern fest</w:t>
      </w:r>
      <w:r w:rsidR="002D276D">
        <w:t>ge</w:t>
      </w:r>
      <w:r w:rsidRPr="005F15DA">
        <w:t>setzt. Die Höhe der Erbschaftssteuer ist abhängig vom Verwandtschaftsgrad des Erben zum Erblasser und von der Höhe des Erbteils (Progression). Die Ehegatten und Nachkommen sind im Kanton Bern von den Erbschafts- und Schenkungssteuern b</w:t>
      </w:r>
      <w:r w:rsidRPr="005F15DA">
        <w:t>e</w:t>
      </w:r>
      <w:r w:rsidRPr="005F15DA">
        <w:t>freit.</w:t>
      </w:r>
    </w:p>
    <w:p w:rsidR="00B11D0F" w:rsidRPr="005F15DA" w:rsidRDefault="00B11D0F" w:rsidP="00BE42EF">
      <w:pPr>
        <w:ind w:left="426"/>
      </w:pPr>
    </w:p>
    <w:p w:rsidR="00B11D0F" w:rsidRPr="005F15DA" w:rsidRDefault="00B11D0F" w:rsidP="00BE42EF">
      <w:pPr>
        <w:ind w:left="426"/>
      </w:pPr>
    </w:p>
    <w:p w:rsidR="00E40D09" w:rsidRPr="005F15DA" w:rsidRDefault="00E40D09" w:rsidP="00BE42EF">
      <w:pPr>
        <w:ind w:left="426"/>
      </w:pPr>
    </w:p>
    <w:p w:rsidR="00E40D09" w:rsidRPr="005F15DA" w:rsidRDefault="00E40D09" w:rsidP="00BE42EF">
      <w:pPr>
        <w:ind w:left="426"/>
      </w:pPr>
    </w:p>
    <w:p w:rsidR="005D70F9" w:rsidRPr="005F15DA" w:rsidRDefault="005D70F9" w:rsidP="00E36E8F">
      <w:pPr>
        <w:pStyle w:val="berschrift2"/>
      </w:pPr>
      <w:bookmarkStart w:id="67" w:name="_Toc432175588"/>
      <w:r w:rsidRPr="005F15DA">
        <w:t>IV. Erbteilung</w:t>
      </w:r>
      <w:bookmarkEnd w:id="67"/>
    </w:p>
    <w:p w:rsidR="00B11D0F" w:rsidRPr="005F15DA" w:rsidRDefault="00B11D0F" w:rsidP="003F73F7">
      <w:r w:rsidRPr="005F15DA">
        <w:t>________</w:t>
      </w:r>
      <w:r w:rsidR="00BE42EF" w:rsidRPr="005F15DA">
        <w:t>______</w:t>
      </w:r>
      <w:r w:rsidR="003F73F7">
        <w:t>___</w:t>
      </w:r>
    </w:p>
    <w:p w:rsidR="00E40D09" w:rsidRPr="005F15DA" w:rsidRDefault="00E40D09" w:rsidP="00E40D09"/>
    <w:p w:rsidR="005D70F9" w:rsidRPr="005F15DA" w:rsidRDefault="005D70F9" w:rsidP="00BE42EF">
      <w:pPr>
        <w:tabs>
          <w:tab w:val="left" w:pos="426"/>
        </w:tabs>
      </w:pPr>
      <w:r w:rsidRPr="005F15DA">
        <w:t>Wie wird die Erbschaft geteilt und wer ist dafür zuständig?</w:t>
      </w:r>
    </w:p>
    <w:p w:rsidR="005D70F9" w:rsidRPr="005F15DA" w:rsidRDefault="005D70F9" w:rsidP="00BE42EF">
      <w:pPr>
        <w:tabs>
          <w:tab w:val="left" w:pos="426"/>
        </w:tabs>
      </w:pPr>
      <w:r w:rsidRPr="005F15DA">
        <w:rPr>
          <w:spacing w:val="-3"/>
        </w:rPr>
        <w:tab/>
        <w:t>-</w:t>
      </w:r>
      <w:r w:rsidRPr="005F15DA">
        <w:rPr>
          <w:spacing w:val="-3"/>
        </w:rPr>
        <w:tab/>
        <w:t>Aufgabe der Erben</w:t>
      </w:r>
    </w:p>
    <w:p w:rsidR="005D70F9" w:rsidRPr="005F15DA" w:rsidRDefault="005D70F9" w:rsidP="00BE42EF">
      <w:pPr>
        <w:tabs>
          <w:tab w:val="left" w:pos="426"/>
        </w:tabs>
      </w:pPr>
      <w:r w:rsidRPr="005F15DA">
        <w:rPr>
          <w:spacing w:val="-4"/>
        </w:rPr>
        <w:tab/>
        <w:t>-</w:t>
      </w:r>
      <w:r w:rsidRPr="005F15DA">
        <w:rPr>
          <w:spacing w:val="-4"/>
        </w:rPr>
        <w:tab/>
        <w:t>Erbteilungsvertrag</w:t>
      </w:r>
    </w:p>
    <w:p w:rsidR="005D70F9" w:rsidRPr="005F15DA" w:rsidRDefault="005D70F9" w:rsidP="00BE42EF">
      <w:pPr>
        <w:tabs>
          <w:tab w:val="left" w:pos="426"/>
        </w:tabs>
      </w:pPr>
      <w:r w:rsidRPr="005F15DA">
        <w:rPr>
          <w:spacing w:val="-4"/>
        </w:rPr>
        <w:tab/>
        <w:t>-</w:t>
      </w:r>
      <w:r w:rsidRPr="005F15DA">
        <w:rPr>
          <w:spacing w:val="-4"/>
        </w:rPr>
        <w:tab/>
        <w:t>Teilungswert des Nachlasses</w:t>
      </w:r>
    </w:p>
    <w:p w:rsidR="005D70F9" w:rsidRPr="005F15DA" w:rsidRDefault="005D70F9" w:rsidP="00BE42EF">
      <w:pPr>
        <w:tabs>
          <w:tab w:val="left" w:pos="426"/>
        </w:tabs>
      </w:pPr>
      <w:r w:rsidRPr="005F15DA">
        <w:rPr>
          <w:spacing w:val="-2"/>
        </w:rPr>
        <w:t>Wie werden Erbvorbezüge behandelt?</w:t>
      </w:r>
    </w:p>
    <w:p w:rsidR="005D70F9" w:rsidRPr="005F15DA" w:rsidRDefault="005D70F9" w:rsidP="00BE42EF">
      <w:pPr>
        <w:tabs>
          <w:tab w:val="left" w:pos="426"/>
        </w:tabs>
      </w:pPr>
      <w:r w:rsidRPr="005F15DA">
        <w:rPr>
          <w:spacing w:val="-5"/>
        </w:rPr>
        <w:tab/>
        <w:t>-</w:t>
      </w:r>
      <w:r w:rsidRPr="005F15DA">
        <w:rPr>
          <w:spacing w:val="-5"/>
        </w:rPr>
        <w:tab/>
        <w:t>der Nachkommen?</w:t>
      </w:r>
    </w:p>
    <w:p w:rsidR="005D70F9" w:rsidRPr="005F15DA" w:rsidRDefault="005D70F9" w:rsidP="00BE42EF">
      <w:pPr>
        <w:tabs>
          <w:tab w:val="left" w:pos="426"/>
        </w:tabs>
      </w:pPr>
      <w:r w:rsidRPr="005F15DA">
        <w:rPr>
          <w:spacing w:val="-4"/>
        </w:rPr>
        <w:tab/>
        <w:t>-</w:t>
      </w:r>
      <w:r w:rsidRPr="005F15DA">
        <w:rPr>
          <w:spacing w:val="-4"/>
        </w:rPr>
        <w:tab/>
        <w:t>der übrigen Erben?</w:t>
      </w:r>
    </w:p>
    <w:p w:rsidR="00E40D09" w:rsidRPr="005F15DA" w:rsidRDefault="00E40D09" w:rsidP="00E40D09"/>
    <w:p w:rsidR="00E40D09" w:rsidRPr="005F15DA" w:rsidRDefault="00E40D09" w:rsidP="00E40D09"/>
    <w:p w:rsidR="005D70F9" w:rsidRPr="005F15DA" w:rsidRDefault="005D70F9" w:rsidP="00BE42EF">
      <w:pPr>
        <w:pStyle w:val="berschrift3"/>
        <w:rPr>
          <w:lang w:val="de-CH"/>
        </w:rPr>
      </w:pPr>
      <w:bookmarkStart w:id="68" w:name="_Toc432175589"/>
      <w:r w:rsidRPr="005F15DA">
        <w:rPr>
          <w:spacing w:val="-10"/>
          <w:lang w:val="de-CH"/>
        </w:rPr>
        <w:t>A.</w:t>
      </w:r>
      <w:r w:rsidRPr="005F15DA">
        <w:rPr>
          <w:lang w:val="de-CH"/>
        </w:rPr>
        <w:tab/>
        <w:t>Grundsätzliches</w:t>
      </w:r>
      <w:bookmarkEnd w:id="68"/>
    </w:p>
    <w:p w:rsidR="003F73F7" w:rsidRDefault="003F73F7" w:rsidP="00BE42EF"/>
    <w:p w:rsidR="005D70F9" w:rsidRPr="005F15DA" w:rsidRDefault="005D70F9" w:rsidP="00BE42EF">
      <w:r w:rsidRPr="005F15DA">
        <w:t>Sind mehrere Erben vorhanden, bilden sie eine Erbengemeinschaft; jeder Erbe ist Gesamte</w:t>
      </w:r>
      <w:r w:rsidRPr="005F15DA">
        <w:t>i</w:t>
      </w:r>
      <w:r w:rsidRPr="005F15DA">
        <w:t>gentümer aller Erbschaftsgegenstände. Die Erben können somit nur gemeinsam und ei</w:t>
      </w:r>
      <w:r w:rsidRPr="005F15DA">
        <w:t>n</w:t>
      </w:r>
      <w:r w:rsidRPr="005F15DA">
        <w:t>stimmig über die Erbschaftsgegenstände verfügen (Art. 602 ZGB). Jeder Erbe kann jederzeit die Erbteilung, welche die Auflösung der Erbengemeinschaft bedeutet verlangen (Ausnahme: Es ist beim Erbgang auf ein noch nicht geborenes Kind Rücksicht zu nehmen, Art. 605 ZGB).</w:t>
      </w:r>
    </w:p>
    <w:p w:rsidR="00BE42EF" w:rsidRPr="005F15DA" w:rsidRDefault="00BE42EF" w:rsidP="00BE42EF"/>
    <w:p w:rsidR="005D70F9" w:rsidRPr="005F15DA" w:rsidRDefault="005D70F9" w:rsidP="00BE42EF">
      <w:r w:rsidRPr="005F15DA">
        <w:t xml:space="preserve">Hat der Erblasser einen Willensvollstrecker bestellt, bereitet dieser die Teilung gemäss den Anordnungen des Verstorbenen vor. Ansonsten ist die Teilung Sache der Erben. Können sich </w:t>
      </w:r>
      <w:r w:rsidRPr="005F15DA">
        <w:lastRenderedPageBreak/>
        <w:t>die Erben bezüglich der Erbteilung nicht einigen, kann jeder Erbe beim zuständigen Gericht die Erbteilungsklage einreichen.</w:t>
      </w:r>
    </w:p>
    <w:p w:rsidR="00BE42EF" w:rsidRPr="005F15DA" w:rsidRDefault="00BE42EF" w:rsidP="00BE42EF"/>
    <w:p w:rsidR="005D70F9" w:rsidRPr="005F15DA" w:rsidRDefault="005D70F9" w:rsidP="00BE42EF">
      <w:r w:rsidRPr="005F15DA">
        <w:t>I</w:t>
      </w:r>
      <w:r w:rsidR="0081111F">
        <w:t>n der Erbteilung hat jeder Erbe</w:t>
      </w:r>
      <w:r w:rsidRPr="005F15DA">
        <w:t xml:space="preserve"> grundsätzlich die gleichen Rechte auf die Gegenstände des Nachlasses (Art. 610 ZGB), einzig der überlebende Ehegatte kann verlangen, dass ihm das Haus oder die Wohnung, worin die Ehegatten gelebt haben, sowie die Hausratsgegenstände zugeteilt werden (Art. 612a ZGB).</w:t>
      </w:r>
    </w:p>
    <w:p w:rsidR="00BE42EF" w:rsidRPr="005F15DA" w:rsidRDefault="00BE42EF" w:rsidP="00BE42EF"/>
    <w:p w:rsidR="005D70F9" w:rsidRPr="005F15DA" w:rsidRDefault="005D70F9" w:rsidP="00BE42EF">
      <w:r w:rsidRPr="005F15DA">
        <w:t>Erbschaftssachen, die durch die Teilung wesentlich an Wert verlieren würden, z.B. ein altes, wertvolles Tischgedeck, sind einem Erben ungeteilt zuzuweisen; können sich die Erben nicht einigen, ist die Sache zu verkaufen oder allenfalls zu versteigern (Art. 612 ZGB).</w:t>
      </w:r>
    </w:p>
    <w:p w:rsidR="00E40D09" w:rsidRPr="005F15DA" w:rsidRDefault="00E40D09" w:rsidP="00BE42EF"/>
    <w:p w:rsidR="00E40D09" w:rsidRPr="005F15DA" w:rsidRDefault="00E40D09" w:rsidP="00BE42EF"/>
    <w:p w:rsidR="005D70F9" w:rsidRPr="005F15DA" w:rsidRDefault="005D70F9" w:rsidP="00BE42EF">
      <w:pPr>
        <w:pStyle w:val="berschrift3"/>
        <w:rPr>
          <w:lang w:val="de-CH"/>
        </w:rPr>
      </w:pPr>
      <w:bookmarkStart w:id="69" w:name="_Toc432175590"/>
      <w:r w:rsidRPr="005F15DA">
        <w:rPr>
          <w:spacing w:val="-24"/>
          <w:lang w:val="de-CH"/>
        </w:rPr>
        <w:t>B.</w:t>
      </w:r>
      <w:r w:rsidRPr="005F15DA">
        <w:rPr>
          <w:lang w:val="de-CH"/>
        </w:rPr>
        <w:tab/>
        <w:t>Form des Erbteilungsvertrages</w:t>
      </w:r>
      <w:bookmarkEnd w:id="69"/>
    </w:p>
    <w:p w:rsidR="003F73F7" w:rsidRDefault="003F73F7" w:rsidP="00BE42EF"/>
    <w:p w:rsidR="005D70F9" w:rsidRPr="005F15DA" w:rsidRDefault="005D70F9" w:rsidP="00BE42EF">
      <w:r w:rsidRPr="005F15DA">
        <w:t xml:space="preserve">Der Erbteilungsvertrag bedarf zu seiner Gültigkeit der schriftlichen Form (Art. 634 ZGB); dies gilt auch für die Zuweisung von Grundstücken (inkl. Begründung eines Wohnrechtes oder einer Nutzniessung im Erbteilungsvertrag). Auf dem Exemplar für das Grundbuchamt sind die Unterschriften der Erben zu beglaubigen. </w:t>
      </w:r>
    </w:p>
    <w:p w:rsidR="00E40D09" w:rsidRPr="005F15DA" w:rsidRDefault="00E40D09" w:rsidP="00BE42EF"/>
    <w:p w:rsidR="00E40D09" w:rsidRPr="005F15DA" w:rsidRDefault="00E40D09" w:rsidP="00BE42EF"/>
    <w:p w:rsidR="005D70F9" w:rsidRPr="005F15DA" w:rsidRDefault="005D70F9" w:rsidP="00BE42EF">
      <w:pPr>
        <w:pStyle w:val="berschrift3"/>
        <w:rPr>
          <w:lang w:val="de-CH"/>
        </w:rPr>
      </w:pPr>
      <w:bookmarkStart w:id="70" w:name="_Toc432175591"/>
      <w:r w:rsidRPr="005F15DA">
        <w:rPr>
          <w:spacing w:val="-17"/>
          <w:lang w:val="de-CH"/>
        </w:rPr>
        <w:t>C.</w:t>
      </w:r>
      <w:r w:rsidRPr="005F15DA">
        <w:rPr>
          <w:lang w:val="de-CH"/>
        </w:rPr>
        <w:tab/>
        <w:t>Inhalt des Erbteilungsvertrages</w:t>
      </w:r>
      <w:bookmarkEnd w:id="70"/>
    </w:p>
    <w:p w:rsidR="003F73F7" w:rsidRDefault="003F73F7" w:rsidP="00BE42EF"/>
    <w:p w:rsidR="005D70F9" w:rsidRPr="005F15DA" w:rsidRDefault="005D70F9" w:rsidP="00BE42EF">
      <w:r w:rsidRPr="005F15DA">
        <w:t>Die Erben sind frei, die Teilung so vorzunehmen, wie sie wollen, sofern alle Erben einversta</w:t>
      </w:r>
      <w:r w:rsidRPr="005F15DA">
        <w:t>n</w:t>
      </w:r>
      <w:r w:rsidRPr="005F15DA">
        <w:t>den sind (Art. 607 ZGB). Wenn eine Liegenschaft beispielsweise einen Verkehrswert von Fr. 500’000.-aufweist, können sich die Erben ohne weiteres auf einen Übernahmepreis von Fr. 300’000.- einigen. Selbst wenn vom Erblasser Teilungsvorschriften aufgestellt worden sind, können die Erben im gegenseitigen Einverständnis von diesen abweichen und eine andere Teilung vereinbaren.</w:t>
      </w:r>
    </w:p>
    <w:p w:rsidR="00BE42EF" w:rsidRPr="005F15DA" w:rsidRDefault="00BE42EF" w:rsidP="00BE42EF"/>
    <w:p w:rsidR="005D70F9" w:rsidRPr="005F15DA" w:rsidRDefault="005D70F9" w:rsidP="00BE42EF">
      <w:r w:rsidRPr="005F15DA">
        <w:t>Können sich die Erben über den Übernahmepreis nicht einigen, ist in der Regel der Ve</w:t>
      </w:r>
      <w:r w:rsidRPr="005F15DA">
        <w:t>r</w:t>
      </w:r>
      <w:r w:rsidRPr="005F15DA">
        <w:t>kehrswert (= tatsächlicher Wert) des Nachlassgegenstandes massgebend. Für landwirtschaf</w:t>
      </w:r>
      <w:r w:rsidRPr="005F15DA">
        <w:t>t</w:t>
      </w:r>
      <w:r w:rsidRPr="005F15DA">
        <w:t>liche Betriebe enthalten das Erbrecht und das BGBB einige Sonderbestimmungen. So dürfen Betriebe, die eine landwirtschaftliche Existenz bilden, nicht aufgeteilt werden. Ein geeigneter Erbe kann den Betrieb zum tieferen Ertragswert anstatt zum Verkehrswert übernehmen.</w:t>
      </w:r>
    </w:p>
    <w:p w:rsidR="00E40D09" w:rsidRPr="005F15DA" w:rsidRDefault="00E40D09" w:rsidP="00BE42EF"/>
    <w:p w:rsidR="00E40D09" w:rsidRPr="005F15DA" w:rsidRDefault="00E40D09" w:rsidP="00BE42EF"/>
    <w:p w:rsidR="005D70F9" w:rsidRPr="005F15DA" w:rsidRDefault="005D70F9" w:rsidP="00BE42EF">
      <w:pPr>
        <w:pStyle w:val="berschrift3"/>
        <w:rPr>
          <w:lang w:val="de-CH"/>
        </w:rPr>
      </w:pPr>
      <w:bookmarkStart w:id="71" w:name="_Toc432175592"/>
      <w:r w:rsidRPr="005F15DA">
        <w:rPr>
          <w:lang w:val="de-CH"/>
        </w:rPr>
        <w:t>D.</w:t>
      </w:r>
      <w:r w:rsidR="009B0454" w:rsidRPr="005F15DA">
        <w:rPr>
          <w:lang w:val="de-CH"/>
        </w:rPr>
        <w:tab/>
      </w:r>
      <w:r w:rsidRPr="005F15DA">
        <w:rPr>
          <w:lang w:val="de-CH"/>
        </w:rPr>
        <w:t>Ausgleichung</w:t>
      </w:r>
      <w:bookmarkEnd w:id="71"/>
    </w:p>
    <w:p w:rsidR="00E40D09" w:rsidRPr="005F15DA" w:rsidRDefault="00E40D09" w:rsidP="00E40D09"/>
    <w:p w:rsidR="005D70F9" w:rsidRPr="005F15DA" w:rsidRDefault="005D70F9" w:rsidP="00BE42EF">
      <w:pPr>
        <w:pStyle w:val="berschrift4"/>
      </w:pPr>
      <w:r w:rsidRPr="005F15DA">
        <w:rPr>
          <w:spacing w:val="-22"/>
        </w:rPr>
        <w:t>1.</w:t>
      </w:r>
      <w:r w:rsidRPr="005F15DA">
        <w:tab/>
        <w:t>Begriff der Ausgleichung</w:t>
      </w:r>
    </w:p>
    <w:p w:rsidR="005D70F9" w:rsidRPr="005F15DA" w:rsidRDefault="005D70F9" w:rsidP="00BE42EF">
      <w:pPr>
        <w:ind w:left="426"/>
      </w:pPr>
      <w:r w:rsidRPr="005F15DA">
        <w:t>Der Erblasser macht einzelnen gesetzlichen Erben oft schon vor seinem Ableben Z</w:t>
      </w:r>
      <w:r w:rsidRPr="005F15DA">
        <w:t>u</w:t>
      </w:r>
      <w:r w:rsidRPr="005F15DA">
        <w:t>wendungen. Diese Erben werden dadurch bevorzugt, weil sich auf diese Weise das sp</w:t>
      </w:r>
      <w:r w:rsidRPr="005F15DA">
        <w:t>ä</w:t>
      </w:r>
      <w:r w:rsidRPr="005F15DA">
        <w:t>tere Nachlassvermögen reduziert. In bestimmten Fällen müssen sich die gesetzlichen E</w:t>
      </w:r>
      <w:r w:rsidRPr="005F15DA">
        <w:t>r</w:t>
      </w:r>
      <w:r w:rsidRPr="005F15DA">
        <w:t>ben deshalb solche Zuwendungen beim Erbfall auf ihren Erbteil anrechnen lassen. Dieser Vorgang wird als Ausgleichung bezeichnet. Er verwirklicht die Gleichberechtigung unter den gesetzlichen Erben.</w:t>
      </w:r>
    </w:p>
    <w:p w:rsidR="00E40D09" w:rsidRPr="005F15DA" w:rsidRDefault="00E40D09" w:rsidP="00BE42EF">
      <w:pPr>
        <w:ind w:left="426"/>
      </w:pPr>
    </w:p>
    <w:p w:rsidR="005D70F9" w:rsidRPr="005F15DA" w:rsidRDefault="005D70F9" w:rsidP="00BE42EF">
      <w:pPr>
        <w:pStyle w:val="berschrift4"/>
      </w:pPr>
      <w:r w:rsidRPr="005F15DA">
        <w:rPr>
          <w:spacing w:val="-9"/>
        </w:rPr>
        <w:lastRenderedPageBreak/>
        <w:t>2.</w:t>
      </w:r>
      <w:r w:rsidRPr="005F15DA">
        <w:tab/>
        <w:t>Ausgleichungspflicht der Nachkommen (Art. 626 – 632 ZGB)</w:t>
      </w:r>
    </w:p>
    <w:p w:rsidR="005D70F9" w:rsidRPr="005F15DA" w:rsidRDefault="005D70F9" w:rsidP="00BE42EF">
      <w:pPr>
        <w:ind w:left="426"/>
      </w:pPr>
      <w:r w:rsidRPr="005F15DA">
        <w:t>Die gesetzlichen Erben sind gegenseitig verpflichtet, alles zur Ausgleichung zu bringen, was ihnen der Erblasser zu Lebzeiten auf Anrechnung an ihren Erbanteil zugewendet hat. Was der Erblasser seinen Nachkommen als Heiratsgut, Ausstattung oder durch Vermögensabtretung, Schulderlass und dergleichen zugewendet hat, steht, sofern der Erblasser nicht ausdrücklich das Gegenteil verfügt, unter der Ausgleichungspflicht. Übl</w:t>
      </w:r>
      <w:r w:rsidRPr="005F15DA">
        <w:t>i</w:t>
      </w:r>
      <w:r w:rsidRPr="005F15DA">
        <w:t>che Gelegenheitsgeschenke unterstehen dagegen nicht der Ausgleichungspflicht.</w:t>
      </w:r>
    </w:p>
    <w:p w:rsidR="00BE42EF" w:rsidRPr="005F15DA" w:rsidRDefault="00BE42EF" w:rsidP="00BE42EF">
      <w:pPr>
        <w:ind w:left="426"/>
      </w:pPr>
    </w:p>
    <w:p w:rsidR="005D70F9" w:rsidRPr="005F15DA" w:rsidRDefault="005D70F9" w:rsidP="00BE42EF">
      <w:pPr>
        <w:ind w:left="426"/>
      </w:pPr>
      <w:r w:rsidRPr="005F15DA">
        <w:t>Lebzeitige Zuwendungen an andere gesetzliche Erben müssen nur ausgeglichen werden, wenn es der Erblasser ausdrücklich vorschreibt. Sie unterliegen aber stets der Herabse</w:t>
      </w:r>
      <w:r w:rsidRPr="005F15DA">
        <w:t>t</w:t>
      </w:r>
      <w:r w:rsidRPr="005F15DA">
        <w:t>zungsklage, soweit sie Pflichtteile verletzen.</w:t>
      </w:r>
    </w:p>
    <w:p w:rsidR="00E40D09" w:rsidRPr="005F15DA" w:rsidRDefault="00E40D09" w:rsidP="00BE42EF">
      <w:pPr>
        <w:ind w:left="426"/>
      </w:pPr>
    </w:p>
    <w:p w:rsidR="00E40D09" w:rsidRPr="005F15DA" w:rsidRDefault="00E40D09" w:rsidP="00BE42EF">
      <w:pPr>
        <w:ind w:left="426"/>
      </w:pPr>
    </w:p>
    <w:p w:rsidR="005D70F9" w:rsidRPr="005F15DA" w:rsidRDefault="005D70F9" w:rsidP="00BE42EF">
      <w:pPr>
        <w:pStyle w:val="berschrift4"/>
      </w:pPr>
      <w:r w:rsidRPr="005F15DA">
        <w:rPr>
          <w:spacing w:val="-9"/>
        </w:rPr>
        <w:t>3.</w:t>
      </w:r>
      <w:r w:rsidRPr="005F15DA">
        <w:tab/>
        <w:t>Behandlung von Vorempfängen in Erbteilungen</w:t>
      </w:r>
    </w:p>
    <w:p w:rsidR="005D70F9" w:rsidRPr="005F15DA" w:rsidRDefault="005D70F9" w:rsidP="00BE42EF">
      <w:pPr>
        <w:ind w:left="426"/>
      </w:pPr>
      <w:r w:rsidRPr="005F15DA">
        <w:t>Die Ausgleichung wird anlässlich der Erbteilung vollzogen. Der ausgleichungspflichtige Erbe hat die Wahl, ob er die Ausgleichung durch Einwerfung des erhaltenen Gegensta</w:t>
      </w:r>
      <w:r w:rsidRPr="005F15DA">
        <w:t>n</w:t>
      </w:r>
      <w:r w:rsidRPr="005F15DA">
        <w:t xml:space="preserve">des in Natur oder durch die Anrechnung der Werte an seinen Erbteil vornehmen will (Art. 628 ZGB). Wählt er die Anrechnung der Werte, erhält er entsprechend dem Wert, den er ausgleichen muss, weniger andere Vermögensgegenstände. </w:t>
      </w:r>
    </w:p>
    <w:p w:rsidR="00BE42EF" w:rsidRPr="005F15DA" w:rsidRDefault="00BE42EF" w:rsidP="00BE42EF">
      <w:pPr>
        <w:ind w:left="426"/>
      </w:pPr>
    </w:p>
    <w:p w:rsidR="005D70F9" w:rsidRPr="005F15DA" w:rsidRDefault="005D70F9" w:rsidP="00BE42EF">
      <w:pPr>
        <w:ind w:left="426"/>
      </w:pPr>
      <w:r w:rsidRPr="005F15DA">
        <w:t>Hat der Erblasser einem Kind zu Lebzeiten eine Sache, beispielsweise eine Liegenschaft, auf Rechnung künftiger Erbschaft abgetreten, so muss der Begünstigte den im Abtr</w:t>
      </w:r>
      <w:r w:rsidRPr="005F15DA">
        <w:t>e</w:t>
      </w:r>
      <w:r w:rsidRPr="005F15DA">
        <w:t>tungsvertrag festgesetzten Anrechnungswert als Vorempfang bei der Erbteilung ausgle</w:t>
      </w:r>
      <w:r w:rsidRPr="005F15DA">
        <w:t>i</w:t>
      </w:r>
      <w:r w:rsidRPr="005F15DA">
        <w:t>chen, sofern die übrigen Erben diesem zugestimmt haben oder dadurch ein allfälliger Pflichtteil der übrigen Erben nicht verletzt wird. Wird ein allfälliger Pflichtteil verletzt, steht die Herabsetzungsklage zur Verfügung.</w:t>
      </w:r>
    </w:p>
    <w:p w:rsidR="00BE42EF" w:rsidRPr="005F15DA" w:rsidRDefault="00BE42EF" w:rsidP="00BE42EF">
      <w:pPr>
        <w:ind w:left="426"/>
      </w:pPr>
    </w:p>
    <w:p w:rsidR="005D70F9" w:rsidRPr="005F15DA" w:rsidRDefault="005D70F9" w:rsidP="00BE42EF">
      <w:pPr>
        <w:ind w:left="426"/>
      </w:pPr>
      <w:r w:rsidRPr="005F15DA">
        <w:t>Sind vom Erblasser Vermögensgegenstände verschenkt worden, ohne dass er einen Ausgleichungswert festgelegt hat, so ist der Verkehrswert der Gegenstände im Zeitpunkt seines Todes massgebend. Bei Sachen, die bereits vorher vom Begünstigten verkauft wurden, gilt der erzielte Erlös als massgebende Summe für die Ausgleichung.</w:t>
      </w:r>
    </w:p>
    <w:p w:rsidR="00BE42EF" w:rsidRPr="005F15DA" w:rsidRDefault="00BE42EF" w:rsidP="00BE42EF">
      <w:pPr>
        <w:ind w:left="426"/>
      </w:pPr>
    </w:p>
    <w:p w:rsidR="005D70F9" w:rsidRPr="005F15DA" w:rsidRDefault="005D70F9" w:rsidP="00BE42EF">
      <w:pPr>
        <w:ind w:left="426"/>
      </w:pPr>
      <w:r w:rsidRPr="005F15DA">
        <w:t>Müssen von den Erben erhaltene Geldbeträge ausgeglichen werden, so wird dem Au</w:t>
      </w:r>
      <w:r w:rsidRPr="005F15DA">
        <w:t>s</w:t>
      </w:r>
      <w:r w:rsidRPr="005F15DA">
        <w:t xml:space="preserve">gleichenden bei der </w:t>
      </w:r>
      <w:proofErr w:type="spellStart"/>
      <w:r w:rsidRPr="005F15DA">
        <w:t>Erbteilung</w:t>
      </w:r>
      <w:proofErr w:type="spellEnd"/>
      <w:r w:rsidRPr="005F15DA">
        <w:t xml:space="preserve"> der entsprechende Betrag in gleicher Höhe, ohne Zins, angerechnet.</w:t>
      </w:r>
    </w:p>
    <w:p w:rsidR="00BE42EF" w:rsidRPr="005F15DA" w:rsidRDefault="00BE42EF" w:rsidP="00D8219C"/>
    <w:p w:rsidR="005D70F9" w:rsidRPr="005F15DA" w:rsidRDefault="005D70F9" w:rsidP="00D8219C"/>
    <w:p w:rsidR="005D70F9" w:rsidRPr="005F15DA" w:rsidRDefault="005D70F9" w:rsidP="004D6703">
      <w:r w:rsidRPr="005F15DA">
        <w:br w:type="page"/>
      </w:r>
    </w:p>
    <w:p w:rsidR="005D70F9" w:rsidRPr="005F15DA" w:rsidRDefault="005D70F9" w:rsidP="001F15CC">
      <w:pPr>
        <w:pStyle w:val="berschrift1"/>
        <w:spacing w:before="0"/>
        <w:rPr>
          <w:w w:val="114"/>
        </w:rPr>
      </w:pPr>
      <w:bookmarkStart w:id="72" w:name="_Toc432175593"/>
      <w:r w:rsidRPr="005F15DA">
        <w:rPr>
          <w:w w:val="114"/>
        </w:rPr>
        <w:lastRenderedPageBreak/>
        <w:t>Handelsrecht</w:t>
      </w:r>
      <w:bookmarkEnd w:id="72"/>
    </w:p>
    <w:p w:rsidR="0096212C" w:rsidRPr="005F15DA" w:rsidRDefault="0096212C" w:rsidP="003F73F7">
      <w:r w:rsidRPr="005F15DA">
        <w:t>__________________________________________________________</w:t>
      </w:r>
      <w:r w:rsidR="003F73F7">
        <w:t>________________</w:t>
      </w:r>
    </w:p>
    <w:p w:rsidR="00D8219C" w:rsidRPr="005F15DA" w:rsidRDefault="00D8219C" w:rsidP="00D8219C"/>
    <w:p w:rsidR="00D8219C" w:rsidRPr="005F15DA" w:rsidRDefault="00D8219C" w:rsidP="00D8219C"/>
    <w:p w:rsidR="00E67662" w:rsidRPr="005F15DA" w:rsidRDefault="00E67662" w:rsidP="00D8219C"/>
    <w:p w:rsidR="005D70F9" w:rsidRPr="005F15DA" w:rsidRDefault="00906BEF" w:rsidP="00E36E8F">
      <w:pPr>
        <w:pStyle w:val="berschrift2"/>
      </w:pPr>
      <w:bookmarkStart w:id="73" w:name="_Toc432175594"/>
      <w:r w:rsidRPr="005F15DA">
        <w:t xml:space="preserve">I. </w:t>
      </w:r>
      <w:r w:rsidR="005D70F9" w:rsidRPr="005F15DA">
        <w:t>Einleitung</w:t>
      </w:r>
      <w:bookmarkEnd w:id="73"/>
    </w:p>
    <w:p w:rsidR="00B11D0F" w:rsidRPr="005F15DA" w:rsidRDefault="00B11D0F" w:rsidP="003F73F7">
      <w:r w:rsidRPr="005F15DA">
        <w:t>____</w:t>
      </w:r>
      <w:r w:rsidR="00E67662" w:rsidRPr="005F15DA">
        <w:t>________</w:t>
      </w:r>
      <w:r w:rsidR="003F73F7">
        <w:t>___</w:t>
      </w:r>
    </w:p>
    <w:p w:rsidR="00E67662" w:rsidRPr="005F15DA" w:rsidRDefault="00E67662" w:rsidP="00E67662"/>
    <w:p w:rsidR="005D70F9" w:rsidRPr="005F15DA" w:rsidRDefault="005D70F9" w:rsidP="00E67662">
      <w:pPr>
        <w:rPr>
          <w:spacing w:val="-2"/>
          <w:szCs w:val="22"/>
        </w:rPr>
      </w:pPr>
      <w:r w:rsidRPr="005F15DA">
        <w:rPr>
          <w:spacing w:val="-2"/>
          <w:szCs w:val="22"/>
        </w:rPr>
        <w:t>Das OR regelt in der dritten Abteilung die Handelsgesellschaften und die Genossenschaften. In rechtlicher Hinsicht sind dies die Gesellschaftsformen, welche in der Schweiz für den Betrieb einer Unternehmung gewählt werden können.</w:t>
      </w:r>
    </w:p>
    <w:p w:rsidR="005D70F9" w:rsidRPr="005F15DA" w:rsidRDefault="005D70F9" w:rsidP="00E67662">
      <w:pPr>
        <w:rPr>
          <w:spacing w:val="-2"/>
          <w:szCs w:val="22"/>
        </w:rPr>
      </w:pPr>
      <w:r w:rsidRPr="005F15DA">
        <w:rPr>
          <w:spacing w:val="-2"/>
          <w:szCs w:val="22"/>
        </w:rPr>
        <w:t>Für welche Rechtsform sich eine Unternehmung schliesslich entscheidet, hängt von verschi</w:t>
      </w:r>
      <w:r w:rsidRPr="005F15DA">
        <w:rPr>
          <w:spacing w:val="-2"/>
          <w:szCs w:val="22"/>
        </w:rPr>
        <w:t>e</w:t>
      </w:r>
      <w:r w:rsidRPr="005F15DA">
        <w:rPr>
          <w:spacing w:val="-2"/>
          <w:szCs w:val="22"/>
        </w:rPr>
        <w:t>denen wirtschaftlichen und rechtlichen Gesichtspunkten ab. Es stehen grundsätzlich folgende Möglichkeiten offen:</w:t>
      </w:r>
    </w:p>
    <w:p w:rsidR="00D8219C" w:rsidRPr="005F15DA" w:rsidRDefault="00D8219C" w:rsidP="00E67662"/>
    <w:p w:rsidR="00D8219C" w:rsidRPr="005F15DA" w:rsidRDefault="00D8219C" w:rsidP="00E67662"/>
    <w:p w:rsidR="005D70F9" w:rsidRPr="005F15DA" w:rsidRDefault="005D70F9" w:rsidP="00E67662">
      <w:pPr>
        <w:tabs>
          <w:tab w:val="left" w:pos="4536"/>
        </w:tabs>
      </w:pPr>
      <w:r w:rsidRPr="005F15DA">
        <w:rPr>
          <w:b/>
        </w:rPr>
        <w:t>Einzelunternehmungen</w:t>
      </w:r>
      <w:r w:rsidRPr="005F15DA">
        <w:tab/>
      </w:r>
      <w:r w:rsidRPr="005F15DA">
        <w:rPr>
          <w:b/>
        </w:rPr>
        <w:t>Gesellschaften</w:t>
      </w:r>
    </w:p>
    <w:p w:rsidR="005D70F9" w:rsidRPr="005F15DA" w:rsidRDefault="005D70F9" w:rsidP="00E67662">
      <w:pPr>
        <w:tabs>
          <w:tab w:val="left" w:pos="4536"/>
        </w:tabs>
      </w:pPr>
      <w:r w:rsidRPr="005F15DA">
        <w:t>(Eine natürliche Person ist Eigentümer,</w:t>
      </w:r>
      <w:r w:rsidRPr="005F15DA">
        <w:tab/>
        <w:t>(Zwei oder mehrere Personen sind Eigen-</w:t>
      </w:r>
    </w:p>
    <w:p w:rsidR="005D70F9" w:rsidRPr="005F15DA" w:rsidRDefault="005D70F9" w:rsidP="00E67662">
      <w:pPr>
        <w:tabs>
          <w:tab w:val="left" w:pos="4536"/>
        </w:tabs>
      </w:pPr>
      <w:r w:rsidRPr="005F15DA">
        <w:t xml:space="preserve">er trägt das volle Risiko auch mit seinem </w:t>
      </w:r>
      <w:r w:rsidRPr="005F15DA">
        <w:tab/>
      </w:r>
      <w:proofErr w:type="spellStart"/>
      <w:r w:rsidRPr="005F15DA">
        <w:t>tümer</w:t>
      </w:r>
      <w:proofErr w:type="spellEnd"/>
      <w:r w:rsidRPr="005F15DA">
        <w:t xml:space="preserve"> und </w:t>
      </w:r>
      <w:proofErr w:type="gramStart"/>
      <w:r w:rsidRPr="005F15DA">
        <w:t>tragen</w:t>
      </w:r>
      <w:proofErr w:type="gramEnd"/>
      <w:r w:rsidRPr="005F15DA">
        <w:t xml:space="preserve"> das Risiko gemeinsam)</w:t>
      </w:r>
    </w:p>
    <w:p w:rsidR="005D70F9" w:rsidRPr="005F15DA" w:rsidRDefault="005D70F9" w:rsidP="00E67662">
      <w:pPr>
        <w:tabs>
          <w:tab w:val="left" w:pos="4536"/>
        </w:tabs>
      </w:pPr>
      <w:r w:rsidRPr="005F15DA">
        <w:t>privaten Vermögen)</w:t>
      </w:r>
    </w:p>
    <w:p w:rsidR="005D70F9" w:rsidRPr="005F15DA" w:rsidRDefault="005D70F9" w:rsidP="00E67662">
      <w:pPr>
        <w:tabs>
          <w:tab w:val="left" w:pos="4536"/>
        </w:tabs>
      </w:pPr>
      <w:r w:rsidRPr="005F15DA">
        <w:t>- Einzelfirma</w:t>
      </w:r>
    </w:p>
    <w:p w:rsidR="00D8219C" w:rsidRPr="005F15DA" w:rsidRDefault="00D8219C" w:rsidP="00E67662">
      <w:pPr>
        <w:tabs>
          <w:tab w:val="left" w:pos="4536"/>
        </w:tabs>
      </w:pPr>
    </w:p>
    <w:p w:rsidR="00D8219C" w:rsidRPr="005F15DA" w:rsidRDefault="00D8219C" w:rsidP="00E67662">
      <w:pPr>
        <w:tabs>
          <w:tab w:val="left" w:pos="4536"/>
        </w:tabs>
      </w:pPr>
    </w:p>
    <w:p w:rsidR="005D70F9" w:rsidRPr="005F15DA" w:rsidRDefault="005D70F9" w:rsidP="00E67662">
      <w:pPr>
        <w:tabs>
          <w:tab w:val="left" w:pos="4536"/>
        </w:tabs>
      </w:pPr>
      <w:r w:rsidRPr="005F15DA">
        <w:t xml:space="preserve">Bei den </w:t>
      </w:r>
      <w:r w:rsidRPr="005F15DA">
        <w:rPr>
          <w:u w:val="single"/>
        </w:rPr>
        <w:t>Gesellschaften</w:t>
      </w:r>
      <w:r w:rsidRPr="005F15DA">
        <w:t xml:space="preserve"> stellt das OR folgende Varianten zur Verfügung: </w:t>
      </w:r>
    </w:p>
    <w:p w:rsidR="005D70F9" w:rsidRPr="005F15DA" w:rsidRDefault="005D70F9" w:rsidP="00E67662">
      <w:pPr>
        <w:tabs>
          <w:tab w:val="left" w:pos="4536"/>
        </w:tabs>
      </w:pPr>
      <w:r w:rsidRPr="005F15DA">
        <w:rPr>
          <w:b/>
        </w:rPr>
        <w:t>Handelsgesellschaften</w:t>
      </w:r>
      <w:r w:rsidRPr="005F15DA">
        <w:t xml:space="preserve"> </w:t>
      </w:r>
      <w:r w:rsidRPr="005F15DA">
        <w:tab/>
      </w:r>
      <w:r w:rsidRPr="005F15DA">
        <w:rPr>
          <w:b/>
        </w:rPr>
        <w:t>Genossenschaften</w:t>
      </w:r>
      <w:r w:rsidRPr="005F15DA">
        <w:t xml:space="preserve"> </w:t>
      </w:r>
    </w:p>
    <w:p w:rsidR="005D70F9" w:rsidRPr="005F15DA" w:rsidRDefault="005D70F9" w:rsidP="00E67662">
      <w:pPr>
        <w:tabs>
          <w:tab w:val="left" w:pos="4536"/>
        </w:tabs>
      </w:pPr>
      <w:r w:rsidRPr="005F15DA">
        <w:t xml:space="preserve">(wirtschaftliche Tätigkeit als Ziel) </w:t>
      </w:r>
      <w:r w:rsidRPr="005F15DA">
        <w:tab/>
        <w:t>(Selbsthilfeorganisation)</w:t>
      </w:r>
    </w:p>
    <w:p w:rsidR="005D70F9" w:rsidRPr="005F15DA" w:rsidRDefault="005D70F9" w:rsidP="00E67662">
      <w:pPr>
        <w:tabs>
          <w:tab w:val="left" w:pos="4536"/>
        </w:tabs>
      </w:pPr>
      <w:r w:rsidRPr="005F15DA">
        <w:tab/>
        <w:t>- Genossenschaft</w:t>
      </w:r>
    </w:p>
    <w:p w:rsidR="00D8219C" w:rsidRPr="005F15DA" w:rsidRDefault="00D8219C" w:rsidP="00E67662">
      <w:pPr>
        <w:tabs>
          <w:tab w:val="left" w:pos="4536"/>
        </w:tabs>
      </w:pPr>
    </w:p>
    <w:p w:rsidR="00D8219C" w:rsidRPr="005F15DA" w:rsidRDefault="00D8219C" w:rsidP="00E67662">
      <w:pPr>
        <w:tabs>
          <w:tab w:val="left" w:pos="4536"/>
        </w:tabs>
      </w:pPr>
    </w:p>
    <w:p w:rsidR="005D70F9" w:rsidRPr="005F15DA" w:rsidRDefault="005D70F9" w:rsidP="00E67662">
      <w:pPr>
        <w:tabs>
          <w:tab w:val="left" w:pos="4536"/>
        </w:tabs>
      </w:pPr>
      <w:r w:rsidRPr="005F15DA">
        <w:t xml:space="preserve">Bei den </w:t>
      </w:r>
      <w:r w:rsidRPr="005F15DA">
        <w:rPr>
          <w:u w:val="single"/>
        </w:rPr>
        <w:t>Handelsgesellschaften</w:t>
      </w:r>
      <w:r w:rsidRPr="005F15DA">
        <w:t xml:space="preserve"> wiederum stehen folgende Möglichkeiten zur Auswahl:</w:t>
      </w:r>
    </w:p>
    <w:p w:rsidR="005D70F9" w:rsidRPr="005F15DA" w:rsidRDefault="005D70F9" w:rsidP="00E67662">
      <w:pPr>
        <w:tabs>
          <w:tab w:val="left" w:pos="4536"/>
        </w:tabs>
      </w:pPr>
      <w:r w:rsidRPr="005F15DA">
        <w:rPr>
          <w:b/>
        </w:rPr>
        <w:t>Personengesellschaften</w:t>
      </w:r>
      <w:r w:rsidRPr="005F15DA">
        <w:t xml:space="preserve"> </w:t>
      </w:r>
      <w:r w:rsidRPr="005F15DA">
        <w:tab/>
      </w:r>
      <w:r w:rsidRPr="005F15DA">
        <w:rPr>
          <w:b/>
        </w:rPr>
        <w:t>Kapitalgesellschaften</w:t>
      </w:r>
      <w:r w:rsidRPr="005F15DA">
        <w:t xml:space="preserve"> </w:t>
      </w:r>
    </w:p>
    <w:p w:rsidR="005D70F9" w:rsidRPr="005F15DA" w:rsidRDefault="005D70F9" w:rsidP="00E67662">
      <w:pPr>
        <w:tabs>
          <w:tab w:val="left" w:pos="4536"/>
        </w:tabs>
      </w:pPr>
      <w:r w:rsidRPr="005F15DA">
        <w:t>(Die Person (als Gesellschafter) ist mass-</w:t>
      </w:r>
      <w:r w:rsidRPr="005F15DA">
        <w:tab/>
        <w:t>(Rechte und Pflichten des Gesellschafters</w:t>
      </w:r>
    </w:p>
    <w:p w:rsidR="005D70F9" w:rsidRPr="005F15DA" w:rsidRDefault="005D70F9" w:rsidP="00E67662">
      <w:pPr>
        <w:tabs>
          <w:tab w:val="left" w:pos="4536"/>
        </w:tabs>
      </w:pPr>
      <w:r w:rsidRPr="005F15DA">
        <w:t xml:space="preserve">gebend für dessen Rechte und Pflichten) </w:t>
      </w:r>
      <w:r w:rsidRPr="005F15DA">
        <w:tab/>
        <w:t xml:space="preserve">richten sich nach dem einbezahlten Kapital) </w:t>
      </w:r>
    </w:p>
    <w:p w:rsidR="005D70F9" w:rsidRPr="005F15DA" w:rsidRDefault="005D70F9" w:rsidP="00E67662">
      <w:pPr>
        <w:tabs>
          <w:tab w:val="left" w:pos="4536"/>
        </w:tabs>
      </w:pPr>
      <w:r w:rsidRPr="005F15DA">
        <w:t xml:space="preserve">- Kollektivgesellschaften (KG) </w:t>
      </w:r>
      <w:r w:rsidRPr="005F15DA">
        <w:tab/>
        <w:t xml:space="preserve">- Aktiengesellschaften (AG) </w:t>
      </w:r>
    </w:p>
    <w:p w:rsidR="005D70F9" w:rsidRPr="005F15DA" w:rsidRDefault="005D70F9" w:rsidP="00E67662">
      <w:pPr>
        <w:tabs>
          <w:tab w:val="left" w:pos="4536"/>
        </w:tabs>
      </w:pPr>
      <w:r w:rsidRPr="005F15DA">
        <w:t xml:space="preserve">- Kommanditgesellschaften (KmG) </w:t>
      </w:r>
      <w:r w:rsidRPr="005F15DA">
        <w:tab/>
        <w:t>- Gesellschaften mit beschränkter Haftung</w:t>
      </w:r>
    </w:p>
    <w:p w:rsidR="005D70F9" w:rsidRPr="005F15DA" w:rsidRDefault="005D70F9" w:rsidP="00E67662">
      <w:pPr>
        <w:tabs>
          <w:tab w:val="left" w:pos="4536"/>
        </w:tabs>
      </w:pPr>
      <w:r w:rsidRPr="005F15DA">
        <w:tab/>
        <w:t xml:space="preserve">  (GmbH) </w:t>
      </w:r>
    </w:p>
    <w:p w:rsidR="005D70F9" w:rsidRPr="005F15DA" w:rsidRDefault="005D70F9" w:rsidP="00E67662">
      <w:pPr>
        <w:tabs>
          <w:tab w:val="left" w:pos="4536"/>
        </w:tabs>
      </w:pPr>
      <w:r w:rsidRPr="005F15DA">
        <w:tab/>
        <w:t xml:space="preserve">- Kommanditaktiengesellschaften </w:t>
      </w:r>
    </w:p>
    <w:p w:rsidR="00D8219C" w:rsidRPr="005F15DA" w:rsidRDefault="00D8219C" w:rsidP="00E67662">
      <w:pPr>
        <w:tabs>
          <w:tab w:val="left" w:pos="4536"/>
        </w:tabs>
      </w:pPr>
    </w:p>
    <w:p w:rsidR="00D8219C" w:rsidRPr="005F15DA" w:rsidRDefault="00D8219C" w:rsidP="00E67662">
      <w:pPr>
        <w:tabs>
          <w:tab w:val="left" w:pos="4536"/>
        </w:tabs>
      </w:pPr>
    </w:p>
    <w:p w:rsidR="005D70F9" w:rsidRPr="005F15DA" w:rsidRDefault="005D70F9" w:rsidP="00E67662">
      <w:pPr>
        <w:tabs>
          <w:tab w:val="left" w:pos="4536"/>
        </w:tabs>
      </w:pPr>
      <w:r w:rsidRPr="005F15DA">
        <w:t>Neben den Unternehmungen des OR bestehen nach schweizerischem Recht die beiden juri</w:t>
      </w:r>
      <w:r w:rsidRPr="005F15DA">
        <w:t>s</w:t>
      </w:r>
      <w:r w:rsidRPr="005F15DA">
        <w:t>tischen Personen des ZGB, nämlich:</w:t>
      </w:r>
    </w:p>
    <w:p w:rsidR="005D70F9" w:rsidRPr="005F15DA" w:rsidRDefault="005D70F9" w:rsidP="00E67662">
      <w:pPr>
        <w:tabs>
          <w:tab w:val="left" w:pos="4536"/>
        </w:tabs>
      </w:pPr>
      <w:r w:rsidRPr="005F15DA">
        <w:t>Der Verein (Art. 60 ff. ZGB) und</w:t>
      </w:r>
      <w:r w:rsidRPr="005F15DA">
        <w:tab/>
        <w:t>Die Stiftung (Art. 80 ff. ZGB)</w:t>
      </w:r>
    </w:p>
    <w:p w:rsidR="00D8219C" w:rsidRPr="005F15DA" w:rsidRDefault="00D8219C" w:rsidP="00E67662">
      <w:pPr>
        <w:tabs>
          <w:tab w:val="left" w:pos="4536"/>
        </w:tabs>
      </w:pPr>
    </w:p>
    <w:p w:rsidR="00D8219C" w:rsidRPr="005F15DA" w:rsidRDefault="00D8219C" w:rsidP="00E67662">
      <w:pPr>
        <w:tabs>
          <w:tab w:val="left" w:pos="4536"/>
        </w:tabs>
      </w:pPr>
    </w:p>
    <w:p w:rsidR="005D70F9" w:rsidRPr="005F15DA" w:rsidRDefault="005D70F9" w:rsidP="00E67662">
      <w:r w:rsidRPr="005F15DA">
        <w:t>In jedem Kanton wird ein öffentliches Register (Handelsregister) geführt, in welches Unte</w:t>
      </w:r>
      <w:r w:rsidRPr="005F15DA">
        <w:t>r</w:t>
      </w:r>
      <w:r w:rsidRPr="005F15DA">
        <w:t xml:space="preserve">nehmungen eingetragen werden (Handelsregisteramt des Kantons Bern, Bern, </w:t>
      </w:r>
      <w:r w:rsidRPr="005F15DA">
        <w:lastRenderedPageBreak/>
        <w:t>www.hrabe.ch). Das Eidg. Amt für das Handelsregister in Bern führt zusätzlich ein Zentralr</w:t>
      </w:r>
      <w:r w:rsidRPr="005F15DA">
        <w:t>e</w:t>
      </w:r>
      <w:r w:rsidRPr="005F15DA">
        <w:t>gister (gesamte Schweiz). Jedermann kann ins Register und in die Belege Einsicht nehmen oder sich gegen Gebühr Registerauszüge erstellen lassen.</w:t>
      </w:r>
    </w:p>
    <w:p w:rsidR="00D8219C" w:rsidRPr="005F15DA" w:rsidRDefault="00D8219C" w:rsidP="00E67662"/>
    <w:p w:rsidR="00D8219C" w:rsidRPr="005F15DA" w:rsidRDefault="00D8219C" w:rsidP="00E67662"/>
    <w:p w:rsidR="005D70F9" w:rsidRPr="005F15DA" w:rsidRDefault="005D70F9" w:rsidP="00E67662">
      <w:pPr>
        <w:tabs>
          <w:tab w:val="left" w:pos="426"/>
        </w:tabs>
      </w:pPr>
      <w:r w:rsidRPr="005F15DA">
        <w:t xml:space="preserve">Im Handelsregister müssen / können unter </w:t>
      </w:r>
      <w:r w:rsidR="00E67662" w:rsidRPr="005F15DA">
        <w:t>a</w:t>
      </w:r>
      <w:r w:rsidRPr="005F15DA">
        <w:t>nderem folgende Gesellschaftsformen eingetr</w:t>
      </w:r>
      <w:r w:rsidRPr="005F15DA">
        <w:t>a</w:t>
      </w:r>
      <w:r w:rsidRPr="005F15DA">
        <w:t xml:space="preserve">gen werden: </w:t>
      </w:r>
    </w:p>
    <w:p w:rsidR="005D70F9" w:rsidRPr="005F15DA" w:rsidRDefault="005D70F9" w:rsidP="00E67662">
      <w:pPr>
        <w:tabs>
          <w:tab w:val="left" w:pos="426"/>
        </w:tabs>
      </w:pPr>
      <w:r w:rsidRPr="005F15DA">
        <w:t>-</w:t>
      </w:r>
      <w:r w:rsidRPr="005F15DA">
        <w:tab/>
        <w:t>Einzelfirmen (Art. 945 OR)</w:t>
      </w:r>
    </w:p>
    <w:p w:rsidR="005D70F9" w:rsidRPr="005F15DA" w:rsidRDefault="005D70F9" w:rsidP="00E67662">
      <w:pPr>
        <w:tabs>
          <w:tab w:val="left" w:pos="426"/>
        </w:tabs>
      </w:pPr>
      <w:r w:rsidRPr="005F15DA">
        <w:t>-</w:t>
      </w:r>
      <w:r w:rsidRPr="005F15DA">
        <w:tab/>
        <w:t xml:space="preserve">Kollektivgesellschaften (Art. 552 - 593 OR) </w:t>
      </w:r>
    </w:p>
    <w:p w:rsidR="005D70F9" w:rsidRPr="005F15DA" w:rsidRDefault="005D70F9" w:rsidP="00E67662">
      <w:pPr>
        <w:tabs>
          <w:tab w:val="left" w:pos="426"/>
        </w:tabs>
      </w:pPr>
      <w:r w:rsidRPr="005F15DA">
        <w:t>-</w:t>
      </w:r>
      <w:r w:rsidRPr="005F15DA">
        <w:tab/>
        <w:t xml:space="preserve">Kommanditgesellschaften (Art. 594 – 619 OR) </w:t>
      </w:r>
    </w:p>
    <w:p w:rsidR="005D70F9" w:rsidRPr="005F15DA" w:rsidRDefault="005D70F9" w:rsidP="00E67662">
      <w:pPr>
        <w:tabs>
          <w:tab w:val="left" w:pos="426"/>
        </w:tabs>
      </w:pPr>
      <w:r w:rsidRPr="005F15DA">
        <w:t>-</w:t>
      </w:r>
      <w:r w:rsidRPr="005F15DA">
        <w:tab/>
        <w:t xml:space="preserve">Aktiengesellschaften (Art. 620 - 763 OR) </w:t>
      </w:r>
    </w:p>
    <w:p w:rsidR="005D70F9" w:rsidRPr="005F15DA" w:rsidRDefault="005D70F9" w:rsidP="00E67662">
      <w:pPr>
        <w:tabs>
          <w:tab w:val="left" w:pos="426"/>
        </w:tabs>
      </w:pPr>
      <w:r w:rsidRPr="005F15DA">
        <w:t>-</w:t>
      </w:r>
      <w:r w:rsidRPr="005F15DA">
        <w:tab/>
        <w:t xml:space="preserve">Kommanditaktiengesellschaften (Art. 764 - 771 OR) </w:t>
      </w:r>
    </w:p>
    <w:p w:rsidR="005D70F9" w:rsidRPr="005F15DA" w:rsidRDefault="005D70F9" w:rsidP="00E67662">
      <w:pPr>
        <w:tabs>
          <w:tab w:val="left" w:pos="426"/>
        </w:tabs>
      </w:pPr>
      <w:r w:rsidRPr="005F15DA">
        <w:t>-</w:t>
      </w:r>
      <w:r w:rsidRPr="005F15DA">
        <w:tab/>
        <w:t xml:space="preserve">Gesellschaften mit beschränkter Haftung (Art. 772 – 827 OR) </w:t>
      </w:r>
    </w:p>
    <w:p w:rsidR="005D70F9" w:rsidRPr="005F15DA" w:rsidRDefault="005D70F9" w:rsidP="00E67662">
      <w:pPr>
        <w:tabs>
          <w:tab w:val="left" w:pos="426"/>
        </w:tabs>
      </w:pPr>
      <w:r w:rsidRPr="005F15DA">
        <w:t>-</w:t>
      </w:r>
      <w:r w:rsidRPr="005F15DA">
        <w:tab/>
        <w:t xml:space="preserve">Genossenschaften (Art. 828 – 926 OR) </w:t>
      </w:r>
    </w:p>
    <w:p w:rsidR="005D70F9" w:rsidRPr="005F15DA" w:rsidRDefault="005D70F9" w:rsidP="00E67662">
      <w:pPr>
        <w:tabs>
          <w:tab w:val="left" w:pos="426"/>
        </w:tabs>
      </w:pPr>
      <w:r w:rsidRPr="005F15DA">
        <w:t>-</w:t>
      </w:r>
      <w:r w:rsidRPr="005F15DA">
        <w:tab/>
        <w:t xml:space="preserve">Vereine (Art. 60 – 79 ZGB) </w:t>
      </w:r>
    </w:p>
    <w:p w:rsidR="005D70F9" w:rsidRPr="005F15DA" w:rsidRDefault="005D70F9" w:rsidP="00E67662">
      <w:pPr>
        <w:tabs>
          <w:tab w:val="left" w:pos="426"/>
        </w:tabs>
      </w:pPr>
      <w:r w:rsidRPr="005F15DA">
        <w:t>-</w:t>
      </w:r>
      <w:r w:rsidRPr="005F15DA">
        <w:tab/>
        <w:t xml:space="preserve">Stiftungen (Art. 80 – 89bis ZGB) </w:t>
      </w:r>
    </w:p>
    <w:p w:rsidR="00D8219C" w:rsidRPr="005F15DA" w:rsidRDefault="00D8219C" w:rsidP="00E67662">
      <w:pPr>
        <w:tabs>
          <w:tab w:val="left" w:pos="426"/>
        </w:tabs>
      </w:pPr>
    </w:p>
    <w:p w:rsidR="00D8219C" w:rsidRPr="005F15DA" w:rsidRDefault="00D8219C" w:rsidP="00E67662">
      <w:pPr>
        <w:tabs>
          <w:tab w:val="left" w:pos="426"/>
        </w:tabs>
      </w:pPr>
    </w:p>
    <w:p w:rsidR="005D70F9" w:rsidRPr="005F15DA" w:rsidRDefault="005D70F9" w:rsidP="00E67662">
      <w:pPr>
        <w:tabs>
          <w:tab w:val="left" w:pos="426"/>
        </w:tabs>
        <w:rPr>
          <w:spacing w:val="-3"/>
        </w:rPr>
      </w:pPr>
      <w:r w:rsidRPr="005F15DA">
        <w:rPr>
          <w:spacing w:val="-5"/>
        </w:rPr>
        <w:t>Für den Geschäftsverkehr mit Dritten besitzen die Gesellschaften (aber ohne die Einzelfirma) O</w:t>
      </w:r>
      <w:r w:rsidRPr="005F15DA">
        <w:rPr>
          <w:spacing w:val="-5"/>
        </w:rPr>
        <w:t>r</w:t>
      </w:r>
      <w:r w:rsidRPr="005F15DA">
        <w:rPr>
          <w:spacing w:val="-5"/>
        </w:rPr>
        <w:t xml:space="preserve">gane. Der zur Vertretung </w:t>
      </w:r>
      <w:r w:rsidRPr="005F15DA">
        <w:t>Befugte verpflichtet so mit seinem Handeln nicht sich selber, sondern die Mitgesellschafter bzw. die Gesellschaft als solche. Wer zur Vertretung ermächtigt ist, ric</w:t>
      </w:r>
      <w:r w:rsidRPr="005F15DA">
        <w:t>h</w:t>
      </w:r>
      <w:r w:rsidRPr="005F15DA">
        <w:t xml:space="preserve">tet sich nach dem </w:t>
      </w:r>
      <w:r w:rsidRPr="005F15DA">
        <w:rPr>
          <w:spacing w:val="-1"/>
        </w:rPr>
        <w:t>Gesellschaftsvertrag oder dem Gesetz. Bei den im Handelsregister eing</w:t>
      </w:r>
      <w:r w:rsidRPr="005F15DA">
        <w:rPr>
          <w:spacing w:val="-1"/>
        </w:rPr>
        <w:t>e</w:t>
      </w:r>
      <w:r w:rsidRPr="005F15DA">
        <w:rPr>
          <w:spacing w:val="-1"/>
        </w:rPr>
        <w:t xml:space="preserve">tragenen </w:t>
      </w:r>
      <w:r w:rsidRPr="005F15DA">
        <w:t>Unternehmungen sind die zeichnungsberechtigten Personen aus dem Register e</w:t>
      </w:r>
      <w:r w:rsidRPr="005F15DA">
        <w:t>r</w:t>
      </w:r>
      <w:r w:rsidRPr="005F15DA">
        <w:t xml:space="preserve">sichtlich </w:t>
      </w:r>
      <w:r w:rsidRPr="005F15DA">
        <w:rPr>
          <w:spacing w:val="-3"/>
        </w:rPr>
        <w:t>(Prokuristen, Direktoren, Verwaltungsräte, Geschäftsführer, usw.).</w:t>
      </w:r>
    </w:p>
    <w:p w:rsidR="00E67662" w:rsidRPr="005F15DA" w:rsidRDefault="00E67662" w:rsidP="00E67662">
      <w:pPr>
        <w:tabs>
          <w:tab w:val="left" w:pos="426"/>
        </w:tabs>
        <w:rPr>
          <w:spacing w:val="-3"/>
        </w:rPr>
      </w:pPr>
    </w:p>
    <w:p w:rsidR="005D70F9" w:rsidRPr="005F15DA" w:rsidRDefault="005D70F9" w:rsidP="00E67662">
      <w:pPr>
        <w:tabs>
          <w:tab w:val="left" w:pos="426"/>
        </w:tabs>
        <w:rPr>
          <w:spacing w:val="-3"/>
        </w:rPr>
      </w:pPr>
      <w:r w:rsidRPr="005F15DA">
        <w:rPr>
          <w:spacing w:val="-3"/>
        </w:rPr>
        <w:t>Allfällige Zweigniederlassungen werden im Handelsregister eingetragen.</w:t>
      </w:r>
    </w:p>
    <w:p w:rsidR="00D8219C" w:rsidRPr="005F15DA" w:rsidRDefault="00D8219C" w:rsidP="00E67662">
      <w:pPr>
        <w:tabs>
          <w:tab w:val="left" w:pos="426"/>
        </w:tabs>
      </w:pPr>
    </w:p>
    <w:p w:rsidR="00E67662" w:rsidRPr="005F15DA" w:rsidRDefault="00E67662" w:rsidP="00E67662">
      <w:pPr>
        <w:tabs>
          <w:tab w:val="left" w:pos="426"/>
        </w:tabs>
      </w:pPr>
    </w:p>
    <w:p w:rsidR="00E67662" w:rsidRPr="005F15DA" w:rsidRDefault="00E67662" w:rsidP="00E67662">
      <w:pPr>
        <w:tabs>
          <w:tab w:val="left" w:pos="426"/>
        </w:tabs>
      </w:pPr>
    </w:p>
    <w:p w:rsidR="00D8219C" w:rsidRPr="005F15DA" w:rsidRDefault="00D8219C" w:rsidP="00E67662">
      <w:pPr>
        <w:tabs>
          <w:tab w:val="left" w:pos="426"/>
        </w:tabs>
      </w:pPr>
    </w:p>
    <w:p w:rsidR="005D70F9" w:rsidRPr="005F15DA" w:rsidRDefault="00906BEF" w:rsidP="00E36E8F">
      <w:pPr>
        <w:pStyle w:val="berschrift2"/>
      </w:pPr>
      <w:bookmarkStart w:id="74" w:name="_Toc432175595"/>
      <w:r w:rsidRPr="005F15DA">
        <w:t xml:space="preserve">II. </w:t>
      </w:r>
      <w:r w:rsidR="005D70F9" w:rsidRPr="005F15DA">
        <w:t>Die einfache Gesellschaft</w:t>
      </w:r>
      <w:r w:rsidRPr="005F15DA">
        <w:t xml:space="preserve"> (Art. 530 - 551 OR)</w:t>
      </w:r>
      <w:bookmarkEnd w:id="74"/>
    </w:p>
    <w:p w:rsidR="00B11D0F" w:rsidRPr="005F15DA" w:rsidRDefault="00B11D0F" w:rsidP="00171DC2">
      <w:r w:rsidRPr="005F15DA">
        <w:t>_______________________________</w:t>
      </w:r>
      <w:r w:rsidR="00906BEF" w:rsidRPr="005F15DA">
        <w:t>_______________</w:t>
      </w:r>
      <w:r w:rsidR="00760946">
        <w:t>____________</w:t>
      </w:r>
    </w:p>
    <w:p w:rsidR="00963D86" w:rsidRPr="005F15DA" w:rsidRDefault="00963D86" w:rsidP="00963D86"/>
    <w:p w:rsidR="005D70F9" w:rsidRPr="005F15DA" w:rsidRDefault="005D70F9" w:rsidP="00963D86">
      <w:r w:rsidRPr="005F15DA">
        <w:t>Nicht im Gesellschaftsrecht sondern unten den einzelnen Vertragsverhältnissen ist die einf</w:t>
      </w:r>
      <w:r w:rsidRPr="005F15DA">
        <w:t>a</w:t>
      </w:r>
      <w:r w:rsidRPr="005F15DA">
        <w:t xml:space="preserve">che Gesellschaft geregelt. Sie ist aber die Grundform für die beiden Personengesellschaften, d.h. die Kollektivgesellschaft und die Kommanditgesellschaft. </w:t>
      </w:r>
    </w:p>
    <w:p w:rsidR="00963D86" w:rsidRPr="005F15DA" w:rsidRDefault="00963D86" w:rsidP="00963D86"/>
    <w:p w:rsidR="005D70F9" w:rsidRPr="005F15DA" w:rsidRDefault="005D70F9" w:rsidP="00963D86">
      <w:r w:rsidRPr="005F15DA">
        <w:t>Eine einfache Gesellschaft ergibt sich immer dann, wenn zwei oder mehrere Personen zur Erreichung eines gemeinsamen Zwecks mit gemeinsamen Kräften oder Mitteln sich mittels Vertrag verbinden (Art. 530 OR), sofern nicht die Voraussetzungen für eine Gesellschaft</w:t>
      </w:r>
      <w:r w:rsidRPr="005F15DA">
        <w:t>s</w:t>
      </w:r>
      <w:r w:rsidRPr="005F15DA">
        <w:t xml:space="preserve">form, insbesondere die Kollektivgesellschaft, zutreffen. </w:t>
      </w:r>
    </w:p>
    <w:p w:rsidR="00963D86" w:rsidRPr="005F15DA" w:rsidRDefault="00963D86" w:rsidP="00963D86"/>
    <w:p w:rsidR="005D70F9" w:rsidRPr="005F15DA" w:rsidRDefault="005D70F9" w:rsidP="00963D86">
      <w:r w:rsidRPr="005F15DA">
        <w:t>Typische Anwendungsbeispiele sind Konkubinatspartner, Arbeitsgemeinschaften von mehr</w:t>
      </w:r>
      <w:r w:rsidRPr="005F15DA">
        <w:t>e</w:t>
      </w:r>
      <w:r w:rsidRPr="005F15DA">
        <w:t xml:space="preserve">ren Baufirmen für ein einzelnes Projekt. Eine einfache Gesellschaft wird auch bereits gebildet, wenn zwei Kollegen zusammen für einen Ausflug ein Fahrzeug mieten. </w:t>
      </w:r>
    </w:p>
    <w:p w:rsidR="00963D86" w:rsidRPr="005F15DA" w:rsidRDefault="00963D86" w:rsidP="00963D86"/>
    <w:p w:rsidR="005D70F9" w:rsidRPr="005F15DA" w:rsidRDefault="005D70F9" w:rsidP="00963D86">
      <w:r w:rsidRPr="005F15DA">
        <w:lastRenderedPageBreak/>
        <w:t>Die einfache Gesellschaft hat keine eigene Rechtspersönlichkeit, ist keine Firma und kann weder betreiben noch betrieben werden, weder klagen noch eingeklagt noch im Handelsregi</w:t>
      </w:r>
      <w:r w:rsidRPr="005F15DA">
        <w:t>s</w:t>
      </w:r>
      <w:r w:rsidRPr="005F15DA">
        <w:t xml:space="preserve">ter eingetragen werden. </w:t>
      </w:r>
    </w:p>
    <w:p w:rsidR="00963D86" w:rsidRPr="005F15DA" w:rsidRDefault="00963D86" w:rsidP="00963D86"/>
    <w:p w:rsidR="005D70F9" w:rsidRPr="005F15DA" w:rsidRDefault="005D70F9" w:rsidP="00963D86">
      <w:r w:rsidRPr="005F15DA">
        <w:t xml:space="preserve">Ist nichts anderes vereinbart, haben die Gesellschafter gleiche Beträge, und zwar sowohl in der Art wie auch dem Umfange nach zu leisten (Art. 531 OR); dementsprechend werden auch Gewinn und Verlust nach Köpfen verteilt (Art. 533 OR). </w:t>
      </w:r>
    </w:p>
    <w:p w:rsidR="00963D86" w:rsidRPr="005F15DA" w:rsidRDefault="00963D86" w:rsidP="00963D86"/>
    <w:p w:rsidR="005D70F9" w:rsidRPr="005F15DA" w:rsidRDefault="005D70F9" w:rsidP="00963D86">
      <w:r w:rsidRPr="005F15DA">
        <w:t xml:space="preserve">Gesellschaftsbeschlüsse müssen einstimmig gefasst werden (Art. 534 OR), vertraglich kann aber Stimmenmehrheit beschlossen werden. Die Geschäftsführung steht, vorbehältlich einer anderen Vereinbarung, jedem Gesellschafter zu (Art. 535 OR). </w:t>
      </w:r>
    </w:p>
    <w:p w:rsidR="00963D86" w:rsidRPr="005F15DA" w:rsidRDefault="00963D86" w:rsidP="00963D86"/>
    <w:p w:rsidR="005D70F9" w:rsidRPr="005F15DA" w:rsidRDefault="005D70F9" w:rsidP="00963D86">
      <w:r w:rsidRPr="005F15DA">
        <w:t>Für Schulden der einfachen Gesellschaft haften die Gesellschafter vollumfänglich (unb</w:t>
      </w:r>
      <w:r w:rsidRPr="005F15DA">
        <w:t>e</w:t>
      </w:r>
      <w:r w:rsidRPr="005F15DA">
        <w:t>schränkt) und solidarisch mit ihrem gesamten Vermögen (Art. 544 Abs. 3 OR), d.h. der Glä</w:t>
      </w:r>
      <w:r w:rsidRPr="005F15DA">
        <w:t>u</w:t>
      </w:r>
      <w:r w:rsidRPr="005F15DA">
        <w:t>biger kann wählen, bei welchem Gesellschafter er seine</w:t>
      </w:r>
      <w:r w:rsidR="00963D86" w:rsidRPr="005F15DA">
        <w:t xml:space="preserve"> Forderung geltend machen will.</w:t>
      </w:r>
    </w:p>
    <w:p w:rsidR="00963D86" w:rsidRPr="005F15DA" w:rsidRDefault="00963D86" w:rsidP="00963D86"/>
    <w:p w:rsidR="005D70F9" w:rsidRPr="005F15DA" w:rsidRDefault="005D70F9" w:rsidP="00963D86">
      <w:r w:rsidRPr="005F15DA">
        <w:t xml:space="preserve">Die Gesellschaft wird aufgelöst (Art. 545 OR): </w:t>
      </w:r>
    </w:p>
    <w:p w:rsidR="005D70F9" w:rsidRPr="005F15DA" w:rsidRDefault="005D70F9" w:rsidP="009D34F3">
      <w:pPr>
        <w:pStyle w:val="Listenabsatz"/>
        <w:numPr>
          <w:ilvl w:val="0"/>
          <w:numId w:val="51"/>
        </w:numPr>
        <w:ind w:left="284" w:hanging="284"/>
      </w:pPr>
      <w:r w:rsidRPr="005F15DA">
        <w:t>wenn der Zweck, zu welchem sie abgeschlossen wurde, erreicht oder wenn dessen Erre</w:t>
      </w:r>
      <w:r w:rsidRPr="005F15DA">
        <w:t>i</w:t>
      </w:r>
      <w:r w:rsidRPr="005F15DA">
        <w:t xml:space="preserve">chung unmöglich geworden ist; </w:t>
      </w:r>
    </w:p>
    <w:p w:rsidR="005D70F9" w:rsidRPr="005F15DA" w:rsidRDefault="005D70F9" w:rsidP="009D34F3">
      <w:pPr>
        <w:pStyle w:val="Listenabsatz"/>
        <w:numPr>
          <w:ilvl w:val="0"/>
          <w:numId w:val="51"/>
        </w:numPr>
        <w:ind w:left="284" w:hanging="284"/>
      </w:pPr>
      <w:r w:rsidRPr="005F15DA">
        <w:t xml:space="preserve">wenn ein Gesellschafter stirbt und für diesen Fall nicht schon vorher vereinbart worden ist, dass die Gesellschaft mit den Erben fortbestehen soll; </w:t>
      </w:r>
    </w:p>
    <w:p w:rsidR="005D70F9" w:rsidRPr="005F15DA" w:rsidRDefault="005D70F9" w:rsidP="009D34F3">
      <w:pPr>
        <w:pStyle w:val="Listenabsatz"/>
        <w:numPr>
          <w:ilvl w:val="0"/>
          <w:numId w:val="51"/>
        </w:numPr>
        <w:ind w:left="284" w:hanging="284"/>
      </w:pPr>
      <w:r w:rsidRPr="005F15DA">
        <w:t xml:space="preserve">wenn der Liquidationsanteil eines Gesellschafters zur Zwangsverwertung gelangt oder ein Gesellschafter in Konkurs fällt oder bevormundet wird; </w:t>
      </w:r>
    </w:p>
    <w:p w:rsidR="005D70F9" w:rsidRPr="005F15DA" w:rsidRDefault="005D70F9" w:rsidP="009D34F3">
      <w:pPr>
        <w:pStyle w:val="Listenabsatz"/>
        <w:numPr>
          <w:ilvl w:val="0"/>
          <w:numId w:val="51"/>
        </w:numPr>
        <w:ind w:left="284" w:hanging="284"/>
      </w:pPr>
      <w:r w:rsidRPr="005F15DA">
        <w:t xml:space="preserve">durch gegenseitige Übereinkunft; </w:t>
      </w:r>
    </w:p>
    <w:p w:rsidR="005D70F9" w:rsidRPr="005F15DA" w:rsidRDefault="005D70F9" w:rsidP="009D34F3">
      <w:pPr>
        <w:pStyle w:val="Listenabsatz"/>
        <w:numPr>
          <w:ilvl w:val="0"/>
          <w:numId w:val="51"/>
        </w:numPr>
        <w:ind w:left="284" w:hanging="284"/>
      </w:pPr>
      <w:r w:rsidRPr="005F15DA">
        <w:t xml:space="preserve">durch Ablauf der Zeit, auf deren Dauer die Gesellschaft eingegangen worden ist; </w:t>
      </w:r>
    </w:p>
    <w:p w:rsidR="005D70F9" w:rsidRPr="005F15DA" w:rsidRDefault="005D70F9" w:rsidP="009D34F3">
      <w:pPr>
        <w:pStyle w:val="Listenabsatz"/>
        <w:numPr>
          <w:ilvl w:val="0"/>
          <w:numId w:val="51"/>
        </w:numPr>
        <w:ind w:left="284" w:hanging="284"/>
      </w:pPr>
      <w:r w:rsidRPr="005F15DA">
        <w:t>durch Kündigung von Seiten eines Gesellschafters, wenn eine solche im Gesellschaftsve</w:t>
      </w:r>
      <w:r w:rsidRPr="005F15DA">
        <w:t>r</w:t>
      </w:r>
      <w:r w:rsidRPr="005F15DA">
        <w:t xml:space="preserve">trag vorbehalten oder wenn die Gesellschaft auf unbestimmte Dauer oder auf Lebenszeit eines Gesellschafters eingegangen worden ist; </w:t>
      </w:r>
    </w:p>
    <w:p w:rsidR="005D70F9" w:rsidRPr="005F15DA" w:rsidRDefault="005D70F9" w:rsidP="009D34F3">
      <w:pPr>
        <w:pStyle w:val="Listenabsatz"/>
        <w:numPr>
          <w:ilvl w:val="0"/>
          <w:numId w:val="51"/>
        </w:numPr>
        <w:ind w:left="284" w:hanging="284"/>
      </w:pPr>
      <w:r w:rsidRPr="005F15DA">
        <w:t xml:space="preserve">durch Urteil des Richters im Falle der Auflösung aus einem wichtigen Grund. </w:t>
      </w:r>
    </w:p>
    <w:p w:rsidR="00963D86" w:rsidRPr="005F15DA" w:rsidRDefault="00963D86" w:rsidP="00963D86"/>
    <w:p w:rsidR="005D70F9" w:rsidRPr="005F15DA" w:rsidRDefault="005D70F9" w:rsidP="00963D86">
      <w:r w:rsidRPr="005F15DA">
        <w:t xml:space="preserve">Wurde die Gesellschaft auf unbestimmte Dauer angelegt, beträgt die Kündigungsfrist sechs Monate. </w:t>
      </w:r>
    </w:p>
    <w:p w:rsidR="00963D86" w:rsidRPr="005F15DA" w:rsidRDefault="00963D86" w:rsidP="00963D86"/>
    <w:p w:rsidR="005D70F9" w:rsidRPr="005F15DA" w:rsidRDefault="005D70F9" w:rsidP="00963D86">
      <w:r w:rsidRPr="005F15DA">
        <w:t>Ist ein Auflösungsgrund eingetreten, ist die einfache Gesellschaft zu liquidieren. Dabei gilt insbesondere festzuhalten, dass einem Gesellschafter, welcher Sachen in Natura eingebracht hat, kein Anspruch auf Herausgabe dieser Sachen zusteht. Das sich im Eigentum der einf</w:t>
      </w:r>
      <w:r w:rsidRPr="005F15DA">
        <w:t>a</w:t>
      </w:r>
      <w:r w:rsidRPr="005F15DA">
        <w:t xml:space="preserve">chen Gesellschaft befindliche Vermögen wird vielmehr versilbert. Vom Erlös werden vorab die Schulden getilgt, ein allfälliger Überschuss wird unter den Gesellschaftern verteilt. </w:t>
      </w:r>
    </w:p>
    <w:p w:rsidR="00D8219C" w:rsidRPr="005F15DA" w:rsidRDefault="00D8219C" w:rsidP="00963D86"/>
    <w:p w:rsidR="00963D86" w:rsidRPr="005F15DA" w:rsidRDefault="00963D86" w:rsidP="00963D86"/>
    <w:p w:rsidR="00963D86" w:rsidRPr="005F15DA" w:rsidRDefault="00963D86" w:rsidP="00963D86"/>
    <w:p w:rsidR="00D8219C" w:rsidRPr="005F15DA" w:rsidRDefault="00D8219C" w:rsidP="00963D86"/>
    <w:p w:rsidR="00E90D39" w:rsidRDefault="00E90D39">
      <w:pPr>
        <w:spacing w:after="200"/>
        <w:rPr>
          <w:rFonts w:eastAsiaTheme="majorEastAsia" w:cstheme="majorBidi"/>
          <w:b/>
          <w:bCs/>
          <w:color w:val="000000" w:themeColor="text1"/>
          <w:sz w:val="32"/>
          <w:szCs w:val="26"/>
        </w:rPr>
      </w:pPr>
      <w:r>
        <w:br w:type="page"/>
      </w:r>
    </w:p>
    <w:p w:rsidR="005D70F9" w:rsidRPr="005F15DA" w:rsidRDefault="00906BEF" w:rsidP="00E36E8F">
      <w:pPr>
        <w:pStyle w:val="berschrift2"/>
      </w:pPr>
      <w:bookmarkStart w:id="75" w:name="_Toc432175596"/>
      <w:r w:rsidRPr="005F15DA">
        <w:lastRenderedPageBreak/>
        <w:t xml:space="preserve">III. </w:t>
      </w:r>
      <w:r w:rsidR="005D70F9" w:rsidRPr="005F15DA">
        <w:t>Die Kollektivgesellschaft</w:t>
      </w:r>
      <w:r w:rsidRPr="005F15DA">
        <w:t xml:space="preserve"> (Art. 552 - 593 OR)</w:t>
      </w:r>
      <w:bookmarkEnd w:id="75"/>
    </w:p>
    <w:p w:rsidR="00EE0A0C" w:rsidRPr="005F15DA" w:rsidRDefault="00EE0A0C" w:rsidP="00EE0A0C">
      <w:r w:rsidRPr="005F15DA">
        <w:t>______________________________________________</w:t>
      </w:r>
      <w:r>
        <w:t>____________</w:t>
      </w:r>
    </w:p>
    <w:p w:rsidR="00963D86" w:rsidRPr="005F15DA" w:rsidRDefault="00963D86" w:rsidP="00963D86"/>
    <w:p w:rsidR="005D70F9" w:rsidRPr="005F15DA" w:rsidRDefault="005D70F9" w:rsidP="00963D86">
      <w:r w:rsidRPr="005F15DA">
        <w:t xml:space="preserve">Schliessen sich zwei oder mehr natürliche Personen zusammen, ohne Beschränkung ihrer Haftung gegenüber den Gesellschaftsgläubigern, um unter einer gemeinsamen Firma ein Handels-, ein Fabrikations- oder ein anderes nach kaufmännischer Art geführtes Gewerbe zu betreiben, so bilden sie eine Kollektivgesellschaft (Art. 552 OR). Juristische Personen können nicht Gesellschafter einer Kollektivgesellschaft werden. </w:t>
      </w:r>
    </w:p>
    <w:p w:rsidR="00963D86" w:rsidRPr="005F15DA" w:rsidRDefault="00963D86" w:rsidP="00963D86"/>
    <w:p w:rsidR="005D70F9" w:rsidRPr="005F15DA" w:rsidRDefault="005D70F9" w:rsidP="00963D86">
      <w:r w:rsidRPr="005F15DA">
        <w:t>Schliessen sich also zum Beispiel ein Maler und ein Gipser auf Dauer zusammen, um künft</w:t>
      </w:r>
      <w:r w:rsidRPr="005F15DA">
        <w:t>i</w:t>
      </w:r>
      <w:r w:rsidRPr="005F15DA">
        <w:t xml:space="preserve">ge Arbeiten gemeinsam und unter einem gemeinsamen Namen (Firma) zu erledigen, bilden sie eine Kollektivgesellschaft, nicht eine einfache Gesellschaft. </w:t>
      </w:r>
    </w:p>
    <w:p w:rsidR="00963D86" w:rsidRPr="005F15DA" w:rsidRDefault="00963D86" w:rsidP="00963D86"/>
    <w:p w:rsidR="005D70F9" w:rsidRPr="005F15DA" w:rsidRDefault="005D70F9" w:rsidP="00963D86">
      <w:r w:rsidRPr="005F15DA">
        <w:t xml:space="preserve">Soweit im Gesellschaftsvertrag oder im Gesetz keine abweichenden Regelungen getroffen worden sind, gelangen zusätzlich die gesetzlichen Bestimmungen der einfachen Gesellschaft (Art. 557 Abs. 2 OR) zur Anwendung. </w:t>
      </w:r>
    </w:p>
    <w:p w:rsidR="00963D86" w:rsidRPr="005F15DA" w:rsidRDefault="00963D86" w:rsidP="00963D86"/>
    <w:p w:rsidR="005D70F9" w:rsidRPr="005F15DA" w:rsidRDefault="005D70F9" w:rsidP="00963D86">
      <w:r w:rsidRPr="005F15DA">
        <w:t>Die Kollektivgesellschaft hat ebenfalls keine eigene Rechtspersönlichkeit.</w:t>
      </w:r>
    </w:p>
    <w:p w:rsidR="00963D86" w:rsidRPr="005F15DA" w:rsidRDefault="00963D86" w:rsidP="00963D86"/>
    <w:p w:rsidR="005D70F9" w:rsidRPr="005F15DA" w:rsidRDefault="005D70F9" w:rsidP="00963D86">
      <w:r w:rsidRPr="005F15DA">
        <w:t>Im Gegensatz zur einfachen Gesellschaft hat sie aber eine eigene Firma, welche sich aus den Familiennamen der Gesellschafter oder zumindest aus dem Familiennamen eines Gesel</w:t>
      </w:r>
      <w:r w:rsidRPr="005F15DA">
        <w:t>l</w:t>
      </w:r>
      <w:r w:rsidRPr="005F15DA">
        <w:t>schafters und einem auf das Gesellschaftsverhältnis hinweisenden Zusatz zusammensetzen muss. Sie kann auch betrieben und eingeklagt werden und muss im Handelsregister eing</w:t>
      </w:r>
      <w:r w:rsidRPr="005F15DA">
        <w:t>e</w:t>
      </w:r>
      <w:r w:rsidRPr="005F15DA">
        <w:t xml:space="preserve">tragen werden. Der Handelsregistereintrag ist aber rein deklaratorisch, d.h. die Gesellschaft existiert bereits vor dem Eintrag. </w:t>
      </w:r>
    </w:p>
    <w:p w:rsidR="00963D86" w:rsidRPr="005F15DA" w:rsidRDefault="00963D86" w:rsidP="00963D86"/>
    <w:p w:rsidR="005D70F9" w:rsidRPr="005F15DA" w:rsidRDefault="005D70F9" w:rsidP="00963D86">
      <w:r w:rsidRPr="005F15DA">
        <w:t>In Bezug auf das Verhältnis zwischen den Gesellschaftern gilt grundsätzlich dasselbe wie bei der einfachen Gesellschaft, jedoch haben die Gesellschafter auf dem von ihnen in die Gesel</w:t>
      </w:r>
      <w:r w:rsidRPr="005F15DA">
        <w:t>l</w:t>
      </w:r>
      <w:r w:rsidRPr="005F15DA">
        <w:t xml:space="preserve">schaft investierten Kapital Anspruch auf eine Verzinsung. Der Zinssatz beträgt, sofern nichts anderes vereinbart wurde, 4 % (Art. 558 OR). </w:t>
      </w:r>
    </w:p>
    <w:p w:rsidR="00963D86" w:rsidRPr="005F15DA" w:rsidRDefault="00963D86" w:rsidP="00963D86"/>
    <w:p w:rsidR="005D70F9" w:rsidRPr="005F15DA" w:rsidRDefault="005D70F9" w:rsidP="00963D86">
      <w:r w:rsidRPr="005F15DA">
        <w:t xml:space="preserve">Weiter gilt für die Gesellschafter ein gesetzliches Konkurrenzverbot (Art. 561 OR). </w:t>
      </w:r>
    </w:p>
    <w:p w:rsidR="00963D86" w:rsidRPr="005F15DA" w:rsidRDefault="00963D86" w:rsidP="00963D86"/>
    <w:p w:rsidR="005D70F9" w:rsidRPr="005F15DA" w:rsidRDefault="005D70F9" w:rsidP="00963D86">
      <w:r w:rsidRPr="005F15DA">
        <w:t>Bezüglich der Haftung gilt wie bei einfachen Gesellschaften, dass die Gesellschafter für die Schulden der Gesellschaft auch mit ihrem Privatvermögen unbeschränkt und solidarisch ha</w:t>
      </w:r>
      <w:r w:rsidRPr="005F15DA">
        <w:t>f</w:t>
      </w:r>
      <w:r w:rsidRPr="005F15DA">
        <w:t xml:space="preserve">ten, allerdings erst, nachdem ein allfälliges Gesellschaftsvermögen nicht zur Deckung der Schulden reicht. Primär haftet somit das Gesellschaftsvermögen, subsidiär die Gesellschafter mit ihrem Privatvermögen (Art. 568 OR). </w:t>
      </w:r>
    </w:p>
    <w:p w:rsidR="00963D86" w:rsidRPr="005F15DA" w:rsidRDefault="00963D86" w:rsidP="00963D86"/>
    <w:p w:rsidR="005D70F9" w:rsidRPr="005F15DA" w:rsidRDefault="005D70F9" w:rsidP="00963D86">
      <w:r w:rsidRPr="005F15DA">
        <w:t>Die Vertretung der Gesellschaft ergibt sich primär aus dem Handelsregistereintrag. Ist nichts geregelt, kann grundsätzlich jeder Gesellschafter die Gesellschaft mit Einzelunterschrift ve</w:t>
      </w:r>
      <w:r w:rsidRPr="005F15DA">
        <w:t>r</w:t>
      </w:r>
      <w:r w:rsidRPr="005F15DA">
        <w:t xml:space="preserve">treten. </w:t>
      </w:r>
    </w:p>
    <w:p w:rsidR="00963D86" w:rsidRPr="005F15DA" w:rsidRDefault="00963D86" w:rsidP="00963D86"/>
    <w:p w:rsidR="005D70F9" w:rsidRPr="005F15DA" w:rsidRDefault="005D70F9" w:rsidP="00963D86">
      <w:r w:rsidRPr="005F15DA">
        <w:t xml:space="preserve">Für die Auflösung der Kollektivgesellschaft gelten </w:t>
      </w:r>
      <w:r w:rsidR="002C3802" w:rsidRPr="005F15DA">
        <w:t>dieselben</w:t>
      </w:r>
      <w:r w:rsidRPr="005F15DA">
        <w:t xml:space="preserve"> Regeln, wie bei der einfachen Gesellschaft. Als zusätzlicher Auflösungsgrund kommt aber noch die Konkurseröffnung gegen die Kollektivgesellschaft dazu (Art. 574 OR). </w:t>
      </w:r>
    </w:p>
    <w:p w:rsidR="00D8219C" w:rsidRPr="005F15DA" w:rsidRDefault="00D8219C" w:rsidP="00963D86"/>
    <w:p w:rsidR="005D70F9" w:rsidRPr="005F15DA" w:rsidRDefault="00906BEF" w:rsidP="00E36E8F">
      <w:pPr>
        <w:pStyle w:val="berschrift2"/>
      </w:pPr>
      <w:bookmarkStart w:id="76" w:name="_Toc432175597"/>
      <w:r w:rsidRPr="005F15DA">
        <w:lastRenderedPageBreak/>
        <w:t xml:space="preserve">IV. </w:t>
      </w:r>
      <w:r w:rsidR="005D70F9" w:rsidRPr="005F15DA">
        <w:t>Die Kommanditgesellschaft</w:t>
      </w:r>
      <w:r w:rsidRPr="005F15DA">
        <w:t xml:space="preserve"> (Art. 594 - 619 OR)</w:t>
      </w:r>
      <w:bookmarkEnd w:id="76"/>
    </w:p>
    <w:p w:rsidR="00EE0A0C" w:rsidRPr="005F15DA" w:rsidRDefault="00EE0A0C" w:rsidP="00EE0A0C">
      <w:r w:rsidRPr="005F15DA">
        <w:t>______________________________________________</w:t>
      </w:r>
      <w:r>
        <w:t>____________</w:t>
      </w:r>
      <w:r w:rsidR="00E90D39">
        <w:t>____</w:t>
      </w:r>
    </w:p>
    <w:p w:rsidR="00963D86" w:rsidRPr="005F15DA" w:rsidRDefault="00963D86" w:rsidP="00963D86">
      <w:pPr>
        <w:tabs>
          <w:tab w:val="left" w:pos="426"/>
        </w:tabs>
      </w:pPr>
    </w:p>
    <w:p w:rsidR="005D70F9" w:rsidRPr="005F15DA" w:rsidRDefault="005D70F9" w:rsidP="00963D86">
      <w:pPr>
        <w:tabs>
          <w:tab w:val="left" w:pos="426"/>
        </w:tabs>
      </w:pPr>
      <w:r w:rsidRPr="005F15DA">
        <w:t>Schliessen sich zwei oder mehr Personen zusammen, um unter einer gemeinsamen Firma ein Handels-, ein Fabrikations- oder ein anderes nach kaufmännischer Art geführtes Gewerbe zu betreiben, so bilden sie eine Kommanditgesellschaft, wenn mindestens ein Mitglied unb</w:t>
      </w:r>
      <w:r w:rsidRPr="005F15DA">
        <w:t>e</w:t>
      </w:r>
      <w:r w:rsidRPr="005F15DA">
        <w:t>schränkt haftet, eines oder mehrere jedoch als Kommanditäre nur bis zu einem bestimmten Betrag haften (Art. 594 OR). Unbeschränkt haftende Mitglieder (= Komplementäre) können dabei nur natürliche Personen sein, juristische Personen können als Kommanditäre Gesel</w:t>
      </w:r>
      <w:r w:rsidRPr="005F15DA">
        <w:t>l</w:t>
      </w:r>
      <w:r w:rsidRPr="005F15DA">
        <w:t xml:space="preserve">schafter einer Kommanditgesellschaft werden. </w:t>
      </w:r>
    </w:p>
    <w:p w:rsidR="00963D86" w:rsidRPr="005F15DA" w:rsidRDefault="00963D86" w:rsidP="00963D86">
      <w:pPr>
        <w:tabs>
          <w:tab w:val="left" w:pos="426"/>
        </w:tabs>
      </w:pPr>
    </w:p>
    <w:p w:rsidR="005D70F9" w:rsidRPr="005F15DA" w:rsidRDefault="005D70F9" w:rsidP="00963D86">
      <w:pPr>
        <w:tabs>
          <w:tab w:val="left" w:pos="426"/>
        </w:tabs>
      </w:pPr>
      <w:r w:rsidRPr="005F15DA">
        <w:t>Soweit im Gesellschaftsvertrag oder im Gesetz keine abweichenden Regelungen getroffen worden sind, gelangen zusätzlich die gesetzlichen Bestimmungen der Kollektivgesellschaft (Art. 598 Abs. 2 OR) zur Anwendung, und somit indirekt auch diejenigen der einfachen G</w:t>
      </w:r>
      <w:r w:rsidRPr="005F15DA">
        <w:t>e</w:t>
      </w:r>
      <w:r w:rsidRPr="005F15DA">
        <w:t xml:space="preserve">sellschaft. </w:t>
      </w:r>
    </w:p>
    <w:p w:rsidR="00963D86" w:rsidRPr="005F15DA" w:rsidRDefault="00963D86" w:rsidP="00963D86">
      <w:pPr>
        <w:tabs>
          <w:tab w:val="left" w:pos="426"/>
        </w:tabs>
      </w:pPr>
    </w:p>
    <w:p w:rsidR="005D70F9" w:rsidRPr="005F15DA" w:rsidRDefault="005D70F9" w:rsidP="00963D86">
      <w:pPr>
        <w:tabs>
          <w:tab w:val="left" w:pos="426"/>
        </w:tabs>
      </w:pPr>
      <w:r w:rsidRPr="005F15DA">
        <w:t>Die Kommanditgesellschaft hat ebenfalls keine eigene Rechtspersönlichkeit.</w:t>
      </w:r>
    </w:p>
    <w:p w:rsidR="00963D86" w:rsidRPr="005F15DA" w:rsidRDefault="00963D86" w:rsidP="00963D86">
      <w:pPr>
        <w:tabs>
          <w:tab w:val="left" w:pos="426"/>
        </w:tabs>
      </w:pPr>
    </w:p>
    <w:p w:rsidR="005D70F9" w:rsidRPr="005F15DA" w:rsidRDefault="005D70F9" w:rsidP="00963D86">
      <w:pPr>
        <w:tabs>
          <w:tab w:val="left" w:pos="426"/>
        </w:tabs>
      </w:pPr>
      <w:r w:rsidRPr="005F15DA">
        <w:t>Sie hat aber eine eigene Firma, welche sich aus den Familiennamen der unbeschränkt ha</w:t>
      </w:r>
      <w:r w:rsidRPr="005F15DA">
        <w:t>f</w:t>
      </w:r>
      <w:r w:rsidRPr="005F15DA">
        <w:t>tenden Gesellschafter oder zumindest aus dem Familiennamen eines unbeschränkt hafte</w:t>
      </w:r>
      <w:r w:rsidRPr="005F15DA">
        <w:t>n</w:t>
      </w:r>
      <w:r w:rsidRPr="005F15DA">
        <w:t>den Gesellschafters und einem auf das Gesellschaftsverhältnis hinweisenden Zusatz zusa</w:t>
      </w:r>
      <w:r w:rsidRPr="005F15DA">
        <w:t>m</w:t>
      </w:r>
      <w:r w:rsidRPr="005F15DA">
        <w:t>mensetzen muss. Die Familiennamen der beschränkt haftenden Gesellschafter (= Kommand</w:t>
      </w:r>
      <w:r w:rsidRPr="005F15DA">
        <w:t>i</w:t>
      </w:r>
      <w:r w:rsidRPr="005F15DA">
        <w:t>täre) dürfen nicht in der Firma verwendet werden (Art. 706 OR), sonst haften diese ebenfalls unbeschränkt.</w:t>
      </w:r>
    </w:p>
    <w:p w:rsidR="00963D86" w:rsidRPr="005F15DA" w:rsidRDefault="00963D86" w:rsidP="00963D86">
      <w:pPr>
        <w:tabs>
          <w:tab w:val="left" w:pos="426"/>
        </w:tabs>
      </w:pPr>
    </w:p>
    <w:p w:rsidR="005D70F9" w:rsidRPr="005F15DA" w:rsidRDefault="005D70F9" w:rsidP="00963D86">
      <w:pPr>
        <w:tabs>
          <w:tab w:val="left" w:pos="426"/>
        </w:tabs>
      </w:pPr>
      <w:r w:rsidRPr="005F15DA">
        <w:t>Die Kommanditgesellschaft kann auch betrieben und eingeklagt werden und muss im Ha</w:t>
      </w:r>
      <w:r w:rsidRPr="005F15DA">
        <w:t>n</w:t>
      </w:r>
      <w:r w:rsidRPr="005F15DA">
        <w:t xml:space="preserve">delsregister eingetragen werden. Der Handelsregistereintrag ist aber rein deklaratorisch, d.h. die Gesellschaft existiert bereits vor dem Eintrag, ausser die Gesellschaft führt kein nach kaufmännischer Art geführtes Gewerbe, in dem Fall ist der Handelsregistereintrag konstitutiv, d.h. die Gesellschaft entsteht erst mit dem Eintrag. </w:t>
      </w:r>
    </w:p>
    <w:p w:rsidR="00963D86" w:rsidRPr="005F15DA" w:rsidRDefault="00963D86" w:rsidP="00963D86">
      <w:pPr>
        <w:tabs>
          <w:tab w:val="left" w:pos="426"/>
        </w:tabs>
      </w:pPr>
    </w:p>
    <w:p w:rsidR="005D70F9" w:rsidRPr="005F15DA" w:rsidRDefault="005D70F9" w:rsidP="00963D86">
      <w:pPr>
        <w:tabs>
          <w:tab w:val="left" w:pos="426"/>
        </w:tabs>
      </w:pPr>
      <w:r w:rsidRPr="005F15DA">
        <w:t xml:space="preserve">In Bezug auf das Verhältnis zwischen den Gesellschaftern gilt grundsätzlich dasselbe wie bei der Kollektivgesellschaft, jedoch haben die Kommanditäre nur Anspruch auf Auszahlung von Zinsen und Gewinnen, wenn dadurch die Kommanditsumme nicht vermindert wird (Art. 611 OR). </w:t>
      </w:r>
    </w:p>
    <w:p w:rsidR="00963D86" w:rsidRPr="005F15DA" w:rsidRDefault="00963D86" w:rsidP="00963D86">
      <w:pPr>
        <w:tabs>
          <w:tab w:val="left" w:pos="426"/>
        </w:tabs>
      </w:pPr>
    </w:p>
    <w:p w:rsidR="005D70F9" w:rsidRPr="005F15DA" w:rsidRDefault="005D70F9" w:rsidP="00963D86">
      <w:pPr>
        <w:tabs>
          <w:tab w:val="left" w:pos="426"/>
        </w:tabs>
      </w:pPr>
      <w:r w:rsidRPr="005F15DA">
        <w:t>Bezüglich der Haftung für Schulden der Kommanditgesellschaft gilt zwischen den Kompl</w:t>
      </w:r>
      <w:r w:rsidRPr="005F15DA">
        <w:t>e</w:t>
      </w:r>
      <w:r w:rsidRPr="005F15DA">
        <w:t>mentären und den Kommanditären zu unterscheiden:</w:t>
      </w:r>
    </w:p>
    <w:p w:rsidR="005D70F9" w:rsidRPr="005F15DA" w:rsidRDefault="005D70F9" w:rsidP="00963D86">
      <w:pPr>
        <w:tabs>
          <w:tab w:val="left" w:pos="426"/>
        </w:tabs>
        <w:ind w:left="426" w:hanging="426"/>
      </w:pPr>
      <w:r w:rsidRPr="005F15DA">
        <w:t>-</w:t>
      </w:r>
      <w:r w:rsidRPr="005F15DA">
        <w:tab/>
      </w:r>
      <w:r w:rsidRPr="005F15DA">
        <w:rPr>
          <w:b/>
        </w:rPr>
        <w:t>Komplementäre</w:t>
      </w:r>
      <w:r w:rsidRPr="005F15DA">
        <w:t xml:space="preserve"> haften wie die Gesellschafter der Kollektivgesellschaft, d.h. primär mit dem Gesellschaftsvermögen, subsidiär persönlich, unbeschränkt und solidarisch (Art. 604 OR);</w:t>
      </w:r>
    </w:p>
    <w:p w:rsidR="005D70F9" w:rsidRPr="005F15DA" w:rsidRDefault="005D70F9" w:rsidP="00963D86">
      <w:pPr>
        <w:tabs>
          <w:tab w:val="left" w:pos="426"/>
        </w:tabs>
        <w:ind w:left="426" w:hanging="426"/>
      </w:pPr>
      <w:r w:rsidRPr="005F15DA">
        <w:t>-</w:t>
      </w:r>
      <w:r w:rsidRPr="005F15DA">
        <w:tab/>
      </w:r>
      <w:r w:rsidRPr="005F15DA">
        <w:rPr>
          <w:b/>
        </w:rPr>
        <w:t>Kommanditäre</w:t>
      </w:r>
      <w:r w:rsidRPr="005F15DA">
        <w:t xml:space="preserve"> dagegen haften normalerweise Dritten gegenüber nur mit der im Ha</w:t>
      </w:r>
      <w:r w:rsidRPr="005F15DA">
        <w:t>n</w:t>
      </w:r>
      <w:r w:rsidRPr="005F15DA">
        <w:t>delsregister eingetragenen Kommanditsumme (Art. 608 OR).</w:t>
      </w:r>
    </w:p>
    <w:p w:rsidR="00963D86" w:rsidRPr="005F15DA" w:rsidRDefault="00963D86" w:rsidP="00963D86">
      <w:pPr>
        <w:tabs>
          <w:tab w:val="left" w:pos="426"/>
        </w:tabs>
      </w:pPr>
    </w:p>
    <w:p w:rsidR="005D70F9" w:rsidRPr="005F15DA" w:rsidRDefault="005D70F9" w:rsidP="00963D86">
      <w:pPr>
        <w:tabs>
          <w:tab w:val="left" w:pos="426"/>
        </w:tabs>
      </w:pPr>
      <w:r w:rsidRPr="005F15DA">
        <w:t>Die Vertretung der Gesellschaft ergibt sich primär aus dem Handelsregistereintrag. Ist nichts geregelt, kann grundsätzlich jeder Komplementär die Gesellschaft mit Einzelunterschrift ve</w:t>
      </w:r>
      <w:r w:rsidRPr="005F15DA">
        <w:t>r</w:t>
      </w:r>
      <w:r w:rsidRPr="005F15DA">
        <w:lastRenderedPageBreak/>
        <w:t xml:space="preserve">treten (Art. 603 OR). Die Kommanditäre sind von Gesetzes wegen nicht zur Geschäftsführung legitimiert. </w:t>
      </w:r>
    </w:p>
    <w:p w:rsidR="00963D86" w:rsidRPr="005F15DA" w:rsidRDefault="00963D86" w:rsidP="00963D86">
      <w:pPr>
        <w:tabs>
          <w:tab w:val="left" w:pos="426"/>
        </w:tabs>
      </w:pPr>
    </w:p>
    <w:p w:rsidR="005D70F9" w:rsidRPr="005F15DA" w:rsidRDefault="005D70F9" w:rsidP="00963D86">
      <w:pPr>
        <w:tabs>
          <w:tab w:val="left" w:pos="426"/>
        </w:tabs>
      </w:pPr>
      <w:r w:rsidRPr="005F15DA">
        <w:t xml:space="preserve">Für die Auflösung der Kommanditgesellschaft gelten die </w:t>
      </w:r>
      <w:r w:rsidR="00963D86" w:rsidRPr="005F15DA">
        <w:t>gleichen</w:t>
      </w:r>
      <w:r w:rsidRPr="005F15DA">
        <w:t xml:space="preserve"> Regeln, wie bei der Kolle</w:t>
      </w:r>
      <w:r w:rsidRPr="005F15DA">
        <w:t>k</w:t>
      </w:r>
      <w:r w:rsidRPr="005F15DA">
        <w:t xml:space="preserve">tivgesellschaft (Art. 619 OR). </w:t>
      </w:r>
    </w:p>
    <w:p w:rsidR="00D8219C" w:rsidRPr="005F15DA" w:rsidRDefault="00D8219C" w:rsidP="00963D86">
      <w:pPr>
        <w:tabs>
          <w:tab w:val="left" w:pos="426"/>
        </w:tabs>
      </w:pPr>
    </w:p>
    <w:p w:rsidR="00963D86" w:rsidRPr="005F15DA" w:rsidRDefault="00963D86" w:rsidP="00963D86">
      <w:pPr>
        <w:tabs>
          <w:tab w:val="left" w:pos="426"/>
        </w:tabs>
      </w:pPr>
    </w:p>
    <w:p w:rsidR="00963D86" w:rsidRPr="005F15DA" w:rsidRDefault="00963D86" w:rsidP="00963D86">
      <w:pPr>
        <w:tabs>
          <w:tab w:val="left" w:pos="426"/>
        </w:tabs>
      </w:pPr>
    </w:p>
    <w:p w:rsidR="00D8219C" w:rsidRPr="005F15DA" w:rsidRDefault="00D8219C" w:rsidP="00963D86">
      <w:pPr>
        <w:tabs>
          <w:tab w:val="left" w:pos="426"/>
        </w:tabs>
      </w:pPr>
    </w:p>
    <w:p w:rsidR="005D70F9" w:rsidRPr="005F15DA" w:rsidRDefault="00906BEF" w:rsidP="00E36E8F">
      <w:pPr>
        <w:pStyle w:val="berschrift2"/>
      </w:pPr>
      <w:bookmarkStart w:id="77" w:name="_Toc432175598"/>
      <w:r w:rsidRPr="005F15DA">
        <w:t xml:space="preserve">V. </w:t>
      </w:r>
      <w:r w:rsidR="005D70F9" w:rsidRPr="005F15DA">
        <w:t>Die Aktiengesellschaft</w:t>
      </w:r>
      <w:r w:rsidRPr="005F15DA">
        <w:t xml:space="preserve"> (Art. 620 - 763 OR)</w:t>
      </w:r>
      <w:bookmarkEnd w:id="77"/>
    </w:p>
    <w:p w:rsidR="00EE0A0C" w:rsidRPr="005F15DA" w:rsidRDefault="00EE0A0C" w:rsidP="00EE0A0C">
      <w:r w:rsidRPr="005F15DA">
        <w:t>______________________________________________</w:t>
      </w:r>
      <w:r w:rsidR="00E90D39">
        <w:t>_________</w:t>
      </w:r>
    </w:p>
    <w:p w:rsidR="00963D86" w:rsidRDefault="00963D86" w:rsidP="00963D86"/>
    <w:p w:rsidR="00E90D39" w:rsidRPr="005F15DA" w:rsidRDefault="00E90D39" w:rsidP="00963D86"/>
    <w:p w:rsidR="005D70F9" w:rsidRPr="005F15DA" w:rsidRDefault="00227798" w:rsidP="00963D86">
      <w:pPr>
        <w:pStyle w:val="berschrift3"/>
        <w:rPr>
          <w:lang w:val="de-CH"/>
        </w:rPr>
      </w:pPr>
      <w:bookmarkStart w:id="78" w:name="_Toc432175599"/>
      <w:r w:rsidRPr="005F15DA">
        <w:rPr>
          <w:lang w:val="de-CH"/>
        </w:rPr>
        <w:t>A</w:t>
      </w:r>
      <w:r w:rsidR="00963D86" w:rsidRPr="005F15DA">
        <w:rPr>
          <w:lang w:val="de-CH"/>
        </w:rPr>
        <w:t>.</w:t>
      </w:r>
      <w:r w:rsidR="00963D86" w:rsidRPr="005F15DA">
        <w:rPr>
          <w:lang w:val="de-CH"/>
        </w:rPr>
        <w:tab/>
      </w:r>
      <w:r w:rsidR="005D70F9" w:rsidRPr="005F15DA">
        <w:rPr>
          <w:lang w:val="de-CH"/>
        </w:rPr>
        <w:t>Allgemeines</w:t>
      </w:r>
      <w:bookmarkEnd w:id="78"/>
      <w:r w:rsidR="005D70F9" w:rsidRPr="005F15DA">
        <w:rPr>
          <w:lang w:val="de-CH"/>
        </w:rPr>
        <w:t xml:space="preserve"> </w:t>
      </w:r>
    </w:p>
    <w:p w:rsidR="00963D86" w:rsidRPr="005F15DA" w:rsidRDefault="00963D86" w:rsidP="00227798"/>
    <w:p w:rsidR="005D70F9" w:rsidRPr="005F15DA" w:rsidRDefault="005D70F9" w:rsidP="00227798">
      <w:r w:rsidRPr="005F15DA">
        <w:t xml:space="preserve">Die Aktiengesellschaft ist eine Gesellschaft (juristische Person) mit eigener Firma, deren </w:t>
      </w:r>
      <w:r w:rsidR="002C3802" w:rsidRPr="005F15DA">
        <w:t>zum Voraus</w:t>
      </w:r>
      <w:r w:rsidRPr="005F15DA">
        <w:t xml:space="preserve"> bestimmtes Kapital (Aktienkapital) in Teilsummen (Aktien) zerlegt ist und für deren Verbindlichkeiten nur das Gesellschaftsvermögen haftet (Art. 620). Die Aktionäre haften somit für Schulden der Gesellschaft nicht persönlich. </w:t>
      </w:r>
    </w:p>
    <w:p w:rsidR="00963D86" w:rsidRPr="005F15DA" w:rsidRDefault="00963D86" w:rsidP="00227798"/>
    <w:p w:rsidR="005D70F9" w:rsidRPr="005F15DA" w:rsidRDefault="005D70F9" w:rsidP="00227798">
      <w:r w:rsidRPr="005F15DA">
        <w:t>Die Aktiengesellschaft ist eine juristische Person mit eigener Rechts- und Handlungsfähigkeit. Die AG erlangt die Rechtspersönlichkeit mit dem Eintrag im Handelsregister.</w:t>
      </w:r>
    </w:p>
    <w:p w:rsidR="00963D86" w:rsidRPr="005F15DA" w:rsidRDefault="00963D86" w:rsidP="00227798"/>
    <w:p w:rsidR="00963D86" w:rsidRPr="005F15DA" w:rsidRDefault="00963D86" w:rsidP="00227798"/>
    <w:p w:rsidR="005D70F9" w:rsidRPr="005F15DA" w:rsidRDefault="00227798" w:rsidP="00227798">
      <w:pPr>
        <w:pStyle w:val="berschrift3"/>
        <w:rPr>
          <w:lang w:val="de-CH"/>
        </w:rPr>
      </w:pPr>
      <w:bookmarkStart w:id="79" w:name="_Toc432175600"/>
      <w:r w:rsidRPr="005F15DA">
        <w:rPr>
          <w:lang w:val="de-CH"/>
        </w:rPr>
        <w:t>B</w:t>
      </w:r>
      <w:r w:rsidR="00963D86" w:rsidRPr="005F15DA">
        <w:rPr>
          <w:lang w:val="de-CH"/>
        </w:rPr>
        <w:t>.</w:t>
      </w:r>
      <w:r w:rsidR="00963D86" w:rsidRPr="005F15DA">
        <w:rPr>
          <w:lang w:val="de-CH"/>
        </w:rPr>
        <w:tab/>
      </w:r>
      <w:r w:rsidR="005D70F9" w:rsidRPr="005F15DA">
        <w:rPr>
          <w:lang w:val="de-CH"/>
        </w:rPr>
        <w:t>Statuten</w:t>
      </w:r>
      <w:bookmarkEnd w:id="79"/>
    </w:p>
    <w:p w:rsidR="00227798" w:rsidRPr="005F15DA" w:rsidRDefault="00227798" w:rsidP="00227798">
      <w:pPr>
        <w:tabs>
          <w:tab w:val="left" w:pos="426"/>
        </w:tabs>
      </w:pPr>
    </w:p>
    <w:p w:rsidR="005D70F9" w:rsidRPr="005F15DA" w:rsidRDefault="005D70F9" w:rsidP="00227798">
      <w:pPr>
        <w:tabs>
          <w:tab w:val="left" w:pos="426"/>
        </w:tabs>
      </w:pPr>
      <w:r w:rsidRPr="005F15DA">
        <w:t>Die rechtliche Organisation der Aktiengesellschaft wird in den Statuten geregelt. Diese mü</w:t>
      </w:r>
      <w:r w:rsidRPr="005F15DA">
        <w:t>s</w:t>
      </w:r>
      <w:r w:rsidRPr="005F15DA">
        <w:t xml:space="preserve">sen mindestens den folgenden </w:t>
      </w:r>
      <w:r w:rsidRPr="005F15DA">
        <w:rPr>
          <w:u w:val="single"/>
        </w:rPr>
        <w:t>Inhalt</w:t>
      </w:r>
      <w:r w:rsidRPr="005F15DA">
        <w:t xml:space="preserve"> aufweisen (Art. 626 OR): </w:t>
      </w:r>
    </w:p>
    <w:p w:rsidR="005D70F9" w:rsidRPr="005F15DA" w:rsidRDefault="005D70F9" w:rsidP="00227798">
      <w:pPr>
        <w:tabs>
          <w:tab w:val="left" w:pos="426"/>
        </w:tabs>
      </w:pPr>
      <w:r w:rsidRPr="005F15DA">
        <w:t>-</w:t>
      </w:r>
      <w:r w:rsidRPr="005F15DA">
        <w:tab/>
        <w:t xml:space="preserve">Die Firma und den Sitz der Gesellschaft; </w:t>
      </w:r>
    </w:p>
    <w:p w:rsidR="005D70F9" w:rsidRPr="005F15DA" w:rsidRDefault="005D70F9" w:rsidP="00227798">
      <w:pPr>
        <w:tabs>
          <w:tab w:val="left" w:pos="426"/>
        </w:tabs>
      </w:pPr>
      <w:r w:rsidRPr="005F15DA">
        <w:t>-</w:t>
      </w:r>
      <w:r w:rsidRPr="005F15DA">
        <w:tab/>
        <w:t xml:space="preserve">den Zweck der Gesellschaft; </w:t>
      </w:r>
    </w:p>
    <w:p w:rsidR="005D70F9" w:rsidRPr="005F15DA" w:rsidRDefault="005D70F9" w:rsidP="00227798">
      <w:pPr>
        <w:tabs>
          <w:tab w:val="left" w:pos="426"/>
        </w:tabs>
        <w:ind w:left="426" w:hanging="426"/>
      </w:pPr>
      <w:r w:rsidRPr="005F15DA">
        <w:t>-</w:t>
      </w:r>
      <w:r w:rsidRPr="005F15DA">
        <w:tab/>
        <w:t>die Höhe des Aktienkapitals und den Betrag der darauf geleisteten Einlagen (= Liberi</w:t>
      </w:r>
      <w:r w:rsidRPr="005F15DA">
        <w:t>e</w:t>
      </w:r>
      <w:r w:rsidRPr="005F15DA">
        <w:t xml:space="preserve">rung); </w:t>
      </w:r>
    </w:p>
    <w:p w:rsidR="005D70F9" w:rsidRPr="005F15DA" w:rsidRDefault="005D70F9" w:rsidP="00227798">
      <w:pPr>
        <w:tabs>
          <w:tab w:val="left" w:pos="426"/>
        </w:tabs>
      </w:pPr>
      <w:r w:rsidRPr="005F15DA">
        <w:t>-</w:t>
      </w:r>
      <w:r w:rsidRPr="005F15DA">
        <w:tab/>
        <w:t xml:space="preserve">Anzahl, Nennwert und Art der Aktien; </w:t>
      </w:r>
    </w:p>
    <w:p w:rsidR="005D70F9" w:rsidRPr="005F15DA" w:rsidRDefault="005D70F9" w:rsidP="00227798">
      <w:pPr>
        <w:tabs>
          <w:tab w:val="left" w:pos="426"/>
        </w:tabs>
      </w:pPr>
      <w:r w:rsidRPr="005F15DA">
        <w:t>-</w:t>
      </w:r>
      <w:r w:rsidRPr="005F15DA">
        <w:tab/>
        <w:t xml:space="preserve">die Einberufung der Generalversammlung und das Stimmrecht der Aktionäre; </w:t>
      </w:r>
    </w:p>
    <w:p w:rsidR="005D70F9" w:rsidRPr="005F15DA" w:rsidRDefault="005D70F9" w:rsidP="00227798">
      <w:pPr>
        <w:tabs>
          <w:tab w:val="left" w:pos="426"/>
        </w:tabs>
      </w:pPr>
      <w:r w:rsidRPr="005F15DA">
        <w:t>-</w:t>
      </w:r>
      <w:r w:rsidRPr="005F15DA">
        <w:tab/>
        <w:t xml:space="preserve">die Organe für die Verwaltung (= Verwaltungsrat) und für die Revision (= Revisionsstelle); </w:t>
      </w:r>
    </w:p>
    <w:p w:rsidR="005D70F9" w:rsidRPr="005F15DA" w:rsidRDefault="005D70F9" w:rsidP="00227798">
      <w:pPr>
        <w:tabs>
          <w:tab w:val="left" w:pos="426"/>
        </w:tabs>
      </w:pPr>
      <w:r w:rsidRPr="005F15DA">
        <w:t>-</w:t>
      </w:r>
      <w:r w:rsidRPr="005F15DA">
        <w:tab/>
        <w:t xml:space="preserve">die Form der von der Gesellschaft ausgehenden Mitteilungen. </w:t>
      </w:r>
    </w:p>
    <w:p w:rsidR="00227798" w:rsidRPr="005F15DA" w:rsidRDefault="00227798" w:rsidP="00227798">
      <w:pPr>
        <w:tabs>
          <w:tab w:val="left" w:pos="426"/>
        </w:tabs>
      </w:pPr>
    </w:p>
    <w:p w:rsidR="005D70F9" w:rsidRPr="005F15DA" w:rsidRDefault="005D70F9" w:rsidP="00227798">
      <w:pPr>
        <w:tabs>
          <w:tab w:val="left" w:pos="426"/>
        </w:tabs>
      </w:pPr>
      <w:r w:rsidRPr="005F15DA">
        <w:t xml:space="preserve">Dabei handelt es sich um den minimalen Inhalt. Die Statuten müssen zudem folgende Punkte enthalten, damit die entsprechenden Bestimmungen gültig sind (Art. 627 und 628 OR): </w:t>
      </w:r>
    </w:p>
    <w:p w:rsidR="005D70F9" w:rsidRPr="005F15DA" w:rsidRDefault="005D70F9" w:rsidP="00227798">
      <w:pPr>
        <w:tabs>
          <w:tab w:val="left" w:pos="426"/>
        </w:tabs>
      </w:pPr>
      <w:r w:rsidRPr="005F15DA">
        <w:t>-</w:t>
      </w:r>
      <w:r w:rsidRPr="005F15DA">
        <w:tab/>
        <w:t>Die Änderung der Statuten, soweit sie von den gesetzlichen Bestimmungen abweichen;</w:t>
      </w:r>
    </w:p>
    <w:p w:rsidR="005D70F9" w:rsidRPr="005F15DA" w:rsidRDefault="005D70F9" w:rsidP="00227798">
      <w:pPr>
        <w:tabs>
          <w:tab w:val="left" w:pos="426"/>
        </w:tabs>
      </w:pPr>
      <w:r w:rsidRPr="005F15DA">
        <w:t>-</w:t>
      </w:r>
      <w:r w:rsidRPr="005F15DA">
        <w:tab/>
        <w:t>die Ausrichtung von Tantiemen;</w:t>
      </w:r>
    </w:p>
    <w:p w:rsidR="005D70F9" w:rsidRPr="005F15DA" w:rsidRDefault="005D70F9" w:rsidP="00227798">
      <w:pPr>
        <w:tabs>
          <w:tab w:val="left" w:pos="426"/>
        </w:tabs>
      </w:pPr>
      <w:r w:rsidRPr="005F15DA">
        <w:t>-</w:t>
      </w:r>
      <w:r w:rsidRPr="005F15DA">
        <w:tab/>
        <w:t>die Zusicherung von Bauzinsen;</w:t>
      </w:r>
    </w:p>
    <w:p w:rsidR="005D70F9" w:rsidRPr="005F15DA" w:rsidRDefault="005D70F9" w:rsidP="00227798">
      <w:pPr>
        <w:tabs>
          <w:tab w:val="left" w:pos="426"/>
        </w:tabs>
      </w:pPr>
      <w:r w:rsidRPr="005F15DA">
        <w:t>-</w:t>
      </w:r>
      <w:r w:rsidRPr="005F15DA">
        <w:tab/>
        <w:t>die Begrenzung der Dauer der Gesellschaft;</w:t>
      </w:r>
    </w:p>
    <w:p w:rsidR="005D70F9" w:rsidRPr="005F15DA" w:rsidRDefault="005D70F9" w:rsidP="00227798">
      <w:pPr>
        <w:tabs>
          <w:tab w:val="left" w:pos="426"/>
        </w:tabs>
      </w:pPr>
      <w:r w:rsidRPr="005F15DA">
        <w:t>-</w:t>
      </w:r>
      <w:r w:rsidRPr="005F15DA">
        <w:tab/>
        <w:t>Konventionalstrafen bei nicht rechtzeitiger Leistung der Einlage;</w:t>
      </w:r>
    </w:p>
    <w:p w:rsidR="005D70F9" w:rsidRPr="005F15DA" w:rsidRDefault="005D70F9" w:rsidP="00227798">
      <w:pPr>
        <w:tabs>
          <w:tab w:val="left" w:pos="426"/>
        </w:tabs>
      </w:pPr>
      <w:r w:rsidRPr="005F15DA">
        <w:t>-</w:t>
      </w:r>
      <w:r w:rsidRPr="005F15DA">
        <w:tab/>
        <w:t>die genehmigte und die bedingte Kapitalerhöhung;</w:t>
      </w:r>
    </w:p>
    <w:p w:rsidR="005D70F9" w:rsidRPr="005F15DA" w:rsidRDefault="005D70F9" w:rsidP="00227798">
      <w:pPr>
        <w:tabs>
          <w:tab w:val="left" w:pos="426"/>
        </w:tabs>
      </w:pPr>
      <w:r w:rsidRPr="005F15DA">
        <w:t>-</w:t>
      </w:r>
      <w:r w:rsidRPr="005F15DA">
        <w:tab/>
        <w:t>die Zulassung der Umwandlung von Namenaktien in Inhaberaktien und umgekehrt;</w:t>
      </w:r>
    </w:p>
    <w:p w:rsidR="005D70F9" w:rsidRPr="005F15DA" w:rsidRDefault="005D70F9" w:rsidP="00227798">
      <w:pPr>
        <w:tabs>
          <w:tab w:val="left" w:pos="426"/>
        </w:tabs>
      </w:pPr>
      <w:r w:rsidRPr="005F15DA">
        <w:lastRenderedPageBreak/>
        <w:t>-</w:t>
      </w:r>
      <w:r w:rsidRPr="005F15DA">
        <w:tab/>
        <w:t>die Beschränkung der Übertragbarkeit von Namenaktien (Vinkulierung);</w:t>
      </w:r>
    </w:p>
    <w:p w:rsidR="005D70F9" w:rsidRPr="005F15DA" w:rsidRDefault="005D70F9" w:rsidP="00227798">
      <w:pPr>
        <w:tabs>
          <w:tab w:val="left" w:pos="426"/>
        </w:tabs>
        <w:ind w:left="426" w:hanging="426"/>
      </w:pPr>
      <w:r w:rsidRPr="005F15DA">
        <w:t>-</w:t>
      </w:r>
      <w:r w:rsidRPr="005F15DA">
        <w:tab/>
        <w:t>die Vorrechte einzelner Kategorien von Aktien, über Partizipationsscheine, Genusssche</w:t>
      </w:r>
      <w:r w:rsidRPr="005F15DA">
        <w:t>i</w:t>
      </w:r>
      <w:r w:rsidRPr="005F15DA">
        <w:t>ne und über die Gewährung besonderer Vorteile;</w:t>
      </w:r>
    </w:p>
    <w:p w:rsidR="005D70F9" w:rsidRPr="005F15DA" w:rsidRDefault="005D70F9" w:rsidP="00227798">
      <w:pPr>
        <w:tabs>
          <w:tab w:val="left" w:pos="426"/>
        </w:tabs>
        <w:ind w:left="426" w:hanging="426"/>
      </w:pPr>
      <w:r w:rsidRPr="005F15DA">
        <w:t>-</w:t>
      </w:r>
      <w:r w:rsidRPr="005F15DA">
        <w:tab/>
        <w:t>die Beschränkung des Stimmrechts und des Rechts der Aktionäre, sich vertreten zu la</w:t>
      </w:r>
      <w:r w:rsidRPr="005F15DA">
        <w:t>s</w:t>
      </w:r>
      <w:r w:rsidRPr="005F15DA">
        <w:t>sen;</w:t>
      </w:r>
    </w:p>
    <w:p w:rsidR="005D70F9" w:rsidRPr="005F15DA" w:rsidRDefault="005D70F9" w:rsidP="00227798">
      <w:pPr>
        <w:tabs>
          <w:tab w:val="left" w:pos="426"/>
        </w:tabs>
        <w:ind w:left="426" w:hanging="426"/>
      </w:pPr>
      <w:r w:rsidRPr="005F15DA">
        <w:t>-</w:t>
      </w:r>
      <w:r w:rsidRPr="005F15DA">
        <w:tab/>
        <w:t>die im Gesetz nicht vorgesehenen Fälle, in denen die Generalversammlung nur mit qual</w:t>
      </w:r>
      <w:r w:rsidRPr="005F15DA">
        <w:t>i</w:t>
      </w:r>
      <w:r w:rsidRPr="005F15DA">
        <w:t>fizierter Mehrheit Beschluss fassen kann;</w:t>
      </w:r>
    </w:p>
    <w:p w:rsidR="005D70F9" w:rsidRPr="005F15DA" w:rsidRDefault="005D70F9" w:rsidP="00227798">
      <w:pPr>
        <w:tabs>
          <w:tab w:val="left" w:pos="426"/>
        </w:tabs>
        <w:ind w:left="426" w:hanging="426"/>
      </w:pPr>
      <w:r w:rsidRPr="005F15DA">
        <w:t>-</w:t>
      </w:r>
      <w:r w:rsidRPr="005F15DA">
        <w:tab/>
        <w:t>die Ermächtigung zur Übertragung der Geschäftsführung auf einzelne Mitglieder des Verwaltungsrates oder Dritte;</w:t>
      </w:r>
    </w:p>
    <w:p w:rsidR="005D70F9" w:rsidRPr="005F15DA" w:rsidRDefault="005D70F9" w:rsidP="00227798">
      <w:pPr>
        <w:tabs>
          <w:tab w:val="left" w:pos="426"/>
        </w:tabs>
        <w:ind w:left="426" w:hanging="426"/>
      </w:pPr>
      <w:r w:rsidRPr="005F15DA">
        <w:t>-</w:t>
      </w:r>
      <w:r w:rsidRPr="005F15DA">
        <w:tab/>
        <w:t>die Organisation und die Aufgaben der Revisionsstelle, sofern dabei über die gesetzl</w:t>
      </w:r>
      <w:r w:rsidRPr="005F15DA">
        <w:t>i</w:t>
      </w:r>
      <w:r w:rsidRPr="005F15DA">
        <w:t>chen Vorschriften hinausgegangen wird.</w:t>
      </w:r>
    </w:p>
    <w:p w:rsidR="005D70F9" w:rsidRPr="005F15DA" w:rsidRDefault="005D70F9" w:rsidP="00227798">
      <w:pPr>
        <w:tabs>
          <w:tab w:val="left" w:pos="426"/>
        </w:tabs>
        <w:ind w:left="426" w:hanging="426"/>
      </w:pPr>
      <w:r w:rsidRPr="005F15DA">
        <w:t>-</w:t>
      </w:r>
      <w:r w:rsidRPr="005F15DA">
        <w:tab/>
        <w:t>bei Sacheinlagen den Gegenstand und dessen Bewertung sowie den Namen des Einl</w:t>
      </w:r>
      <w:r w:rsidRPr="005F15DA">
        <w:t>e</w:t>
      </w:r>
      <w:r w:rsidRPr="005F15DA">
        <w:t xml:space="preserve">gers und die ihm zukommenden Aktien; </w:t>
      </w:r>
    </w:p>
    <w:p w:rsidR="005D70F9" w:rsidRPr="005F15DA" w:rsidRDefault="005D70F9" w:rsidP="00227798">
      <w:pPr>
        <w:tabs>
          <w:tab w:val="left" w:pos="426"/>
        </w:tabs>
        <w:ind w:left="426" w:hanging="426"/>
      </w:pPr>
      <w:r w:rsidRPr="005F15DA">
        <w:t>-</w:t>
      </w:r>
      <w:r w:rsidRPr="005F15DA">
        <w:tab/>
        <w:t>bei Sachübernahmen von Aktionären oder einer diesen nahe stehenden Person, den Gegenstand, den Namen des Veräusserer und die Gegenleistung der Gesellschaft ang</w:t>
      </w:r>
      <w:r w:rsidRPr="005F15DA">
        <w:t>e</w:t>
      </w:r>
      <w:r w:rsidRPr="005F15DA">
        <w:t xml:space="preserve">ben; </w:t>
      </w:r>
    </w:p>
    <w:p w:rsidR="005D70F9" w:rsidRPr="005F15DA" w:rsidRDefault="005D70F9" w:rsidP="00227798">
      <w:pPr>
        <w:tabs>
          <w:tab w:val="left" w:pos="426"/>
        </w:tabs>
        <w:ind w:left="426" w:hanging="426"/>
      </w:pPr>
      <w:r w:rsidRPr="005F15DA">
        <w:t>-</w:t>
      </w:r>
      <w:r w:rsidRPr="005F15DA">
        <w:tab/>
        <w:t>wenn bei der Gründung zugunsten der Gründer oder anderer Personen besondere Vo</w:t>
      </w:r>
      <w:r w:rsidRPr="005F15DA">
        <w:t>r</w:t>
      </w:r>
      <w:r w:rsidRPr="005F15DA">
        <w:t>teile ausbedungen werden, so sind die begünstigten Personen in den Statuten mit N</w:t>
      </w:r>
      <w:r w:rsidRPr="005F15DA">
        <w:t>a</w:t>
      </w:r>
      <w:r w:rsidRPr="005F15DA">
        <w:t>men aufzuführen, und es ist der gewährte Vorteil nach Inhalt und Wert genau zu b</w:t>
      </w:r>
      <w:r w:rsidRPr="005F15DA">
        <w:t>e</w:t>
      </w:r>
      <w:r w:rsidRPr="005F15DA">
        <w:t xml:space="preserve">zeichnen. </w:t>
      </w:r>
    </w:p>
    <w:p w:rsidR="00227798" w:rsidRPr="005F15DA" w:rsidRDefault="00227798" w:rsidP="00227798">
      <w:pPr>
        <w:tabs>
          <w:tab w:val="left" w:pos="426"/>
        </w:tabs>
      </w:pPr>
    </w:p>
    <w:p w:rsidR="005D70F9" w:rsidRPr="005F15DA" w:rsidRDefault="005D70F9" w:rsidP="00227798">
      <w:pPr>
        <w:tabs>
          <w:tab w:val="left" w:pos="426"/>
        </w:tabs>
      </w:pPr>
      <w:r w:rsidRPr="005F15DA">
        <w:t xml:space="preserve">Die Bestimmungen der Statuten über Sacheinlagen oder Sachübernahmen können von der Generalversammlung nach zehn Jahren aufgehoben werden. </w:t>
      </w:r>
    </w:p>
    <w:p w:rsidR="00227798" w:rsidRPr="005F15DA" w:rsidRDefault="00227798" w:rsidP="00227798"/>
    <w:p w:rsidR="00227798" w:rsidRPr="005F15DA" w:rsidRDefault="00227798" w:rsidP="00227798">
      <w:pPr>
        <w:rPr>
          <w:spacing w:val="-2"/>
          <w:szCs w:val="22"/>
        </w:rPr>
      </w:pPr>
    </w:p>
    <w:p w:rsidR="005D70F9" w:rsidRPr="005F15DA" w:rsidRDefault="00227798" w:rsidP="00227798">
      <w:pPr>
        <w:pStyle w:val="berschrift3"/>
        <w:rPr>
          <w:lang w:val="de-CH"/>
        </w:rPr>
      </w:pPr>
      <w:bookmarkStart w:id="80" w:name="_Toc432175601"/>
      <w:r w:rsidRPr="005F15DA">
        <w:rPr>
          <w:lang w:val="de-CH"/>
        </w:rPr>
        <w:t>C.</w:t>
      </w:r>
      <w:r w:rsidRPr="005F15DA">
        <w:rPr>
          <w:lang w:val="de-CH"/>
        </w:rPr>
        <w:tab/>
      </w:r>
      <w:r w:rsidR="005D70F9" w:rsidRPr="005F15DA">
        <w:rPr>
          <w:lang w:val="de-CH"/>
        </w:rPr>
        <w:t>Aktien / Aktienkapital</w:t>
      </w:r>
      <w:bookmarkEnd w:id="80"/>
    </w:p>
    <w:p w:rsidR="00227798" w:rsidRPr="005F15DA" w:rsidRDefault="00227798" w:rsidP="00227798"/>
    <w:p w:rsidR="005D70F9" w:rsidRPr="005F15DA" w:rsidRDefault="005D70F9" w:rsidP="00227798">
      <w:r w:rsidRPr="005F15DA">
        <w:t xml:space="preserve">Die Aktiengesellschaft muss ein </w:t>
      </w:r>
      <w:r w:rsidRPr="005F15DA">
        <w:rPr>
          <w:u w:val="single"/>
        </w:rPr>
        <w:t>Mindestaktienkapital</w:t>
      </w:r>
      <w:r w:rsidRPr="005F15DA">
        <w:t xml:space="preserve"> von Fr. 100’000.- aufweisen, wovon 20%, mindestens jedoch Fr. 50’000.-, einbezahlt sein müssen. </w:t>
      </w:r>
    </w:p>
    <w:p w:rsidR="00227798" w:rsidRPr="005F15DA" w:rsidRDefault="00227798" w:rsidP="00227798"/>
    <w:p w:rsidR="005D70F9" w:rsidRPr="005F15DA" w:rsidRDefault="005D70F9" w:rsidP="00227798">
      <w:r w:rsidRPr="005F15DA">
        <w:t xml:space="preserve">Jede Aktie stellt ein Beteiligungsrecht an der Aktiengesellschaft dar. Die Aktie verkörpert eine Teilsumme am ganzen Aktienkapital. Die Aktien können auf den </w:t>
      </w:r>
      <w:r w:rsidRPr="005F15DA">
        <w:rPr>
          <w:u w:val="single"/>
        </w:rPr>
        <w:t>Inhaber</w:t>
      </w:r>
      <w:r w:rsidRPr="005F15DA">
        <w:t xml:space="preserve"> (der Name des Akt</w:t>
      </w:r>
      <w:r w:rsidRPr="005F15DA">
        <w:t>i</w:t>
      </w:r>
      <w:r w:rsidRPr="005F15DA">
        <w:t xml:space="preserve">onärs ist auf der Aktie nicht erwähnt) oder auf den </w:t>
      </w:r>
      <w:r w:rsidRPr="005F15DA">
        <w:rPr>
          <w:u w:val="single"/>
        </w:rPr>
        <w:t>Namen</w:t>
      </w:r>
      <w:r w:rsidRPr="005F15DA">
        <w:t xml:space="preserve"> des Aktionärs lauten (Art. 622 OR). Beide Arten können bei derselben Gesellschaft nebeneinander bestehen. </w:t>
      </w:r>
    </w:p>
    <w:p w:rsidR="00227798" w:rsidRPr="005F15DA" w:rsidRDefault="00227798" w:rsidP="00227798"/>
    <w:p w:rsidR="005D70F9" w:rsidRPr="005F15DA" w:rsidRDefault="005D70F9" w:rsidP="00227798">
      <w:r w:rsidRPr="005F15DA">
        <w:t>Die beiden Arten unterscheiden sich hauptsächlich in Bezug auf die Übertragung. Beim Inh</w:t>
      </w:r>
      <w:r w:rsidRPr="005F15DA">
        <w:t>a</w:t>
      </w:r>
      <w:r w:rsidRPr="005F15DA">
        <w:t>bertitel gilt der jeweilige Besitzer als Berechtigter, blosse Übergabe der Aktie genügt. Beim Namentitel erfolgt die Übertragung durch Indossament, Übergabe und Eintragung ins Aktie</w:t>
      </w:r>
      <w:r w:rsidRPr="005F15DA">
        <w:t>n</w:t>
      </w:r>
      <w:r w:rsidRPr="005F15DA">
        <w:t xml:space="preserve">buch. Inhaberaktien dürfen zudem im Gegensatz zu Namenaktien von der Gesellschaft erst nach Einzahlung des vollen Nennwertes an den Aktionär herausgegeben werden (Art. 683 OR). </w:t>
      </w:r>
    </w:p>
    <w:p w:rsidR="00227798" w:rsidRPr="005F15DA" w:rsidRDefault="00227798" w:rsidP="00227798"/>
    <w:p w:rsidR="005D70F9" w:rsidRPr="005F15DA" w:rsidRDefault="005D70F9" w:rsidP="00227798">
      <w:r w:rsidRPr="005F15DA">
        <w:t>Bei den Namenaktien kann die Übertragungsmöglichkeit der Aktien beschränkt, werden (= Vinkulierung, Art. 685 ff. OR). In diesem Fall bedarf die Eintragung im Aktienbuch der Z</w:t>
      </w:r>
      <w:r w:rsidRPr="005F15DA">
        <w:t>u</w:t>
      </w:r>
      <w:r w:rsidRPr="005F15DA">
        <w:t xml:space="preserve">stimmung des Verwaltungsrates. </w:t>
      </w:r>
    </w:p>
    <w:p w:rsidR="00227798" w:rsidRPr="005F15DA" w:rsidRDefault="00227798" w:rsidP="00227798"/>
    <w:p w:rsidR="005D70F9" w:rsidRPr="005F15DA" w:rsidRDefault="005D70F9" w:rsidP="00227798">
      <w:r w:rsidRPr="005F15DA">
        <w:lastRenderedPageBreak/>
        <w:t xml:space="preserve">Der </w:t>
      </w:r>
      <w:r w:rsidRPr="005F15DA">
        <w:rPr>
          <w:u w:val="single"/>
        </w:rPr>
        <w:t>Nennwert</w:t>
      </w:r>
      <w:r w:rsidRPr="005F15DA">
        <w:t xml:space="preserve"> der Aktie muss mindestens 1 Rappen betragen (Art. 622 Abs. 4 OR). Dieser darf nur im Rahmen einer Sanierung der Gesellschaft unterschritten werden.</w:t>
      </w:r>
    </w:p>
    <w:p w:rsidR="00E90D39" w:rsidRDefault="00E90D39" w:rsidP="00227798"/>
    <w:p w:rsidR="005D70F9" w:rsidRPr="005F15DA" w:rsidRDefault="005D70F9" w:rsidP="00227798">
      <w:r w:rsidRPr="005F15DA">
        <w:t>Die Ausgabe der Aktien erfolgt mindestens zum Nennwert (Art. 624 OR), der Ausgabebetrag kann aber auch höher angesetzt werden; in diesem Falle spricht man von einem Agio (= Au</w:t>
      </w:r>
      <w:r w:rsidRPr="005F15DA">
        <w:t>f</w:t>
      </w:r>
      <w:r w:rsidRPr="005F15DA">
        <w:t>preis).</w:t>
      </w:r>
    </w:p>
    <w:p w:rsidR="00227798" w:rsidRPr="005F15DA" w:rsidRDefault="00227798" w:rsidP="00227798"/>
    <w:p w:rsidR="00227798" w:rsidRPr="005F15DA" w:rsidRDefault="00227798" w:rsidP="00227798"/>
    <w:p w:rsidR="005D70F9" w:rsidRPr="005F15DA" w:rsidRDefault="00227798" w:rsidP="00227798">
      <w:pPr>
        <w:pStyle w:val="berschrift3"/>
        <w:rPr>
          <w:lang w:val="de-CH"/>
        </w:rPr>
      </w:pPr>
      <w:bookmarkStart w:id="81" w:name="_Toc432175602"/>
      <w:r w:rsidRPr="005F15DA">
        <w:rPr>
          <w:lang w:val="de-CH"/>
        </w:rPr>
        <w:t>D.</w:t>
      </w:r>
      <w:r w:rsidRPr="005F15DA">
        <w:rPr>
          <w:lang w:val="de-CH"/>
        </w:rPr>
        <w:tab/>
      </w:r>
      <w:r w:rsidR="005D70F9" w:rsidRPr="005F15DA">
        <w:rPr>
          <w:lang w:val="de-CH"/>
        </w:rPr>
        <w:t>Rechte und Pflichten der Aktionäre</w:t>
      </w:r>
      <w:bookmarkEnd w:id="81"/>
    </w:p>
    <w:p w:rsidR="00227798" w:rsidRPr="005F15DA" w:rsidRDefault="00227798" w:rsidP="00227798">
      <w:pPr>
        <w:tabs>
          <w:tab w:val="left" w:pos="426"/>
        </w:tabs>
      </w:pPr>
    </w:p>
    <w:p w:rsidR="005D70F9" w:rsidRPr="005F15DA" w:rsidRDefault="005D70F9" w:rsidP="00227798">
      <w:pPr>
        <w:tabs>
          <w:tab w:val="left" w:pos="426"/>
        </w:tabs>
      </w:pPr>
      <w:r w:rsidRPr="005F15DA">
        <w:t>Mit der Aktie erwirbt der Aktionär verschiedene Rechte und Pflichten.</w:t>
      </w:r>
    </w:p>
    <w:p w:rsidR="00227798" w:rsidRPr="005F15DA" w:rsidRDefault="00227798" w:rsidP="00227798">
      <w:pPr>
        <w:tabs>
          <w:tab w:val="left" w:pos="426"/>
        </w:tabs>
      </w:pPr>
    </w:p>
    <w:p w:rsidR="005D70F9" w:rsidRPr="005F15DA" w:rsidRDefault="005D70F9" w:rsidP="00227798">
      <w:pPr>
        <w:tabs>
          <w:tab w:val="left" w:pos="426"/>
        </w:tabs>
      </w:pPr>
      <w:r w:rsidRPr="005F15DA">
        <w:t xml:space="preserve">Einzige </w:t>
      </w:r>
      <w:r w:rsidRPr="005F15DA">
        <w:rPr>
          <w:u w:val="single"/>
        </w:rPr>
        <w:t>Pflicht</w:t>
      </w:r>
      <w:r w:rsidRPr="005F15DA">
        <w:t xml:space="preserve"> des Aktionärs ist es, den für den Bezug der Aktie festgesetzten Ausgabepreis zu bezahlen.</w:t>
      </w:r>
    </w:p>
    <w:p w:rsidR="00227798" w:rsidRPr="005F15DA" w:rsidRDefault="00227798" w:rsidP="00227798">
      <w:pPr>
        <w:tabs>
          <w:tab w:val="left" w:pos="426"/>
        </w:tabs>
      </w:pPr>
    </w:p>
    <w:p w:rsidR="005D70F9" w:rsidRPr="005F15DA" w:rsidRDefault="005D70F9" w:rsidP="00227798">
      <w:pPr>
        <w:tabs>
          <w:tab w:val="left" w:pos="426"/>
        </w:tabs>
      </w:pPr>
      <w:r w:rsidRPr="005F15DA">
        <w:t xml:space="preserve">Bei den </w:t>
      </w:r>
      <w:r w:rsidRPr="005F15DA">
        <w:rPr>
          <w:u w:val="single"/>
        </w:rPr>
        <w:t>Rechten</w:t>
      </w:r>
      <w:r w:rsidRPr="005F15DA">
        <w:t xml:space="preserve"> wird zwischen Vermögensrechten und Mitgliedschaftsrechten unterschieden.</w:t>
      </w:r>
    </w:p>
    <w:p w:rsidR="00227798" w:rsidRPr="005F15DA" w:rsidRDefault="00227798" w:rsidP="00227798">
      <w:pPr>
        <w:tabs>
          <w:tab w:val="left" w:pos="426"/>
        </w:tabs>
      </w:pPr>
    </w:p>
    <w:p w:rsidR="005D70F9" w:rsidRPr="005F15DA" w:rsidRDefault="005D70F9" w:rsidP="00227798">
      <w:pPr>
        <w:tabs>
          <w:tab w:val="left" w:pos="426"/>
        </w:tabs>
      </w:pPr>
      <w:r w:rsidRPr="005F15DA">
        <w:rPr>
          <w:u w:val="single"/>
        </w:rPr>
        <w:t>Vermögensrechte</w:t>
      </w:r>
      <w:r w:rsidRPr="005F15DA">
        <w:t xml:space="preserve"> sind: </w:t>
      </w:r>
    </w:p>
    <w:p w:rsidR="005D70F9" w:rsidRPr="005F15DA" w:rsidRDefault="005D70F9" w:rsidP="00227798">
      <w:pPr>
        <w:tabs>
          <w:tab w:val="left" w:pos="426"/>
        </w:tabs>
        <w:ind w:left="426" w:hanging="426"/>
      </w:pPr>
      <w:r w:rsidRPr="005F15DA">
        <w:t>-</w:t>
      </w:r>
      <w:r w:rsidRPr="005F15DA">
        <w:tab/>
        <w:t xml:space="preserve">Anspruch auf einen verhältnismässigen Anteil am Bilanzgewinn (Dividende) sowie bei Auflösung der Gesellschaft auf einen verhältnismässigen Anteil am Liquidationsergebnis (Art. 660 OR); </w:t>
      </w:r>
    </w:p>
    <w:p w:rsidR="005D70F9" w:rsidRPr="005F15DA" w:rsidRDefault="005D70F9" w:rsidP="00227798">
      <w:pPr>
        <w:tabs>
          <w:tab w:val="left" w:pos="426"/>
        </w:tabs>
      </w:pPr>
      <w:r w:rsidRPr="005F15DA">
        <w:t>-</w:t>
      </w:r>
      <w:r w:rsidRPr="005F15DA">
        <w:tab/>
        <w:t xml:space="preserve">Bezugsrechte bei der Ausgabe neuer Aktien (Art. 652 b OR). </w:t>
      </w:r>
    </w:p>
    <w:p w:rsidR="00227798" w:rsidRPr="005F15DA" w:rsidRDefault="00227798" w:rsidP="00227798">
      <w:pPr>
        <w:tabs>
          <w:tab w:val="left" w:pos="426"/>
        </w:tabs>
      </w:pPr>
    </w:p>
    <w:p w:rsidR="005D70F9" w:rsidRPr="005F15DA" w:rsidRDefault="005D70F9" w:rsidP="00227798">
      <w:pPr>
        <w:tabs>
          <w:tab w:val="left" w:pos="426"/>
        </w:tabs>
      </w:pPr>
      <w:r w:rsidRPr="005F15DA">
        <w:rPr>
          <w:u w:val="single"/>
        </w:rPr>
        <w:t>Mitgliedschaftsrechte</w:t>
      </w:r>
      <w:r w:rsidRPr="005F15DA">
        <w:t xml:space="preserve"> sind insbesondere: </w:t>
      </w:r>
    </w:p>
    <w:p w:rsidR="005D70F9" w:rsidRPr="005F15DA" w:rsidRDefault="005D70F9" w:rsidP="00227798">
      <w:pPr>
        <w:tabs>
          <w:tab w:val="left" w:pos="426"/>
        </w:tabs>
      </w:pPr>
      <w:r w:rsidRPr="005F15DA">
        <w:t>-</w:t>
      </w:r>
      <w:r w:rsidRPr="005F15DA">
        <w:tab/>
        <w:t xml:space="preserve">Recht auf Teilnahme an der Generalversammlung (Art. 689 OR); </w:t>
      </w:r>
    </w:p>
    <w:p w:rsidR="005D70F9" w:rsidRPr="005F15DA" w:rsidRDefault="005D70F9" w:rsidP="00227798">
      <w:pPr>
        <w:tabs>
          <w:tab w:val="left" w:pos="426"/>
        </w:tabs>
      </w:pPr>
      <w:r w:rsidRPr="005F15DA">
        <w:t>-</w:t>
      </w:r>
      <w:r w:rsidRPr="005F15DA">
        <w:tab/>
        <w:t xml:space="preserve">Stimm- und Wahlrecht (Art. 692 OR); </w:t>
      </w:r>
    </w:p>
    <w:p w:rsidR="005D70F9" w:rsidRPr="005F15DA" w:rsidRDefault="005D70F9" w:rsidP="00227798">
      <w:pPr>
        <w:tabs>
          <w:tab w:val="left" w:pos="426"/>
        </w:tabs>
        <w:ind w:left="426" w:hanging="426"/>
      </w:pPr>
      <w:r w:rsidRPr="005F15DA">
        <w:t>-</w:t>
      </w:r>
      <w:r w:rsidRPr="005F15DA">
        <w:tab/>
        <w:t xml:space="preserve">Kontrollrechte, insbesondere Recht auf Vorlage eines Geschäfts- und Revisorenberichts sowie Recht auf Auskunft und – beschränkt – Einsicht in die Geschäftsbücher (Art. 697 OR); </w:t>
      </w:r>
    </w:p>
    <w:p w:rsidR="005D70F9" w:rsidRPr="005F15DA" w:rsidRDefault="005D70F9" w:rsidP="00227798">
      <w:pPr>
        <w:tabs>
          <w:tab w:val="left" w:pos="426"/>
        </w:tabs>
      </w:pPr>
      <w:r w:rsidRPr="005F15DA">
        <w:t>-</w:t>
      </w:r>
      <w:r w:rsidRPr="005F15DA">
        <w:tab/>
        <w:t xml:space="preserve">Recht auf Einleitung einer Sonderprüfung (Art. 697a ff. OR). </w:t>
      </w:r>
    </w:p>
    <w:p w:rsidR="00227798" w:rsidRPr="005F15DA" w:rsidRDefault="00227798" w:rsidP="00227798">
      <w:pPr>
        <w:tabs>
          <w:tab w:val="left" w:pos="426"/>
        </w:tabs>
      </w:pPr>
    </w:p>
    <w:p w:rsidR="005D70F9" w:rsidRPr="005F15DA" w:rsidRDefault="005D70F9" w:rsidP="00227798">
      <w:pPr>
        <w:tabs>
          <w:tab w:val="left" w:pos="426"/>
        </w:tabs>
      </w:pPr>
      <w:r w:rsidRPr="005F15DA">
        <w:t>Das Stimmrecht richtet sich dabei von Gesetzes wegen nach dem Nennwert der sich im B</w:t>
      </w:r>
      <w:r w:rsidRPr="005F15DA">
        <w:t>e</w:t>
      </w:r>
      <w:r w:rsidRPr="005F15DA">
        <w:t>sitze eines Aktionärs befindlichen Aktien (Art. 692 OR). Die Statuten können aber vorsehen, dass auf jede Aktie, unabhängig vom Nennwert, eine Stimme entfällt (Art. 692 OR). Sofern die Gesellschaft dies in den Statuten so vorgesehen und Aktien mit verschiedenen Nennwerten ausgegeben hat, stellen die Aktien mit dem niedrigeren Nennwert so genannte Stimmrecht</w:t>
      </w:r>
      <w:r w:rsidRPr="005F15DA">
        <w:t>s</w:t>
      </w:r>
      <w:r w:rsidRPr="005F15DA">
        <w:t>aktien dar. Das Verhältnis des Nennwertes zwischen den Stimmrechtsaktien und dem Nen</w:t>
      </w:r>
      <w:r w:rsidRPr="005F15DA">
        <w:t>n</w:t>
      </w:r>
      <w:r w:rsidRPr="005F15DA">
        <w:t xml:space="preserve">wert der übrigen Aktien darf 1/10 nicht übersteigen. </w:t>
      </w:r>
    </w:p>
    <w:p w:rsidR="00227798" w:rsidRPr="005F15DA" w:rsidRDefault="00227798" w:rsidP="00227798">
      <w:pPr>
        <w:tabs>
          <w:tab w:val="left" w:pos="426"/>
        </w:tabs>
      </w:pPr>
    </w:p>
    <w:p w:rsidR="005D70F9" w:rsidRPr="005F15DA" w:rsidRDefault="005D70F9" w:rsidP="00227798">
      <w:pPr>
        <w:tabs>
          <w:tab w:val="left" w:pos="426"/>
        </w:tabs>
      </w:pPr>
      <w:r w:rsidRPr="005F15DA">
        <w:t>Neben den Aktien kann die Gesellschaft Partizipationsscheine (PS) als Finanzierungsinstr</w:t>
      </w:r>
      <w:r w:rsidRPr="005F15DA">
        <w:t>u</w:t>
      </w:r>
      <w:r w:rsidRPr="005F15DA">
        <w:t>ment herausgeben (Art. 656a ff. OR). PS müssen ebenfalls einen Nennwert aufweisen; sie gewähren aber kein Stimmrecht. Ansonsten haben Inhaber von PS dieselben Vermögen</w:t>
      </w:r>
      <w:r w:rsidRPr="005F15DA">
        <w:t>s</w:t>
      </w:r>
      <w:r w:rsidRPr="005F15DA">
        <w:t xml:space="preserve">rechte wie Aktionäre. Das Partizipationskapital wird ebenfalls im Handelsregister eingetragen und darf das Doppelte des Aktienkapitals nicht übersteigen. </w:t>
      </w:r>
    </w:p>
    <w:p w:rsidR="00227798" w:rsidRPr="005F15DA" w:rsidRDefault="00227798" w:rsidP="00227798"/>
    <w:p w:rsidR="00227798" w:rsidRPr="005F15DA" w:rsidRDefault="00227798" w:rsidP="00227798"/>
    <w:p w:rsidR="005D70F9" w:rsidRPr="005F15DA" w:rsidRDefault="00227798" w:rsidP="00227798">
      <w:pPr>
        <w:pStyle w:val="berschrift3"/>
        <w:rPr>
          <w:lang w:val="de-CH"/>
        </w:rPr>
      </w:pPr>
      <w:bookmarkStart w:id="82" w:name="_Toc432175603"/>
      <w:r w:rsidRPr="005F15DA">
        <w:rPr>
          <w:lang w:val="de-CH"/>
        </w:rPr>
        <w:lastRenderedPageBreak/>
        <w:t>E.</w:t>
      </w:r>
      <w:r w:rsidRPr="005F15DA">
        <w:rPr>
          <w:lang w:val="de-CH"/>
        </w:rPr>
        <w:tab/>
      </w:r>
      <w:r w:rsidR="005D70F9" w:rsidRPr="005F15DA">
        <w:rPr>
          <w:lang w:val="de-CH"/>
        </w:rPr>
        <w:t>Organe</w:t>
      </w:r>
      <w:bookmarkEnd w:id="82"/>
      <w:r w:rsidR="005D70F9" w:rsidRPr="005F15DA">
        <w:rPr>
          <w:lang w:val="de-CH"/>
        </w:rPr>
        <w:t xml:space="preserve"> </w:t>
      </w:r>
    </w:p>
    <w:p w:rsidR="00227798" w:rsidRPr="005F15DA" w:rsidRDefault="00227798" w:rsidP="00343A9D">
      <w:pPr>
        <w:tabs>
          <w:tab w:val="left" w:pos="426"/>
        </w:tabs>
      </w:pPr>
    </w:p>
    <w:p w:rsidR="005D70F9" w:rsidRPr="005F15DA" w:rsidRDefault="005D70F9" w:rsidP="00343A9D">
      <w:pPr>
        <w:tabs>
          <w:tab w:val="left" w:pos="426"/>
        </w:tabs>
      </w:pPr>
      <w:r w:rsidRPr="005F15DA">
        <w:t xml:space="preserve">Die Aktiengesellschaft besitzt als oberstes Organ die </w:t>
      </w:r>
      <w:r w:rsidRPr="005F15DA">
        <w:rPr>
          <w:b/>
        </w:rPr>
        <w:t>Generalversammlung</w:t>
      </w:r>
      <w:r w:rsidRPr="005F15DA">
        <w:t>. In ihre Komp</w:t>
      </w:r>
      <w:r w:rsidRPr="005F15DA">
        <w:t>e</w:t>
      </w:r>
      <w:r w:rsidRPr="005F15DA">
        <w:t xml:space="preserve">tenz fallen folgende Geschäfte (Art. 698 OR): </w:t>
      </w:r>
    </w:p>
    <w:p w:rsidR="005D70F9" w:rsidRPr="005F15DA" w:rsidRDefault="005D70F9" w:rsidP="00343A9D">
      <w:pPr>
        <w:tabs>
          <w:tab w:val="left" w:pos="426"/>
        </w:tabs>
      </w:pPr>
      <w:r w:rsidRPr="005F15DA">
        <w:t>-</w:t>
      </w:r>
      <w:r w:rsidRPr="005F15DA">
        <w:tab/>
        <w:t xml:space="preserve">die Festsetzung und Änderung der Statuten; </w:t>
      </w:r>
    </w:p>
    <w:p w:rsidR="005D70F9" w:rsidRPr="005F15DA" w:rsidRDefault="005D70F9" w:rsidP="00343A9D">
      <w:pPr>
        <w:tabs>
          <w:tab w:val="left" w:pos="426"/>
        </w:tabs>
      </w:pPr>
      <w:r w:rsidRPr="005F15DA">
        <w:t>-</w:t>
      </w:r>
      <w:r w:rsidRPr="005F15DA">
        <w:tab/>
        <w:t xml:space="preserve">die Wahl der Mitglieder des Verwaltungsrates und der Revisionsstelle; </w:t>
      </w:r>
    </w:p>
    <w:p w:rsidR="005D70F9" w:rsidRPr="005F15DA" w:rsidRDefault="005D70F9" w:rsidP="00343A9D">
      <w:pPr>
        <w:tabs>
          <w:tab w:val="left" w:pos="426"/>
        </w:tabs>
      </w:pPr>
      <w:r w:rsidRPr="005F15DA">
        <w:t>-</w:t>
      </w:r>
      <w:r w:rsidRPr="005F15DA">
        <w:tab/>
        <w:t xml:space="preserve">die Genehmigung des Jahresberichtes und der Konzernrechnung; </w:t>
      </w:r>
    </w:p>
    <w:p w:rsidR="005D70F9" w:rsidRPr="005F15DA" w:rsidRDefault="005D70F9" w:rsidP="00E85608">
      <w:pPr>
        <w:tabs>
          <w:tab w:val="left" w:pos="426"/>
        </w:tabs>
        <w:ind w:left="426" w:hanging="426"/>
      </w:pPr>
      <w:r w:rsidRPr="005F15DA">
        <w:t>-</w:t>
      </w:r>
      <w:r w:rsidRPr="005F15DA">
        <w:tab/>
        <w:t xml:space="preserve">die Genehmigung der Jahresrechnung sowie die Beschlussfassung über die Verwendung des Bilanzgewinnes, insbesondere die Festsetzung der Dividende und der Tantieme; </w:t>
      </w:r>
    </w:p>
    <w:p w:rsidR="005D70F9" w:rsidRPr="005F15DA" w:rsidRDefault="005D70F9" w:rsidP="00343A9D">
      <w:pPr>
        <w:tabs>
          <w:tab w:val="left" w:pos="426"/>
        </w:tabs>
      </w:pPr>
      <w:r w:rsidRPr="005F15DA">
        <w:t>-</w:t>
      </w:r>
      <w:r w:rsidRPr="005F15DA">
        <w:tab/>
        <w:t xml:space="preserve">die Entlastung der Mitglieder des Verwaltungsrates; </w:t>
      </w:r>
    </w:p>
    <w:p w:rsidR="005D70F9" w:rsidRPr="005F15DA" w:rsidRDefault="005D70F9" w:rsidP="00343A9D">
      <w:pPr>
        <w:tabs>
          <w:tab w:val="left" w:pos="426"/>
        </w:tabs>
      </w:pPr>
      <w:r w:rsidRPr="005F15DA">
        <w:t>-</w:t>
      </w:r>
      <w:r w:rsidRPr="005F15DA">
        <w:tab/>
        <w:t xml:space="preserve">die Beschlussfassung über die Gegenstände, die der Generalversammlung durch das Gesetz oder die Statuten vorbehalten </w:t>
      </w:r>
      <w:proofErr w:type="gramStart"/>
      <w:r w:rsidRPr="005F15DA">
        <w:t>sind</w:t>
      </w:r>
      <w:proofErr w:type="gramEnd"/>
      <w:r w:rsidRPr="005F15DA">
        <w:t xml:space="preserve">. </w:t>
      </w:r>
    </w:p>
    <w:p w:rsidR="00227798" w:rsidRPr="005F15DA" w:rsidRDefault="00227798" w:rsidP="00343A9D">
      <w:pPr>
        <w:tabs>
          <w:tab w:val="left" w:pos="426"/>
        </w:tabs>
      </w:pPr>
    </w:p>
    <w:p w:rsidR="005D70F9" w:rsidRPr="005F15DA" w:rsidRDefault="005D70F9" w:rsidP="00343A9D">
      <w:pPr>
        <w:tabs>
          <w:tab w:val="left" w:pos="426"/>
        </w:tabs>
      </w:pPr>
      <w:r w:rsidRPr="005F15DA">
        <w:t>Die Einberufung zur Generalversammlung muss mindestens 20 Tage vor dem Versam</w:t>
      </w:r>
      <w:r w:rsidRPr="005F15DA">
        <w:t>m</w:t>
      </w:r>
      <w:r w:rsidRPr="005F15DA">
        <w:t xml:space="preserve">lungstag erfolgen (Art. 700 OR). </w:t>
      </w:r>
    </w:p>
    <w:p w:rsidR="00227798" w:rsidRPr="005F15DA" w:rsidRDefault="00227798" w:rsidP="00343A9D">
      <w:pPr>
        <w:tabs>
          <w:tab w:val="left" w:pos="426"/>
        </w:tabs>
      </w:pPr>
    </w:p>
    <w:p w:rsidR="005D70F9" w:rsidRPr="005F15DA" w:rsidRDefault="005D70F9" w:rsidP="00343A9D">
      <w:pPr>
        <w:tabs>
          <w:tab w:val="left" w:pos="426"/>
        </w:tabs>
      </w:pPr>
      <w:r w:rsidRPr="005F15DA">
        <w:t xml:space="preserve">Der </w:t>
      </w:r>
      <w:r w:rsidRPr="005F15DA">
        <w:rPr>
          <w:b/>
        </w:rPr>
        <w:t>Verwaltungsrat</w:t>
      </w:r>
      <w:r w:rsidRPr="005F15DA">
        <w:t xml:space="preserve"> der Gesellschaft (Art. 707 ff. OR) besteht aus einem oder mehreren Mi</w:t>
      </w:r>
      <w:r w:rsidRPr="005F15DA">
        <w:t>t</w:t>
      </w:r>
      <w:r w:rsidRPr="005F15DA">
        <w:t>gliedern. Er hat die Oberleitung über die Gesellschaft und er ernennt die zur Geschäftsfü</w:t>
      </w:r>
      <w:r w:rsidRPr="005F15DA">
        <w:t>h</w:t>
      </w:r>
      <w:r w:rsidRPr="005F15DA">
        <w:t xml:space="preserve">rung und die zur Vertretung befugten Personen sowie seinen Präsidenten (sofern die Statuten nicht vorsehen, dass der Präsident von der Generalversammlung gewählt wird) und seinen Sekretär. Die Mitglieder des Verwaltungsrates werden im Handelsregister eingetragen. </w:t>
      </w:r>
    </w:p>
    <w:p w:rsidR="00227798" w:rsidRPr="005F15DA" w:rsidRDefault="00227798" w:rsidP="00343A9D">
      <w:pPr>
        <w:tabs>
          <w:tab w:val="left" w:pos="426"/>
        </w:tabs>
      </w:pPr>
    </w:p>
    <w:p w:rsidR="005D70F9" w:rsidRPr="005F15DA" w:rsidRDefault="005D70F9" w:rsidP="00343A9D">
      <w:pPr>
        <w:tabs>
          <w:tab w:val="left" w:pos="426"/>
        </w:tabs>
      </w:pPr>
      <w:r w:rsidRPr="005F15DA">
        <w:t xml:space="preserve">Die </w:t>
      </w:r>
      <w:r w:rsidRPr="005F15DA">
        <w:rPr>
          <w:b/>
        </w:rPr>
        <w:t>Revisionsstelle</w:t>
      </w:r>
      <w:r w:rsidRPr="005F15DA">
        <w:t xml:space="preserve"> </w:t>
      </w:r>
      <w:r w:rsidR="004534AB">
        <w:t xml:space="preserve">(Art. 727 ff. OR) </w:t>
      </w:r>
      <w:r w:rsidRPr="005F15DA">
        <w:t>prüft die Buchführung der Gesellschaft und erstattet der Generalversammlung schriftlich Bericht über das Ergebnis der Prüfung. Stellt sie anlässlich der Prüfung Verstösse fest, so meldet sie diese dem Verwaltungsrat oder in wichtigen Fällen der Generalversammlung. Im Falle einer Überschuldung ist die Revisionsstelle zudem ve</w:t>
      </w:r>
      <w:r w:rsidRPr="005F15DA">
        <w:t>r</w:t>
      </w:r>
      <w:r w:rsidRPr="005F15DA">
        <w:t>pflichtet, die Bilanz der Gesellschaft beim Richter zu deponieren, falls der Verwaltungsrat se</w:t>
      </w:r>
      <w:r w:rsidRPr="005F15DA">
        <w:t>i</w:t>
      </w:r>
      <w:r w:rsidRPr="005F15DA">
        <w:t xml:space="preserve">ner diesbezüglichen Pflicht nicht nachkommt. Die Revisionsstelle wird im Handelsregister ebenfalls eingetragen. </w:t>
      </w:r>
    </w:p>
    <w:p w:rsidR="00227798" w:rsidRPr="005F15DA" w:rsidRDefault="00227798" w:rsidP="00343A9D">
      <w:pPr>
        <w:tabs>
          <w:tab w:val="left" w:pos="426"/>
        </w:tabs>
      </w:pPr>
    </w:p>
    <w:p w:rsidR="005D70F9" w:rsidRPr="005F15DA" w:rsidRDefault="005D70F9" w:rsidP="00343A9D">
      <w:pPr>
        <w:tabs>
          <w:tab w:val="left" w:pos="426"/>
        </w:tabs>
      </w:pPr>
      <w:r w:rsidRPr="005F15DA">
        <w:t>Die Aktiengesellschaft muss eine Revisionsstelle haben und eine ordentliche Revision durc</w:t>
      </w:r>
      <w:r w:rsidRPr="005F15DA">
        <w:t>h</w:t>
      </w:r>
      <w:r w:rsidRPr="005F15DA">
        <w:t>führen, wenn sie eine Publikumsgesellschaft ist oder wenn gewisse Grössen in zwei aufe</w:t>
      </w:r>
      <w:r w:rsidRPr="005F15DA">
        <w:t>i</w:t>
      </w:r>
      <w:r w:rsidRPr="005F15DA">
        <w:t>nanderfolgenden Jahren überschritten werden.</w:t>
      </w:r>
    </w:p>
    <w:p w:rsidR="00227798" w:rsidRPr="005F15DA" w:rsidRDefault="00227798" w:rsidP="00343A9D">
      <w:pPr>
        <w:tabs>
          <w:tab w:val="left" w:pos="426"/>
        </w:tabs>
      </w:pPr>
    </w:p>
    <w:p w:rsidR="005D70F9" w:rsidRPr="005F15DA" w:rsidRDefault="005D70F9" w:rsidP="00343A9D">
      <w:pPr>
        <w:tabs>
          <w:tab w:val="left" w:pos="426"/>
        </w:tabs>
      </w:pPr>
      <w:r w:rsidRPr="005F15DA">
        <w:t>Als Publikumsgesellschaft gilt eine Aktiengesellschaft, wenn sie entweder an der Börse kotiert ist oder Anleihensobligationen ausstehend hat oder mindestens 20% der Aktiven oder des Umsatzes zur Konzernrechnung einer solchen Gesellschaft beiträgt</w:t>
      </w:r>
      <w:r w:rsidR="0042425C">
        <w:t xml:space="preserve"> (Art. 727 OR)</w:t>
      </w:r>
      <w:r w:rsidRPr="005F15DA">
        <w:t>.</w:t>
      </w:r>
    </w:p>
    <w:p w:rsidR="00227798" w:rsidRPr="005F15DA" w:rsidRDefault="00227798" w:rsidP="00343A9D">
      <w:pPr>
        <w:tabs>
          <w:tab w:val="left" w:pos="426"/>
        </w:tabs>
      </w:pPr>
    </w:p>
    <w:p w:rsidR="005D70F9" w:rsidRPr="005F15DA" w:rsidRDefault="005D70F9" w:rsidP="00343A9D">
      <w:pPr>
        <w:tabs>
          <w:tab w:val="left" w:pos="426"/>
        </w:tabs>
      </w:pPr>
      <w:r w:rsidRPr="005F15DA">
        <w:t xml:space="preserve">Die massgeblichen Grössen sind eine Bilanzsumme von </w:t>
      </w:r>
      <w:r w:rsidR="00F65BAB">
        <w:t>20</w:t>
      </w:r>
      <w:r w:rsidRPr="005F15DA">
        <w:t xml:space="preserve"> Millionen Franken, ein Umsatze</w:t>
      </w:r>
      <w:r w:rsidRPr="005F15DA">
        <w:t>r</w:t>
      </w:r>
      <w:r w:rsidRPr="005F15DA">
        <w:t xml:space="preserve">lös von </w:t>
      </w:r>
      <w:r w:rsidR="00F65BAB">
        <w:t>40</w:t>
      </w:r>
      <w:r w:rsidRPr="005F15DA">
        <w:t xml:space="preserve"> Millionen Franken oder </w:t>
      </w:r>
      <w:r w:rsidR="00F65BAB">
        <w:t>2</w:t>
      </w:r>
      <w:r w:rsidRPr="005F15DA">
        <w:t>50 Vollzeitstellen im Jahresdurchschnitt.</w:t>
      </w:r>
    </w:p>
    <w:p w:rsidR="00227798" w:rsidRPr="005F15DA" w:rsidRDefault="00227798" w:rsidP="00343A9D">
      <w:pPr>
        <w:tabs>
          <w:tab w:val="left" w:pos="426"/>
        </w:tabs>
      </w:pPr>
    </w:p>
    <w:p w:rsidR="005D70F9" w:rsidRPr="005F15DA" w:rsidRDefault="005D70F9" w:rsidP="00343A9D">
      <w:pPr>
        <w:tabs>
          <w:tab w:val="left" w:pos="426"/>
        </w:tabs>
      </w:pPr>
      <w:r w:rsidRPr="005F15DA">
        <w:t>Liegt weder das eine noch das andere vor, muss die Aktiengesellschaft zwar eine Revision</w:t>
      </w:r>
      <w:r w:rsidRPr="005F15DA">
        <w:t>s</w:t>
      </w:r>
      <w:r w:rsidRPr="005F15DA">
        <w:t>stelle wählen, aber nur eine eingeschränkte Revision durchführen.</w:t>
      </w:r>
    </w:p>
    <w:p w:rsidR="00227798" w:rsidRPr="005F15DA" w:rsidRDefault="00227798" w:rsidP="00343A9D">
      <w:pPr>
        <w:tabs>
          <w:tab w:val="left" w:pos="426"/>
        </w:tabs>
      </w:pPr>
    </w:p>
    <w:p w:rsidR="005D70F9" w:rsidRPr="005F15DA" w:rsidRDefault="005D70F9" w:rsidP="00343A9D">
      <w:pPr>
        <w:tabs>
          <w:tab w:val="left" w:pos="426"/>
        </w:tabs>
      </w:pPr>
      <w:r w:rsidRPr="005F15DA">
        <w:t xml:space="preserve">Auf die Wahl einer Revisionsstelle </w:t>
      </w:r>
      <w:r w:rsidR="00227798" w:rsidRPr="005F15DA">
        <w:t xml:space="preserve">kann </w:t>
      </w:r>
      <w:r w:rsidR="00343A9D" w:rsidRPr="005F15DA">
        <w:t xml:space="preserve">die Gesellschaft </w:t>
      </w:r>
      <w:r w:rsidR="00227798" w:rsidRPr="005F15DA">
        <w:t>mit Zustimmung aller Aktionäre ve</w:t>
      </w:r>
      <w:r w:rsidR="00227798" w:rsidRPr="005F15DA">
        <w:t>r</w:t>
      </w:r>
      <w:r w:rsidR="00227798" w:rsidRPr="005F15DA">
        <w:t xml:space="preserve">zichten, wenn sie nicht der eingeschränkten Revision unterliegt und </w:t>
      </w:r>
      <w:r w:rsidRPr="005F15DA">
        <w:t>wenn die Aktiengesel</w:t>
      </w:r>
      <w:r w:rsidRPr="005F15DA">
        <w:t>l</w:t>
      </w:r>
      <w:r w:rsidRPr="005F15DA">
        <w:t>schaft nicht mehr als 10 Vollzeitstellen im Jahresdurchschnitt hat.</w:t>
      </w:r>
    </w:p>
    <w:p w:rsidR="005D70F9" w:rsidRPr="005F15DA" w:rsidRDefault="00227798" w:rsidP="00227798">
      <w:pPr>
        <w:pStyle w:val="berschrift3"/>
        <w:rPr>
          <w:lang w:val="de-CH"/>
        </w:rPr>
      </w:pPr>
      <w:bookmarkStart w:id="83" w:name="_Toc432175604"/>
      <w:r w:rsidRPr="005F15DA">
        <w:rPr>
          <w:lang w:val="de-CH"/>
        </w:rPr>
        <w:lastRenderedPageBreak/>
        <w:t>F.</w:t>
      </w:r>
      <w:r w:rsidRPr="005F15DA">
        <w:rPr>
          <w:lang w:val="de-CH"/>
        </w:rPr>
        <w:tab/>
      </w:r>
      <w:r w:rsidR="005D70F9" w:rsidRPr="005F15DA">
        <w:rPr>
          <w:lang w:val="de-CH"/>
        </w:rPr>
        <w:t>Die Gründung der Aktiengesellschaft</w:t>
      </w:r>
      <w:r w:rsidR="00906BEF" w:rsidRPr="005F15DA">
        <w:rPr>
          <w:lang w:val="de-CH"/>
        </w:rPr>
        <w:t xml:space="preserve"> (Art. 629 - 635a OR)</w:t>
      </w:r>
      <w:bookmarkEnd w:id="83"/>
    </w:p>
    <w:p w:rsidR="00227798" w:rsidRPr="005F15DA" w:rsidRDefault="00227798" w:rsidP="00343A9D">
      <w:pPr>
        <w:tabs>
          <w:tab w:val="left" w:pos="426"/>
        </w:tabs>
      </w:pPr>
    </w:p>
    <w:p w:rsidR="005D70F9" w:rsidRPr="005F15DA" w:rsidRDefault="005D70F9" w:rsidP="00343A9D">
      <w:pPr>
        <w:tabs>
          <w:tab w:val="left" w:pos="426"/>
        </w:tabs>
      </w:pPr>
      <w:r w:rsidRPr="005F15DA">
        <w:t>Die Gesellschaft wird errichtet, indem der oder die Gründer in öffentlicher Urkunde erklären, eine Aktiengesellschaft zu gründen, darin die Statuten festlegen und die Organe bestellen. Die Gründung kann durch eine einzelne natürliche oder juristische Person erfolgen.</w:t>
      </w:r>
    </w:p>
    <w:p w:rsidR="00343A9D" w:rsidRPr="005F15DA" w:rsidRDefault="00343A9D" w:rsidP="00343A9D">
      <w:pPr>
        <w:tabs>
          <w:tab w:val="left" w:pos="426"/>
        </w:tabs>
      </w:pPr>
    </w:p>
    <w:p w:rsidR="005D70F9" w:rsidRPr="005F15DA" w:rsidRDefault="005D70F9" w:rsidP="00343A9D">
      <w:pPr>
        <w:tabs>
          <w:tab w:val="left" w:pos="426"/>
        </w:tabs>
      </w:pPr>
      <w:r w:rsidRPr="005F15DA">
        <w:t xml:space="preserve">In diesem Errichtungsakt zeichnen die Gründer die Aktien und stellen fest: </w:t>
      </w:r>
    </w:p>
    <w:p w:rsidR="005D70F9" w:rsidRPr="005F15DA" w:rsidRDefault="005D70F9" w:rsidP="00343A9D">
      <w:pPr>
        <w:tabs>
          <w:tab w:val="left" w:pos="426"/>
        </w:tabs>
      </w:pPr>
      <w:r w:rsidRPr="005F15DA">
        <w:t>-</w:t>
      </w:r>
      <w:r w:rsidRPr="005F15DA">
        <w:tab/>
        <w:t xml:space="preserve">dass sämtliche Aktien gültig gezeichnet sind; </w:t>
      </w:r>
    </w:p>
    <w:p w:rsidR="005D70F9" w:rsidRPr="005F15DA" w:rsidRDefault="005D70F9" w:rsidP="00343A9D">
      <w:pPr>
        <w:tabs>
          <w:tab w:val="left" w:pos="426"/>
        </w:tabs>
      </w:pPr>
      <w:r w:rsidRPr="005F15DA">
        <w:t>-</w:t>
      </w:r>
      <w:r w:rsidRPr="005F15DA">
        <w:tab/>
        <w:t xml:space="preserve">dass die versprochenen Einlagen dem gesamten Ausgabebetrag entsprechen; </w:t>
      </w:r>
    </w:p>
    <w:p w:rsidR="005D70F9" w:rsidRPr="005F15DA" w:rsidRDefault="005D70F9" w:rsidP="00E90D39">
      <w:pPr>
        <w:tabs>
          <w:tab w:val="left" w:pos="426"/>
        </w:tabs>
        <w:ind w:left="426" w:hanging="426"/>
      </w:pPr>
      <w:r w:rsidRPr="005F15DA">
        <w:t>-</w:t>
      </w:r>
      <w:r w:rsidRPr="005F15DA">
        <w:tab/>
        <w:t xml:space="preserve">dass die gesetzlichen und statutarischen Anforderungen an die Leistung der Einlagen erfüllt sind. </w:t>
      </w:r>
    </w:p>
    <w:p w:rsidR="00343A9D" w:rsidRPr="005F15DA" w:rsidRDefault="00343A9D" w:rsidP="00343A9D">
      <w:pPr>
        <w:tabs>
          <w:tab w:val="left" w:pos="426"/>
        </w:tabs>
      </w:pPr>
    </w:p>
    <w:p w:rsidR="005D70F9" w:rsidRPr="005F15DA" w:rsidRDefault="005D70F9" w:rsidP="00343A9D">
      <w:pPr>
        <w:tabs>
          <w:tab w:val="left" w:pos="426"/>
        </w:tabs>
      </w:pPr>
      <w:r w:rsidRPr="005F15DA">
        <w:t xml:space="preserve">Die von den Gründern festgesetzten Statuten müssen an der Gründung vorliegen und als Beilage zur Urkunde aufbewahrt werden. </w:t>
      </w:r>
    </w:p>
    <w:p w:rsidR="00343A9D" w:rsidRPr="005F15DA" w:rsidRDefault="00343A9D" w:rsidP="00343A9D">
      <w:pPr>
        <w:tabs>
          <w:tab w:val="left" w:pos="426"/>
        </w:tabs>
      </w:pPr>
    </w:p>
    <w:p w:rsidR="005D70F9" w:rsidRPr="005F15DA" w:rsidRDefault="005D70F9" w:rsidP="00343A9D">
      <w:pPr>
        <w:tabs>
          <w:tab w:val="left" w:pos="426"/>
        </w:tabs>
      </w:pPr>
      <w:r w:rsidRPr="005F15DA">
        <w:t xml:space="preserve">Die Einlagen für die Liberierung der Aktien müssen bei Barzahlung auf ein Sperrkonto einer Schweizer Bank einbezahlt werden, der entsprechende Kontoauszug muss anlässlich der Gründung vorliegen. </w:t>
      </w:r>
    </w:p>
    <w:p w:rsidR="00343A9D" w:rsidRPr="005F15DA" w:rsidRDefault="00343A9D" w:rsidP="00343A9D">
      <w:pPr>
        <w:tabs>
          <w:tab w:val="left" w:pos="426"/>
        </w:tabs>
      </w:pPr>
    </w:p>
    <w:p w:rsidR="005D70F9" w:rsidRPr="005F15DA" w:rsidRDefault="005D70F9" w:rsidP="00343A9D">
      <w:pPr>
        <w:tabs>
          <w:tab w:val="left" w:pos="426"/>
        </w:tabs>
      </w:pPr>
      <w:r w:rsidRPr="005F15DA">
        <w:t>Weiter sind anlässlich der Gründung die Mitglieder des Verwaltungsrats und allenfalls die R</w:t>
      </w:r>
      <w:r w:rsidRPr="005F15DA">
        <w:t>e</w:t>
      </w:r>
      <w:r w:rsidRPr="005F15DA">
        <w:t xml:space="preserve">visionsstelle zu wählen. Sofern ein Verwaltungsrat an der Gründung nicht teilnimmt oder wenn eine Revisionsstelle gewählt wird und der Revisor nicht persönlich an der Gründung teilnimmt, müssen von diesen Personen Wahlannahmeerklärungen eingeholt werden. Diese müssen spätestens anlässlich der Anmeldung beim Handelsregister vorliegen und diesem abgegeben werden, liegen aber meist bereits bei der Gründung vor. </w:t>
      </w:r>
    </w:p>
    <w:p w:rsidR="00343A9D" w:rsidRPr="005F15DA" w:rsidRDefault="00343A9D" w:rsidP="00343A9D">
      <w:pPr>
        <w:tabs>
          <w:tab w:val="left" w:pos="426"/>
        </w:tabs>
      </w:pPr>
    </w:p>
    <w:p w:rsidR="005D70F9" w:rsidRPr="005F15DA" w:rsidRDefault="005D70F9" w:rsidP="00343A9D">
      <w:pPr>
        <w:tabs>
          <w:tab w:val="left" w:pos="426"/>
        </w:tabs>
      </w:pPr>
      <w:r w:rsidRPr="005F15DA">
        <w:t xml:space="preserve">Der Notar hat in der Gründungsurkunde die Belege über die Gründung einzeln zu nennen und zu bestätigen, dass sie ihm und den Gründern vorgelegen haben. </w:t>
      </w:r>
    </w:p>
    <w:p w:rsidR="00343A9D" w:rsidRPr="005F15DA" w:rsidRDefault="00343A9D" w:rsidP="00343A9D">
      <w:pPr>
        <w:tabs>
          <w:tab w:val="left" w:pos="426"/>
        </w:tabs>
      </w:pPr>
    </w:p>
    <w:p w:rsidR="005D70F9" w:rsidRPr="005F15DA" w:rsidRDefault="005D70F9" w:rsidP="00343A9D">
      <w:pPr>
        <w:tabs>
          <w:tab w:val="left" w:pos="426"/>
        </w:tabs>
      </w:pPr>
      <w:r w:rsidRPr="005F15DA">
        <w:t xml:space="preserve">Nach der Gründung wird eine Ausfertigung der Gründungsurkunde dem Handelsregisteramt zur Eintragung zugestellt. Erst mit der Handelsregistereintragung erlangt die Gesellschaft dann ihre Rechtspersönlichkeit, die Handelsregistereintragung hat also konstitutive Wirkung. </w:t>
      </w:r>
    </w:p>
    <w:p w:rsidR="00343A9D" w:rsidRPr="005F15DA" w:rsidRDefault="00343A9D" w:rsidP="00343A9D">
      <w:pPr>
        <w:tabs>
          <w:tab w:val="left" w:pos="426"/>
        </w:tabs>
      </w:pPr>
    </w:p>
    <w:p w:rsidR="005D70F9" w:rsidRPr="005F15DA" w:rsidRDefault="005D70F9" w:rsidP="00343A9D">
      <w:pPr>
        <w:tabs>
          <w:tab w:val="left" w:pos="426"/>
        </w:tabs>
      </w:pPr>
      <w:r w:rsidRPr="005F15DA">
        <w:t xml:space="preserve">Dieses Gründungsverfahren wird als </w:t>
      </w:r>
      <w:r w:rsidRPr="005F15DA">
        <w:rPr>
          <w:b/>
        </w:rPr>
        <w:t>Simultanverfahren</w:t>
      </w:r>
      <w:r w:rsidRPr="005F15DA">
        <w:t xml:space="preserve"> bezeichnet. </w:t>
      </w:r>
    </w:p>
    <w:p w:rsidR="00343A9D" w:rsidRPr="005F15DA" w:rsidRDefault="00343A9D" w:rsidP="00343A9D">
      <w:pPr>
        <w:tabs>
          <w:tab w:val="left" w:pos="426"/>
        </w:tabs>
      </w:pPr>
    </w:p>
    <w:p w:rsidR="005D70F9" w:rsidRPr="005F15DA" w:rsidRDefault="005D70F9" w:rsidP="00343A9D">
      <w:pPr>
        <w:tabs>
          <w:tab w:val="left" w:pos="426"/>
        </w:tabs>
      </w:pPr>
      <w:r w:rsidRPr="005F15DA">
        <w:t xml:space="preserve">Daneben ist ein aufwendigeres Verfahren für </w:t>
      </w:r>
      <w:r w:rsidRPr="005F15DA">
        <w:rPr>
          <w:b/>
        </w:rPr>
        <w:t>qualifizierte Gründungen</w:t>
      </w:r>
      <w:r w:rsidRPr="005F15DA">
        <w:t xml:space="preserve"> bei Sacheinlagen, Sachübernahmen, Verrechnung sowie bei der Einräumung besonderer Vorteile vorgesehen.</w:t>
      </w:r>
    </w:p>
    <w:p w:rsidR="00343A9D" w:rsidRPr="005F15DA" w:rsidRDefault="00343A9D" w:rsidP="00343A9D">
      <w:pPr>
        <w:tabs>
          <w:tab w:val="left" w:pos="426"/>
        </w:tabs>
      </w:pPr>
    </w:p>
    <w:p w:rsidR="005D70F9" w:rsidRPr="005F15DA" w:rsidRDefault="005D70F9" w:rsidP="00343A9D">
      <w:pPr>
        <w:tabs>
          <w:tab w:val="left" w:pos="426"/>
        </w:tabs>
      </w:pPr>
      <w:r w:rsidRPr="005F15DA">
        <w:t>Sacheinlagen gelten nur dann als Deckung, wenn sie mittels eines schriftlichen oder (bei Grundstücken) öffentlich beurkundeten Sacheinlagevertrages geleistet werden, die Gesel</w:t>
      </w:r>
      <w:r w:rsidRPr="005F15DA">
        <w:t>l</w:t>
      </w:r>
      <w:r w:rsidRPr="005F15DA">
        <w:t xml:space="preserve">schaft nach ihrer Eintragung im Handelsregister sofort als Eigentümerin darüber verfügen kann oder einen bedingungslosen Anspruch auf Eintragung im Grundbuch erhält und ein Gründungsbericht mit Prüfungsbestätigung des Revisors vorliegt (Art. 634 OR). </w:t>
      </w:r>
    </w:p>
    <w:p w:rsidR="00343A9D" w:rsidRPr="005F15DA" w:rsidRDefault="00343A9D" w:rsidP="00343A9D">
      <w:pPr>
        <w:tabs>
          <w:tab w:val="left" w:pos="426"/>
        </w:tabs>
      </w:pPr>
    </w:p>
    <w:p w:rsidR="005D70F9" w:rsidRPr="005F15DA" w:rsidRDefault="005D70F9" w:rsidP="00343A9D">
      <w:pPr>
        <w:tabs>
          <w:tab w:val="left" w:pos="426"/>
        </w:tabs>
      </w:pPr>
      <w:r w:rsidRPr="005F15DA">
        <w:t>Die Gründer haben bei der qualifizierten Gründung zudem in einem besonderen Gründung</w:t>
      </w:r>
      <w:r w:rsidRPr="005F15DA">
        <w:t>s</w:t>
      </w:r>
      <w:r w:rsidRPr="005F15DA">
        <w:t>bericht (Art. 635 OR) Rechenschaft über die Art und den Zustand von Sacheinlagen oder Sachübernahmen und die Angemessenheit der Bewertung, den Bestand und die Verreche</w:t>
      </w:r>
      <w:r w:rsidRPr="005F15DA">
        <w:t>n</w:t>
      </w:r>
      <w:r w:rsidRPr="005F15DA">
        <w:lastRenderedPageBreak/>
        <w:t>barkeit der Schuld und die Begründung und die Angemessenheit besonderer Vorteil zugun</w:t>
      </w:r>
      <w:r w:rsidRPr="005F15DA">
        <w:t>s</w:t>
      </w:r>
      <w:r w:rsidRPr="005F15DA">
        <w:t xml:space="preserve">ten der Gründer oder anderen Personen abzulegen. Dieser Gründungsbericht ist zusätzlich von einem zugelassenen Revisor als vollständig und richtig zu bestätigen. </w:t>
      </w:r>
    </w:p>
    <w:p w:rsidR="00343A9D" w:rsidRPr="005F15DA" w:rsidRDefault="00343A9D" w:rsidP="00343A9D">
      <w:pPr>
        <w:tabs>
          <w:tab w:val="left" w:pos="426"/>
        </w:tabs>
      </w:pPr>
    </w:p>
    <w:p w:rsidR="005D70F9" w:rsidRPr="005F15DA" w:rsidRDefault="005D70F9" w:rsidP="00343A9D">
      <w:pPr>
        <w:tabs>
          <w:tab w:val="left" w:pos="426"/>
        </w:tabs>
      </w:pPr>
      <w:r w:rsidRPr="005F15DA">
        <w:t xml:space="preserve">Der Sacheinlagevertrag, der Gründungsbericht und die Prüfungsbestätigung des Revisors sind ebenfalls als Beilagen zur Errichtungsurkunde aufzubewahren und dem Handelsregister einzuliefern. </w:t>
      </w:r>
    </w:p>
    <w:p w:rsidR="00227798" w:rsidRPr="005F15DA" w:rsidRDefault="00227798" w:rsidP="00343A9D">
      <w:pPr>
        <w:tabs>
          <w:tab w:val="left" w:pos="426"/>
        </w:tabs>
      </w:pPr>
    </w:p>
    <w:p w:rsidR="00227798" w:rsidRPr="005F15DA" w:rsidRDefault="00227798" w:rsidP="00343A9D">
      <w:pPr>
        <w:tabs>
          <w:tab w:val="left" w:pos="426"/>
        </w:tabs>
      </w:pPr>
    </w:p>
    <w:p w:rsidR="005D70F9" w:rsidRPr="005F15DA" w:rsidRDefault="00227798" w:rsidP="00227798">
      <w:pPr>
        <w:pStyle w:val="berschrift3"/>
        <w:rPr>
          <w:lang w:val="de-CH"/>
        </w:rPr>
      </w:pPr>
      <w:bookmarkStart w:id="84" w:name="_Toc432175605"/>
      <w:r w:rsidRPr="005F15DA">
        <w:rPr>
          <w:lang w:val="de-CH"/>
        </w:rPr>
        <w:t>G</w:t>
      </w:r>
      <w:r w:rsidR="005D70F9" w:rsidRPr="005F15DA">
        <w:rPr>
          <w:lang w:val="de-CH"/>
        </w:rPr>
        <w:t>.</w:t>
      </w:r>
      <w:r w:rsidR="005D70F9" w:rsidRPr="005F15DA">
        <w:rPr>
          <w:lang w:val="de-CH"/>
        </w:rPr>
        <w:tab/>
        <w:t>Statutenänderungen</w:t>
      </w:r>
      <w:bookmarkEnd w:id="84"/>
      <w:r w:rsidR="005D70F9" w:rsidRPr="005F15DA">
        <w:rPr>
          <w:lang w:val="de-CH"/>
        </w:rPr>
        <w:t xml:space="preserve"> </w:t>
      </w:r>
    </w:p>
    <w:p w:rsidR="00343A9D" w:rsidRPr="005F15DA" w:rsidRDefault="00343A9D" w:rsidP="005D70F9">
      <w:pPr>
        <w:tabs>
          <w:tab w:val="left" w:pos="426"/>
        </w:tabs>
        <w:spacing w:before="60"/>
        <w:jc w:val="both"/>
        <w:rPr>
          <w:b/>
          <w:spacing w:val="-2"/>
          <w:szCs w:val="22"/>
        </w:rPr>
      </w:pPr>
    </w:p>
    <w:p w:rsidR="005D70F9" w:rsidRPr="005F15DA" w:rsidRDefault="00343A9D" w:rsidP="00343A9D">
      <w:pPr>
        <w:pStyle w:val="berschrift4"/>
      </w:pPr>
      <w:r w:rsidRPr="005F15DA">
        <w:t>1.</w:t>
      </w:r>
      <w:r w:rsidRPr="005F15DA">
        <w:tab/>
      </w:r>
      <w:r w:rsidR="005D70F9" w:rsidRPr="005F15DA">
        <w:t xml:space="preserve">Allgemein (Art. 647 OR) </w:t>
      </w:r>
    </w:p>
    <w:p w:rsidR="00343A9D" w:rsidRPr="005F15DA" w:rsidRDefault="00343A9D" w:rsidP="00343A9D">
      <w:pPr>
        <w:ind w:left="426"/>
      </w:pPr>
    </w:p>
    <w:p w:rsidR="005D70F9" w:rsidRPr="005F15DA" w:rsidRDefault="005D70F9" w:rsidP="00343A9D">
      <w:pPr>
        <w:ind w:left="426"/>
      </w:pPr>
      <w:r w:rsidRPr="005F15DA">
        <w:t>Jeder Beschluss der Generalversammlung oder – in seltenen Fällen – des Verwaltung</w:t>
      </w:r>
      <w:r w:rsidRPr="005F15DA">
        <w:t>s</w:t>
      </w:r>
      <w:r w:rsidRPr="005F15DA">
        <w:t>rates über eine Änderung der Statuten muss öffentlich beurkundet werden, unabhängig davon, was genau in den Statuten geändert wird. Es handelt sich dabei üblicherweise um eine Feststellungsurkunde, in welcher der Notar die Beschlüsse der Generalversam</w:t>
      </w:r>
      <w:r w:rsidRPr="005F15DA">
        <w:t>m</w:t>
      </w:r>
      <w:r w:rsidRPr="005F15DA">
        <w:t>lung oder der Verwaltungsratssitzung protokolliert.</w:t>
      </w:r>
    </w:p>
    <w:p w:rsidR="00343A9D" w:rsidRPr="005F15DA" w:rsidRDefault="00343A9D" w:rsidP="00343A9D">
      <w:pPr>
        <w:ind w:left="426"/>
      </w:pPr>
    </w:p>
    <w:p w:rsidR="005D70F9" w:rsidRPr="005F15DA" w:rsidRDefault="005D70F9" w:rsidP="00343A9D">
      <w:pPr>
        <w:ind w:left="426"/>
      </w:pPr>
      <w:r w:rsidRPr="005F15DA">
        <w:t>Jede Statutenänderung ist zudem vom Verwaltungsrat beim Handelsregister anzume</w:t>
      </w:r>
      <w:r w:rsidRPr="005F15DA">
        <w:t>l</w:t>
      </w:r>
      <w:r w:rsidRPr="005F15DA">
        <w:t>den. Der Anmeldung müssen immer eine Ausfertigung der öffentlichen Urkunde sowie ein beglaubigtes Exemplar der geänderten Statuten als Belege beigelegt werden.</w:t>
      </w:r>
    </w:p>
    <w:p w:rsidR="00343A9D" w:rsidRPr="005F15DA" w:rsidRDefault="00343A9D" w:rsidP="00343A9D">
      <w:pPr>
        <w:ind w:left="426"/>
      </w:pPr>
    </w:p>
    <w:p w:rsidR="005D70F9" w:rsidRPr="005F15DA" w:rsidRDefault="005D70F9" w:rsidP="00343A9D">
      <w:pPr>
        <w:ind w:left="426"/>
      </w:pPr>
      <w:r w:rsidRPr="005F15DA">
        <w:t>Zu beachten gilt insbesondere, dass der Wortlaut der revidierten Statuten mit Ausnahme der gemäss Beschluss des zuständigen Organs geänderten Bestimmungen mit dem Wortlaut der bisherigen, sich beim Handelsregisteramt befindlichen Statuten genau übe</w:t>
      </w:r>
      <w:r w:rsidRPr="005F15DA">
        <w:t>r</w:t>
      </w:r>
      <w:r w:rsidRPr="005F15DA">
        <w:t>einstimmen muss.</w:t>
      </w:r>
    </w:p>
    <w:p w:rsidR="00343A9D" w:rsidRPr="005F15DA" w:rsidRDefault="00343A9D" w:rsidP="00343A9D">
      <w:pPr>
        <w:ind w:left="426"/>
      </w:pPr>
    </w:p>
    <w:p w:rsidR="005D70F9" w:rsidRPr="005F15DA" w:rsidRDefault="005D70F9" w:rsidP="00343A9D">
      <w:pPr>
        <w:ind w:left="426"/>
      </w:pPr>
      <w:r w:rsidRPr="005F15DA">
        <w:t>Soweit publikationspflichtige Tatsachen (Statutendatum; Firma; Sitz; Zweck; allenfalls Dauer der Gesellschaft; Höhe des Aktienkapitals; Liberierung; Anzahl, Nennwert und Art der Aktien; Beschränkungen der Übertragbarkeit; Vorrechte einzelner Kategorien; evtl. Sacheinlagen, Sachübernahmen und besondere Vorteile; Anzahl der Genussscheine mit Angabe des Inhalts der damit verbundenen Rechte; Art und Weise der Bekanntmachu</w:t>
      </w:r>
      <w:r w:rsidRPr="005F15DA">
        <w:t>n</w:t>
      </w:r>
      <w:r w:rsidRPr="005F15DA">
        <w:t>gen und, wenn in den Statuten enthalten, der Mitteilungen an die Aktionäre) von der St</w:t>
      </w:r>
      <w:r w:rsidRPr="005F15DA">
        <w:t>a</w:t>
      </w:r>
      <w:r w:rsidRPr="005F15DA">
        <w:t>tutenänderung betroffen sind, sind diese in der Handelsregisteranmeldung einzeln aufz</w:t>
      </w:r>
      <w:r w:rsidRPr="005F15DA">
        <w:t>u</w:t>
      </w:r>
      <w:r w:rsidRPr="005F15DA">
        <w:t>führen. Dies gilt selbstverständlich auch, wenn sich eine andere, nicht in den Statuten enthaltenen publikationspflichtige Tatsache ändert (Namen der Mitglieder des Verwa</w:t>
      </w:r>
      <w:r w:rsidRPr="005F15DA">
        <w:t>l</w:t>
      </w:r>
      <w:r w:rsidRPr="005F15DA">
        <w:t>tungsrates und der zur Vertretung befugten Personen unter Angabe von Wohnsitz und Heimatort/Staatsangehörigkeit und Art der Ausübung der Vertretung; Name oder Firma der Revisoren, unter Angabe des Wohnsitzes oder des Sitzes bzw. Zweigniederlassung; Domizil der Gesellschaft).</w:t>
      </w:r>
    </w:p>
    <w:p w:rsidR="00343A9D" w:rsidRPr="005F15DA" w:rsidRDefault="00343A9D" w:rsidP="00343A9D">
      <w:pPr>
        <w:ind w:left="426"/>
      </w:pPr>
    </w:p>
    <w:p w:rsidR="00343A9D" w:rsidRPr="005F15DA" w:rsidRDefault="00343A9D" w:rsidP="00343A9D">
      <w:pPr>
        <w:ind w:left="426"/>
      </w:pPr>
    </w:p>
    <w:p w:rsidR="00E85608" w:rsidRDefault="00E85608">
      <w:pPr>
        <w:spacing w:after="200"/>
        <w:rPr>
          <w:rFonts w:eastAsiaTheme="majorEastAsia" w:cstheme="majorBidi"/>
          <w:b/>
          <w:bCs/>
          <w:iCs/>
          <w:color w:val="000000" w:themeColor="text1"/>
          <w:sz w:val="24"/>
        </w:rPr>
      </w:pPr>
      <w:r>
        <w:br w:type="page"/>
      </w:r>
    </w:p>
    <w:p w:rsidR="005D70F9" w:rsidRPr="005F15DA" w:rsidRDefault="005D70F9" w:rsidP="00343A9D">
      <w:pPr>
        <w:pStyle w:val="berschrift4"/>
      </w:pPr>
      <w:r w:rsidRPr="005F15DA">
        <w:lastRenderedPageBreak/>
        <w:t>2.</w:t>
      </w:r>
      <w:r w:rsidR="00343A9D" w:rsidRPr="005F15DA">
        <w:tab/>
      </w:r>
      <w:r w:rsidRPr="005F15DA">
        <w:t>Sitzverlegung</w:t>
      </w:r>
    </w:p>
    <w:p w:rsidR="00343A9D" w:rsidRPr="005F15DA" w:rsidRDefault="00343A9D" w:rsidP="00343A9D">
      <w:pPr>
        <w:ind w:left="426"/>
      </w:pPr>
    </w:p>
    <w:p w:rsidR="005D70F9" w:rsidRPr="005F15DA" w:rsidRDefault="005D70F9" w:rsidP="00343A9D">
      <w:pPr>
        <w:ind w:left="426"/>
      </w:pPr>
      <w:r w:rsidRPr="005F15DA">
        <w:t>Die Verlegung des Sitzes, d.h. der Wechsel in eine andere politische Gemeinde, bedarf einer Statutenänderung, da der Sitz in den Statuten festgehalten ist, nicht jedoch ein D</w:t>
      </w:r>
      <w:r w:rsidRPr="005F15DA">
        <w:t>o</w:t>
      </w:r>
      <w:r w:rsidRPr="005F15DA">
        <w:t xml:space="preserve">mizilwechsel, d.h. der Umzug der Gesellschaft innerhalb der politischen Gemeinde. </w:t>
      </w:r>
    </w:p>
    <w:p w:rsidR="00343A9D" w:rsidRPr="005F15DA" w:rsidRDefault="00343A9D" w:rsidP="00343A9D">
      <w:pPr>
        <w:ind w:left="426"/>
      </w:pPr>
    </w:p>
    <w:p w:rsidR="005D70F9" w:rsidRPr="005F15DA" w:rsidRDefault="005D70F9" w:rsidP="00343A9D">
      <w:pPr>
        <w:ind w:left="426"/>
      </w:pPr>
      <w:r w:rsidRPr="005F15DA">
        <w:t>Grundsätzlich gelten die obigen Ausführungen; zu beachten ist jedoch, dass für den Fall, dass der Sitz von einem Kanton in einen anderen verlegt wird (z.B. von Bern nach Z</w:t>
      </w:r>
      <w:r w:rsidRPr="005F15DA">
        <w:t>ü</w:t>
      </w:r>
      <w:r w:rsidRPr="005F15DA">
        <w:t>rich), der Handelsregisteranmeldung zusätzlich als Belege ein aktueller Handelsregiste</w:t>
      </w:r>
      <w:r w:rsidRPr="005F15DA">
        <w:t>r</w:t>
      </w:r>
      <w:r w:rsidRPr="005F15DA">
        <w:t>auszug sowie ein vom bisherigen Handelsregister beglaubigtes Exemplar der Statuten beizulegen sind (Art. 123 HRegV, SR 221.411) sowie die beglaubigten Unterschriften der anmeldenden Personen.</w:t>
      </w:r>
    </w:p>
    <w:p w:rsidR="00343A9D" w:rsidRPr="005F15DA" w:rsidRDefault="00343A9D" w:rsidP="00343A9D">
      <w:pPr>
        <w:ind w:left="426"/>
      </w:pPr>
    </w:p>
    <w:p w:rsidR="005D70F9" w:rsidRPr="005F15DA" w:rsidRDefault="005D70F9" w:rsidP="00343A9D">
      <w:pPr>
        <w:ind w:left="426"/>
      </w:pPr>
      <w:r w:rsidRPr="005F15DA">
        <w:t xml:space="preserve">Die Handelsregisteranmeldung erfolgt am neuen Sitz, diese muss dieselben Angaben enthalten wie bei der Gründung sowie zusätzlich den bisherigen Sitz. </w:t>
      </w:r>
    </w:p>
    <w:p w:rsidR="00343A9D" w:rsidRPr="005F15DA" w:rsidRDefault="00343A9D" w:rsidP="00343A9D">
      <w:pPr>
        <w:ind w:left="426"/>
      </w:pPr>
    </w:p>
    <w:p w:rsidR="00343A9D" w:rsidRPr="005F15DA" w:rsidRDefault="00343A9D" w:rsidP="00343A9D">
      <w:pPr>
        <w:ind w:left="426"/>
      </w:pPr>
    </w:p>
    <w:p w:rsidR="005D70F9" w:rsidRPr="005F15DA" w:rsidRDefault="005D70F9" w:rsidP="00343A9D">
      <w:pPr>
        <w:pStyle w:val="berschrift4"/>
      </w:pPr>
      <w:r w:rsidRPr="005F15DA">
        <w:t>3.</w:t>
      </w:r>
      <w:r w:rsidR="00343A9D" w:rsidRPr="005F15DA">
        <w:tab/>
      </w:r>
      <w:r w:rsidRPr="005F15DA">
        <w:t xml:space="preserve">Kapitalerhöhungen (Art. 650 – 652h OR) </w:t>
      </w:r>
    </w:p>
    <w:p w:rsidR="00343A9D" w:rsidRPr="005F15DA" w:rsidRDefault="00343A9D" w:rsidP="00343A9D">
      <w:pPr>
        <w:tabs>
          <w:tab w:val="left" w:pos="709"/>
        </w:tabs>
        <w:ind w:left="426"/>
      </w:pPr>
    </w:p>
    <w:p w:rsidR="005D70F9" w:rsidRPr="005F15DA" w:rsidRDefault="005D70F9" w:rsidP="00343A9D">
      <w:pPr>
        <w:tabs>
          <w:tab w:val="left" w:pos="709"/>
        </w:tabs>
        <w:ind w:left="426"/>
      </w:pPr>
      <w:r w:rsidRPr="005F15DA">
        <w:t xml:space="preserve">Bei der Kapitalerhöhung gibt es ein </w:t>
      </w:r>
      <w:r w:rsidRPr="005F15DA">
        <w:rPr>
          <w:b/>
        </w:rPr>
        <w:t>zweistufiges Verfahren</w:t>
      </w:r>
      <w:r w:rsidRPr="005F15DA">
        <w:t xml:space="preserve">: </w:t>
      </w:r>
    </w:p>
    <w:p w:rsidR="005D70F9" w:rsidRPr="005F15DA" w:rsidRDefault="005D70F9" w:rsidP="00343A9D">
      <w:pPr>
        <w:tabs>
          <w:tab w:val="left" w:pos="709"/>
        </w:tabs>
        <w:ind w:left="426"/>
      </w:pPr>
      <w:r w:rsidRPr="005F15DA">
        <w:t>-</w:t>
      </w:r>
      <w:r w:rsidRPr="005F15DA">
        <w:tab/>
        <w:t xml:space="preserve">Zuerst beschliesst die </w:t>
      </w:r>
      <w:r w:rsidRPr="005F15DA">
        <w:rPr>
          <w:b/>
        </w:rPr>
        <w:t>Generalversammlung die Kapitalerhöhung</w:t>
      </w:r>
      <w:r w:rsidRPr="005F15DA">
        <w:t xml:space="preserve">, </w:t>
      </w:r>
    </w:p>
    <w:p w:rsidR="005D70F9" w:rsidRPr="005F15DA" w:rsidRDefault="005D70F9" w:rsidP="00343A9D">
      <w:pPr>
        <w:tabs>
          <w:tab w:val="left" w:pos="709"/>
        </w:tabs>
        <w:ind w:left="709" w:hanging="283"/>
      </w:pPr>
      <w:r w:rsidRPr="005F15DA">
        <w:t>-</w:t>
      </w:r>
      <w:r w:rsidRPr="005F15DA">
        <w:tab/>
        <w:t xml:space="preserve">anschliessend wird diese vom </w:t>
      </w:r>
      <w:r w:rsidRPr="005F15DA">
        <w:rPr>
          <w:b/>
        </w:rPr>
        <w:t>Verwaltungsrat durchgeführt</w:t>
      </w:r>
      <w:r w:rsidRPr="005F15DA">
        <w:t>, welcher dann im Ra</w:t>
      </w:r>
      <w:r w:rsidRPr="005F15DA">
        <w:t>h</w:t>
      </w:r>
      <w:r w:rsidRPr="005F15DA">
        <w:t>men einer Verwaltungsratssitzung die notwendigen Feststellungen trifft und die Stat</w:t>
      </w:r>
      <w:r w:rsidRPr="005F15DA">
        <w:t>u</w:t>
      </w:r>
      <w:r w:rsidRPr="005F15DA">
        <w:t xml:space="preserve">ten ändert. </w:t>
      </w:r>
    </w:p>
    <w:p w:rsidR="00343A9D" w:rsidRPr="005F15DA" w:rsidRDefault="00343A9D" w:rsidP="00343A9D">
      <w:pPr>
        <w:tabs>
          <w:tab w:val="left" w:pos="709"/>
        </w:tabs>
        <w:ind w:left="426"/>
      </w:pPr>
    </w:p>
    <w:p w:rsidR="005D70F9" w:rsidRPr="005F15DA" w:rsidRDefault="005D70F9" w:rsidP="00343A9D">
      <w:pPr>
        <w:tabs>
          <w:tab w:val="left" w:pos="709"/>
        </w:tabs>
        <w:ind w:left="426"/>
      </w:pPr>
      <w:r w:rsidRPr="005F15DA">
        <w:t xml:space="preserve">Sowohl der Beschluss der Generalversammlung als auch derjenige des Verwaltungsrates sind öffentlich zu beurkunden. </w:t>
      </w:r>
    </w:p>
    <w:p w:rsidR="00343A9D" w:rsidRPr="005F15DA" w:rsidRDefault="00343A9D" w:rsidP="00343A9D">
      <w:pPr>
        <w:tabs>
          <w:tab w:val="left" w:pos="709"/>
        </w:tabs>
        <w:ind w:left="426"/>
      </w:pPr>
    </w:p>
    <w:p w:rsidR="005D70F9" w:rsidRPr="005F15DA" w:rsidRDefault="005D70F9" w:rsidP="00343A9D">
      <w:pPr>
        <w:tabs>
          <w:tab w:val="left" w:pos="709"/>
        </w:tabs>
        <w:ind w:left="426"/>
      </w:pPr>
      <w:r w:rsidRPr="005F15DA">
        <w:t xml:space="preserve">Der </w:t>
      </w:r>
      <w:r w:rsidRPr="005F15DA">
        <w:rPr>
          <w:b/>
        </w:rPr>
        <w:t>Beschluss der Generalversammlung</w:t>
      </w:r>
      <w:r w:rsidRPr="005F15DA">
        <w:t xml:space="preserve"> bei der ordentlichen Kapitalerhöhung muss folgende Angaben enthalten: </w:t>
      </w:r>
    </w:p>
    <w:p w:rsidR="005D70F9" w:rsidRPr="005F15DA" w:rsidRDefault="005D70F9" w:rsidP="00343A9D">
      <w:pPr>
        <w:tabs>
          <w:tab w:val="left" w:pos="709"/>
        </w:tabs>
        <w:ind w:left="709" w:hanging="283"/>
      </w:pPr>
      <w:r w:rsidRPr="005F15DA">
        <w:t>-</w:t>
      </w:r>
      <w:r w:rsidRPr="005F15DA">
        <w:tab/>
        <w:t>den gesamten Nennbetrag, um den das Aktienkapital erhöht werden soll, und den B</w:t>
      </w:r>
      <w:r w:rsidRPr="005F15DA">
        <w:t>e</w:t>
      </w:r>
      <w:r w:rsidRPr="005F15DA">
        <w:t>trag der darauf zu leistenden Einlagen;</w:t>
      </w:r>
    </w:p>
    <w:p w:rsidR="005D70F9" w:rsidRPr="005F15DA" w:rsidRDefault="005D70F9" w:rsidP="00343A9D">
      <w:pPr>
        <w:tabs>
          <w:tab w:val="left" w:pos="709"/>
        </w:tabs>
        <w:ind w:left="709" w:hanging="283"/>
      </w:pPr>
      <w:r w:rsidRPr="005F15DA">
        <w:t>-</w:t>
      </w:r>
      <w:r w:rsidRPr="005F15DA">
        <w:tab/>
        <w:t>Anzahl, Nennwert und Art der neuen Aktien sowie Vorrechte einzelner Kategorien;</w:t>
      </w:r>
    </w:p>
    <w:p w:rsidR="005D70F9" w:rsidRPr="005F15DA" w:rsidRDefault="005D70F9" w:rsidP="00343A9D">
      <w:pPr>
        <w:tabs>
          <w:tab w:val="left" w:pos="709"/>
        </w:tabs>
        <w:ind w:left="709" w:hanging="283"/>
      </w:pPr>
      <w:r w:rsidRPr="005F15DA">
        <w:t>-</w:t>
      </w:r>
      <w:r w:rsidRPr="005F15DA">
        <w:tab/>
        <w:t>den Ausgabebetrag oder die Ermächtigung an den Verwaltungsrat, diesen festzuse</w:t>
      </w:r>
      <w:r w:rsidRPr="005F15DA">
        <w:t>t</w:t>
      </w:r>
      <w:r w:rsidRPr="005F15DA">
        <w:t>zen;</w:t>
      </w:r>
    </w:p>
    <w:p w:rsidR="005D70F9" w:rsidRPr="005F15DA" w:rsidRDefault="005D70F9" w:rsidP="00343A9D">
      <w:pPr>
        <w:tabs>
          <w:tab w:val="left" w:pos="709"/>
        </w:tabs>
        <w:ind w:left="709" w:hanging="283"/>
      </w:pPr>
      <w:r w:rsidRPr="005F15DA">
        <w:t>-</w:t>
      </w:r>
      <w:r w:rsidRPr="005F15DA">
        <w:tab/>
        <w:t>den Beginn der Dividendenberechtigung der neuen Aktien;</w:t>
      </w:r>
    </w:p>
    <w:p w:rsidR="005D70F9" w:rsidRPr="005F15DA" w:rsidRDefault="005D70F9" w:rsidP="00343A9D">
      <w:pPr>
        <w:tabs>
          <w:tab w:val="left" w:pos="709"/>
        </w:tabs>
        <w:ind w:left="709" w:hanging="283"/>
      </w:pPr>
      <w:r w:rsidRPr="005F15DA">
        <w:t>-</w:t>
      </w:r>
      <w:r w:rsidRPr="005F15DA">
        <w:tab/>
        <w:t>die Art der Einlagen, bei Sacheinlagen deren Gegenstand und Bewertung sowie den Namen des Sacheinlegers und die ihm zukommenden Aktien;</w:t>
      </w:r>
    </w:p>
    <w:p w:rsidR="005D70F9" w:rsidRPr="005F15DA" w:rsidRDefault="005D70F9" w:rsidP="00343A9D">
      <w:pPr>
        <w:tabs>
          <w:tab w:val="left" w:pos="709"/>
        </w:tabs>
        <w:ind w:left="709" w:hanging="283"/>
      </w:pPr>
      <w:r w:rsidRPr="005F15DA">
        <w:t>-</w:t>
      </w:r>
      <w:r w:rsidRPr="005F15DA">
        <w:tab/>
        <w:t>bei Sachübernahmen den Gegenstand, den Namen des Veräusserers und die Gege</w:t>
      </w:r>
      <w:r w:rsidRPr="005F15DA">
        <w:t>n</w:t>
      </w:r>
      <w:r w:rsidRPr="005F15DA">
        <w:t>leistung der Gesellschaft;</w:t>
      </w:r>
    </w:p>
    <w:p w:rsidR="005D70F9" w:rsidRPr="005F15DA" w:rsidRDefault="005D70F9" w:rsidP="00343A9D">
      <w:pPr>
        <w:tabs>
          <w:tab w:val="left" w:pos="709"/>
        </w:tabs>
        <w:ind w:left="709" w:hanging="283"/>
      </w:pPr>
      <w:r w:rsidRPr="005F15DA">
        <w:t>-</w:t>
      </w:r>
      <w:r w:rsidRPr="005F15DA">
        <w:tab/>
        <w:t>Inhalt und Wert von besonderen Vorteilen sowie die Namen der begünstigten Pers</w:t>
      </w:r>
      <w:r w:rsidRPr="005F15DA">
        <w:t>o</w:t>
      </w:r>
      <w:r w:rsidRPr="005F15DA">
        <w:t>nen;</w:t>
      </w:r>
    </w:p>
    <w:p w:rsidR="005D70F9" w:rsidRPr="005F15DA" w:rsidRDefault="005D70F9" w:rsidP="00343A9D">
      <w:pPr>
        <w:tabs>
          <w:tab w:val="left" w:pos="709"/>
        </w:tabs>
        <w:ind w:left="709" w:hanging="283"/>
      </w:pPr>
      <w:r w:rsidRPr="005F15DA">
        <w:t>-</w:t>
      </w:r>
      <w:r w:rsidRPr="005F15DA">
        <w:tab/>
        <w:t>eine Beschränkung der Übertragbarkeit neuer Namenaktien;</w:t>
      </w:r>
    </w:p>
    <w:p w:rsidR="005D70F9" w:rsidRPr="005F15DA" w:rsidRDefault="005D70F9" w:rsidP="00343A9D">
      <w:pPr>
        <w:tabs>
          <w:tab w:val="left" w:pos="709"/>
        </w:tabs>
        <w:ind w:left="709" w:hanging="283"/>
      </w:pPr>
      <w:r w:rsidRPr="005F15DA">
        <w:t>-</w:t>
      </w:r>
      <w:r w:rsidRPr="005F15DA">
        <w:tab/>
        <w:t>eine Einschränkung oder Aufhebung des Bezugsrechtes und die Zuweisung nicht ausgeübter oder entzogener Bezugsrechte;</w:t>
      </w:r>
    </w:p>
    <w:p w:rsidR="005D70F9" w:rsidRPr="005F15DA" w:rsidRDefault="005D70F9" w:rsidP="005240E6">
      <w:pPr>
        <w:tabs>
          <w:tab w:val="left" w:pos="709"/>
        </w:tabs>
        <w:ind w:left="709" w:hanging="283"/>
      </w:pPr>
      <w:r w:rsidRPr="005F15DA">
        <w:t>-</w:t>
      </w:r>
      <w:r w:rsidRPr="005F15DA">
        <w:tab/>
        <w:t>die Voraussetzungen für die Ausübung vertraglich erworbener Bezugsrechte.</w:t>
      </w:r>
    </w:p>
    <w:p w:rsidR="00343A9D" w:rsidRPr="005F15DA" w:rsidRDefault="00343A9D" w:rsidP="00343A9D">
      <w:pPr>
        <w:tabs>
          <w:tab w:val="left" w:pos="709"/>
        </w:tabs>
        <w:ind w:left="426"/>
      </w:pPr>
    </w:p>
    <w:p w:rsidR="005D70F9" w:rsidRPr="005F15DA" w:rsidRDefault="005D70F9" w:rsidP="00343A9D">
      <w:pPr>
        <w:tabs>
          <w:tab w:val="left" w:pos="709"/>
        </w:tabs>
        <w:ind w:left="426"/>
      </w:pPr>
      <w:r w:rsidRPr="005F15DA">
        <w:lastRenderedPageBreak/>
        <w:t>Jeder Aktionär hat Anspruch auf den Teil der neu ausgegebenen Aktien, der seiner bi</w:t>
      </w:r>
      <w:r w:rsidRPr="005F15DA">
        <w:t>s</w:t>
      </w:r>
      <w:r w:rsidRPr="005F15DA">
        <w:t>herigen Beteiligung entspricht (</w:t>
      </w:r>
      <w:r w:rsidRPr="005F15DA">
        <w:rPr>
          <w:u w:val="single"/>
        </w:rPr>
        <w:t>Bezugsrecht</w:t>
      </w:r>
      <w:r w:rsidRPr="005F15DA">
        <w:t xml:space="preserve">); der Beschluss der Generalversammlung über die Erhöhung des Aktienkapitals darf das Bezugsrecht nur aus wichtigen Gründen aufheben. Als wichtige Gründe gelten insbesondere die Übernahme von Unternehmen, Unternehmensteilen oder Beteiligungen sowie die Beteiligung der Arbeitnehmer. Diese sind in der Urkunde anzugeben. </w:t>
      </w:r>
    </w:p>
    <w:p w:rsidR="00343A9D" w:rsidRPr="005F15DA" w:rsidRDefault="00343A9D" w:rsidP="00343A9D">
      <w:pPr>
        <w:tabs>
          <w:tab w:val="left" w:pos="709"/>
        </w:tabs>
        <w:ind w:left="426"/>
      </w:pPr>
    </w:p>
    <w:p w:rsidR="005D70F9" w:rsidRPr="005F15DA" w:rsidRDefault="005D70F9" w:rsidP="00343A9D">
      <w:pPr>
        <w:tabs>
          <w:tab w:val="left" w:pos="709"/>
        </w:tabs>
        <w:ind w:left="426"/>
      </w:pPr>
      <w:r w:rsidRPr="005F15DA">
        <w:t>Die Aktien werden nach dem Beschluss der Generalversammlung von den interessierten Personen in einer besonderen Urkunde (</w:t>
      </w:r>
      <w:r w:rsidRPr="005F15DA">
        <w:rPr>
          <w:u w:val="single"/>
        </w:rPr>
        <w:t>Zeichnungsschein</w:t>
      </w:r>
      <w:r w:rsidRPr="005F15DA">
        <w:t>) nach den für die Gründung geltenden Regeln gezeichnet, der Zeichnungsschein muss auf den Beschluss der Gen</w:t>
      </w:r>
      <w:r w:rsidRPr="005F15DA">
        <w:t>e</w:t>
      </w:r>
      <w:r w:rsidRPr="005F15DA">
        <w:t>ralversammlung über die Erhöhung oder die Ermächtigung zur Erhöhung des Aktienkap</w:t>
      </w:r>
      <w:r w:rsidRPr="005F15DA">
        <w:t>i</w:t>
      </w:r>
      <w:r w:rsidRPr="005F15DA">
        <w:t>tals und auf den Beschluss des Verwaltungsrates über die Erhöhung Bezug nehmen. Soweit das Gesetz nichts anderes vorschreibt, sind die Einlagen nach den Bestimmu</w:t>
      </w:r>
      <w:r w:rsidRPr="005F15DA">
        <w:t>n</w:t>
      </w:r>
      <w:r w:rsidRPr="005F15DA">
        <w:t>gen über die Gründung zu leisten, d.h. in Bar, durch Sacheinlage oder durch Verrec</w:t>
      </w:r>
      <w:r w:rsidRPr="005F15DA">
        <w:t>h</w:t>
      </w:r>
      <w:r w:rsidRPr="005F15DA">
        <w:t>nung. Die Einlagen können aber auch durch Umwandlung von frei verwendbarem Eige</w:t>
      </w:r>
      <w:r w:rsidRPr="005F15DA">
        <w:t>n</w:t>
      </w:r>
      <w:r w:rsidRPr="005F15DA">
        <w:t xml:space="preserve">kapital geleistet werden </w:t>
      </w:r>
    </w:p>
    <w:p w:rsidR="00343A9D" w:rsidRPr="005F15DA" w:rsidRDefault="00343A9D" w:rsidP="00343A9D">
      <w:pPr>
        <w:tabs>
          <w:tab w:val="left" w:pos="709"/>
        </w:tabs>
        <w:ind w:left="426"/>
      </w:pPr>
    </w:p>
    <w:p w:rsidR="005D70F9" w:rsidRPr="005F15DA" w:rsidRDefault="005D70F9" w:rsidP="00343A9D">
      <w:pPr>
        <w:tabs>
          <w:tab w:val="left" w:pos="709"/>
        </w:tabs>
        <w:ind w:left="426"/>
      </w:pPr>
      <w:r w:rsidRPr="005F15DA">
        <w:t xml:space="preserve">Der </w:t>
      </w:r>
      <w:r w:rsidRPr="005F15DA">
        <w:rPr>
          <w:b/>
        </w:rPr>
        <w:t>Verwaltungsrat</w:t>
      </w:r>
      <w:r w:rsidRPr="005F15DA">
        <w:t xml:space="preserve"> gibt in einem schriftlichen </w:t>
      </w:r>
      <w:r w:rsidRPr="005F15DA">
        <w:rPr>
          <w:b/>
        </w:rPr>
        <w:t>Kapitalerhöhungsbericht</w:t>
      </w:r>
      <w:r w:rsidRPr="005F15DA">
        <w:t xml:space="preserve"> Rechenschaft über: </w:t>
      </w:r>
    </w:p>
    <w:p w:rsidR="005D70F9" w:rsidRPr="005F15DA" w:rsidRDefault="005D70F9" w:rsidP="005240E6">
      <w:pPr>
        <w:tabs>
          <w:tab w:val="left" w:pos="709"/>
        </w:tabs>
        <w:ind w:left="709" w:hanging="283"/>
      </w:pPr>
      <w:r w:rsidRPr="005F15DA">
        <w:t>-</w:t>
      </w:r>
      <w:r w:rsidRPr="005F15DA">
        <w:tab/>
        <w:t>die Art und den Zustand von Sacheinlagen oder Sachübernahmen und die Angeme</w:t>
      </w:r>
      <w:r w:rsidRPr="005F15DA">
        <w:t>s</w:t>
      </w:r>
      <w:r w:rsidRPr="005F15DA">
        <w:t>senheit der Bewertung;</w:t>
      </w:r>
    </w:p>
    <w:p w:rsidR="005D70F9" w:rsidRPr="005F15DA" w:rsidRDefault="005D70F9" w:rsidP="005240E6">
      <w:pPr>
        <w:tabs>
          <w:tab w:val="left" w:pos="709"/>
        </w:tabs>
        <w:ind w:left="709" w:hanging="283"/>
      </w:pPr>
      <w:r w:rsidRPr="005F15DA">
        <w:t>-</w:t>
      </w:r>
      <w:r w:rsidRPr="005F15DA">
        <w:tab/>
        <w:t>den Bestand und die Verrechenbarkeit der Schuld;</w:t>
      </w:r>
    </w:p>
    <w:p w:rsidR="005D70F9" w:rsidRPr="005F15DA" w:rsidRDefault="005D70F9" w:rsidP="005240E6">
      <w:pPr>
        <w:tabs>
          <w:tab w:val="left" w:pos="709"/>
        </w:tabs>
        <w:ind w:left="709" w:hanging="283"/>
      </w:pPr>
      <w:r w:rsidRPr="005F15DA">
        <w:t>-</w:t>
      </w:r>
      <w:r w:rsidRPr="005F15DA">
        <w:tab/>
        <w:t>die freie Verwendbarkeit von umgewandeltem Eigenkapital;</w:t>
      </w:r>
    </w:p>
    <w:p w:rsidR="005D70F9" w:rsidRPr="005F15DA" w:rsidRDefault="005D70F9" w:rsidP="005240E6">
      <w:pPr>
        <w:tabs>
          <w:tab w:val="left" w:pos="709"/>
        </w:tabs>
        <w:ind w:left="709" w:hanging="283"/>
      </w:pPr>
      <w:r w:rsidRPr="005F15DA">
        <w:t>-</w:t>
      </w:r>
      <w:r w:rsidRPr="005F15DA">
        <w:tab/>
        <w:t>die Einhaltung des Generalversammlungsbeschlusses, insbesondere über die Ei</w:t>
      </w:r>
      <w:r w:rsidRPr="005F15DA">
        <w:t>n</w:t>
      </w:r>
      <w:r w:rsidRPr="005F15DA">
        <w:t>schränkung oder die Aufhebung des Bezugsrechtes und die Zuweisung nicht ausg</w:t>
      </w:r>
      <w:r w:rsidRPr="005F15DA">
        <w:t>e</w:t>
      </w:r>
      <w:r w:rsidRPr="005F15DA">
        <w:t>übter oder entzogener Bezugsrechte;</w:t>
      </w:r>
    </w:p>
    <w:p w:rsidR="005D70F9" w:rsidRPr="005F15DA" w:rsidRDefault="005D70F9" w:rsidP="005240E6">
      <w:pPr>
        <w:tabs>
          <w:tab w:val="left" w:pos="709"/>
        </w:tabs>
        <w:ind w:left="709" w:hanging="283"/>
      </w:pPr>
      <w:r w:rsidRPr="005F15DA">
        <w:t>-</w:t>
      </w:r>
      <w:r w:rsidRPr="005F15DA">
        <w:tab/>
        <w:t>die Begründung und die Angemessenheit besonderer Vorteile zugunsten einzelner A</w:t>
      </w:r>
      <w:r w:rsidRPr="005F15DA">
        <w:t>k</w:t>
      </w:r>
      <w:r w:rsidRPr="005F15DA">
        <w:t>tionäre oder anderer Personen.</w:t>
      </w:r>
    </w:p>
    <w:p w:rsidR="00343A9D" w:rsidRPr="005F15DA" w:rsidRDefault="00343A9D" w:rsidP="00343A9D">
      <w:pPr>
        <w:tabs>
          <w:tab w:val="left" w:pos="709"/>
        </w:tabs>
        <w:ind w:left="426"/>
      </w:pPr>
    </w:p>
    <w:p w:rsidR="005D70F9" w:rsidRPr="005F15DA" w:rsidRDefault="005D70F9" w:rsidP="00343A9D">
      <w:pPr>
        <w:tabs>
          <w:tab w:val="left" w:pos="709"/>
        </w:tabs>
        <w:ind w:left="426"/>
      </w:pPr>
      <w:r w:rsidRPr="005F15DA">
        <w:t xml:space="preserve">Der </w:t>
      </w:r>
      <w:r w:rsidRPr="005F15DA">
        <w:rPr>
          <w:u w:val="single"/>
        </w:rPr>
        <w:t>zugelassene Revisor</w:t>
      </w:r>
      <w:r w:rsidRPr="005F15DA">
        <w:t xml:space="preserve"> prüft den Kapitalerhöhungsbericht und bestätigt schriftlich, dass dieser vollständig und richtig ist, ausser wenn die Einlage auf das neue Aktienkapital in Geld erfolgt, das Aktienkapital nicht zur Vornahme einer Sachübernahme erhöht wird und die Bezugsrechte nicht eingeschränkt oder aufgehoben werden. </w:t>
      </w:r>
    </w:p>
    <w:p w:rsidR="00343A9D" w:rsidRPr="005F15DA" w:rsidRDefault="00343A9D" w:rsidP="00343A9D">
      <w:pPr>
        <w:tabs>
          <w:tab w:val="left" w:pos="709"/>
        </w:tabs>
        <w:ind w:left="426"/>
      </w:pPr>
    </w:p>
    <w:p w:rsidR="005D70F9" w:rsidRPr="005F15DA" w:rsidRDefault="005D70F9" w:rsidP="00343A9D">
      <w:pPr>
        <w:tabs>
          <w:tab w:val="left" w:pos="709"/>
        </w:tabs>
        <w:ind w:left="426"/>
      </w:pPr>
      <w:r w:rsidRPr="005F15DA">
        <w:t xml:space="preserve">Liegen der Kapitalerhöhungsbericht und, sofern erforderlich, die Prüfungsbestätigung vor, so </w:t>
      </w:r>
      <w:r w:rsidRPr="005F15DA">
        <w:rPr>
          <w:b/>
        </w:rPr>
        <w:t>ändert der Verwaltungsrat die Statuten</w:t>
      </w:r>
      <w:r w:rsidRPr="005F15DA">
        <w:t xml:space="preserve"> und stellt dabei fest: </w:t>
      </w:r>
    </w:p>
    <w:p w:rsidR="005D70F9" w:rsidRPr="005F15DA" w:rsidRDefault="005D70F9" w:rsidP="005240E6">
      <w:pPr>
        <w:tabs>
          <w:tab w:val="left" w:pos="709"/>
        </w:tabs>
        <w:ind w:left="709" w:hanging="283"/>
      </w:pPr>
      <w:r w:rsidRPr="005F15DA">
        <w:t>-</w:t>
      </w:r>
      <w:r w:rsidRPr="005F15DA">
        <w:tab/>
        <w:t xml:space="preserve">dass sämtliche Aktien gültig gezeichnet sind; </w:t>
      </w:r>
    </w:p>
    <w:p w:rsidR="005D70F9" w:rsidRPr="005F15DA" w:rsidRDefault="005D70F9" w:rsidP="005240E6">
      <w:pPr>
        <w:tabs>
          <w:tab w:val="left" w:pos="709"/>
        </w:tabs>
        <w:ind w:left="709" w:hanging="283"/>
      </w:pPr>
      <w:r w:rsidRPr="005F15DA">
        <w:t>-</w:t>
      </w:r>
      <w:r w:rsidRPr="005F15DA">
        <w:tab/>
        <w:t xml:space="preserve">dass die versprochenen Einlagen dem gesamten Ausgabebetrag entsprechen; </w:t>
      </w:r>
    </w:p>
    <w:p w:rsidR="005D70F9" w:rsidRPr="005F15DA" w:rsidRDefault="005D70F9" w:rsidP="005240E6">
      <w:pPr>
        <w:tabs>
          <w:tab w:val="left" w:pos="709"/>
        </w:tabs>
        <w:ind w:left="709" w:hanging="283"/>
      </w:pPr>
      <w:r w:rsidRPr="005F15DA">
        <w:t>-</w:t>
      </w:r>
      <w:r w:rsidRPr="005F15DA">
        <w:tab/>
        <w:t xml:space="preserve">dass die Einlagen entsprechend den Anforderungen des Gesetzes, der Statuten oder des Generalversammlungsbeschlusses geleistet wurden. </w:t>
      </w:r>
    </w:p>
    <w:p w:rsidR="00343A9D" w:rsidRPr="005F15DA" w:rsidRDefault="00343A9D" w:rsidP="00343A9D">
      <w:pPr>
        <w:tabs>
          <w:tab w:val="left" w:pos="709"/>
        </w:tabs>
        <w:ind w:left="426"/>
      </w:pPr>
    </w:p>
    <w:p w:rsidR="005D70F9" w:rsidRPr="005F15DA" w:rsidRDefault="005D70F9" w:rsidP="00343A9D">
      <w:pPr>
        <w:tabs>
          <w:tab w:val="left" w:pos="709"/>
        </w:tabs>
        <w:ind w:left="426"/>
      </w:pPr>
      <w:r w:rsidRPr="005F15DA">
        <w:t>Die Urkundsperson hat in der Urkunde die Belege, d.h. die Zeichnungsscheine, den Kap</w:t>
      </w:r>
      <w:r w:rsidRPr="005F15DA">
        <w:t>i</w:t>
      </w:r>
      <w:r w:rsidRPr="005F15DA">
        <w:t>talerhöhungsbericht, evtl. Sacheinlageverträge und Prüfungsbestätigung und die bereits vorliegenden Sachübernahmeverträge, welche der Kapitalerhöhung zugrunde liegen, einzeln zu nennen und zu bestätigen, dass sie dem Verwaltungsrat vorgelegen haben. Diese Unterlagen und die geänderten Statuten sind als Beilagen zur Urschrift aufzub</w:t>
      </w:r>
      <w:r w:rsidRPr="005F15DA">
        <w:t>e</w:t>
      </w:r>
      <w:r w:rsidRPr="005F15DA">
        <w:t>wahren.</w:t>
      </w:r>
    </w:p>
    <w:p w:rsidR="005D70F9" w:rsidRPr="005F15DA" w:rsidRDefault="005D70F9" w:rsidP="00343A9D">
      <w:pPr>
        <w:tabs>
          <w:tab w:val="left" w:pos="709"/>
        </w:tabs>
        <w:ind w:left="426"/>
      </w:pPr>
      <w:r w:rsidRPr="005F15DA">
        <w:lastRenderedPageBreak/>
        <w:t xml:space="preserve">Wird die Kapitalerhöhung nicht innerhalb von </w:t>
      </w:r>
      <w:r w:rsidRPr="005F15DA">
        <w:rPr>
          <w:b/>
        </w:rPr>
        <w:t>drei Monaten ins Handelsregister</w:t>
      </w:r>
      <w:r w:rsidRPr="005F15DA">
        <w:t xml:space="preserve"> eing</w:t>
      </w:r>
      <w:r w:rsidRPr="005F15DA">
        <w:t>e</w:t>
      </w:r>
      <w:r w:rsidRPr="005F15DA">
        <w:t xml:space="preserve">tragen, so fällt der Beschluss der Generalversammlung dahin. </w:t>
      </w:r>
    </w:p>
    <w:p w:rsidR="00343A9D" w:rsidRPr="005F15DA" w:rsidRDefault="00343A9D" w:rsidP="00343A9D">
      <w:pPr>
        <w:tabs>
          <w:tab w:val="left" w:pos="709"/>
        </w:tabs>
        <w:ind w:left="426"/>
      </w:pPr>
    </w:p>
    <w:p w:rsidR="005D70F9" w:rsidRPr="005F15DA" w:rsidRDefault="005D70F9" w:rsidP="00343A9D">
      <w:pPr>
        <w:tabs>
          <w:tab w:val="left" w:pos="709"/>
        </w:tabs>
        <w:ind w:left="426"/>
      </w:pPr>
      <w:r w:rsidRPr="005F15DA">
        <w:t>Die Generalversammlung kann durch Statutenänderung den Verwaltungsrat auch e</w:t>
      </w:r>
      <w:r w:rsidRPr="005F15DA">
        <w:t>r</w:t>
      </w:r>
      <w:r w:rsidRPr="005F15DA">
        <w:t xml:space="preserve">mächtigen, das Aktienkapital innert einer Frist von längstens zwei Jahren zu erhöhen, in diesem Fall spricht man von einer </w:t>
      </w:r>
      <w:r w:rsidRPr="005F15DA">
        <w:rPr>
          <w:b/>
        </w:rPr>
        <w:t>genehmigten Kapitalerhöhung</w:t>
      </w:r>
      <w:r w:rsidRPr="005F15DA">
        <w:t xml:space="preserve">. </w:t>
      </w:r>
    </w:p>
    <w:p w:rsidR="00343A9D" w:rsidRPr="005F15DA" w:rsidRDefault="00343A9D" w:rsidP="00343A9D">
      <w:pPr>
        <w:tabs>
          <w:tab w:val="left" w:pos="709"/>
        </w:tabs>
        <w:ind w:left="426"/>
      </w:pPr>
    </w:p>
    <w:p w:rsidR="005D70F9" w:rsidRPr="005F15DA" w:rsidRDefault="005D70F9" w:rsidP="00343A9D">
      <w:pPr>
        <w:tabs>
          <w:tab w:val="left" w:pos="709"/>
        </w:tabs>
        <w:ind w:left="426"/>
      </w:pPr>
      <w:r w:rsidRPr="005F15DA">
        <w:t>Die Statuten geben den Nennwert an, um den der Verwaltungsrat das Aktienkapital erh</w:t>
      </w:r>
      <w:r w:rsidRPr="005F15DA">
        <w:t>ö</w:t>
      </w:r>
      <w:r w:rsidRPr="005F15DA">
        <w:t>hen kann und müssen zudem die Angaben enthalten, welche für die ordentliche Kapita</w:t>
      </w:r>
      <w:r w:rsidRPr="005F15DA">
        <w:t>l</w:t>
      </w:r>
      <w:r w:rsidRPr="005F15DA">
        <w:t xml:space="preserve">erhöhung verlangt werden, mit Ausnahme der Angaben über den Ausgabebetrag, die Art der Einlagen, die Sachübernahmen und den Beginn der Dividendenberechtigung. </w:t>
      </w:r>
    </w:p>
    <w:p w:rsidR="00343A9D" w:rsidRPr="005F15DA" w:rsidRDefault="00343A9D" w:rsidP="00343A9D">
      <w:pPr>
        <w:tabs>
          <w:tab w:val="left" w:pos="709"/>
        </w:tabs>
        <w:ind w:left="426"/>
      </w:pPr>
    </w:p>
    <w:p w:rsidR="005D70F9" w:rsidRPr="005F15DA" w:rsidRDefault="005D70F9" w:rsidP="00343A9D">
      <w:pPr>
        <w:tabs>
          <w:tab w:val="left" w:pos="709"/>
        </w:tabs>
        <w:ind w:left="426"/>
      </w:pPr>
      <w:r w:rsidRPr="005F15DA">
        <w:t xml:space="preserve">Das genehmigte Kapital darf die Hälfte des bisherigen Aktienkapitals nicht übersteigen. </w:t>
      </w:r>
    </w:p>
    <w:p w:rsidR="00343A9D" w:rsidRPr="005F15DA" w:rsidRDefault="00343A9D" w:rsidP="00343A9D">
      <w:pPr>
        <w:tabs>
          <w:tab w:val="left" w:pos="709"/>
        </w:tabs>
        <w:ind w:left="426"/>
      </w:pPr>
    </w:p>
    <w:p w:rsidR="005D70F9" w:rsidRPr="005F15DA" w:rsidRDefault="005D70F9" w:rsidP="00343A9D">
      <w:pPr>
        <w:tabs>
          <w:tab w:val="left" w:pos="709"/>
        </w:tabs>
        <w:ind w:left="426"/>
      </w:pPr>
      <w:r w:rsidRPr="005F15DA">
        <w:t>Im Rahmen der Ermächtigung kann der Verwaltungsrat Erhöhungen des Aktienkapitals durchführen, sei es gesamthaft oder in Teilbeträgen. Dabei erlässt er die notwendigen Bestimmungen, soweit sie nicht schon im Beschluss der Generalversammlung enthalten sind. Wird von der Ermächtigung nur teilweise Gebrauch gemacht, setzt der Verwaltung</w:t>
      </w:r>
      <w:r w:rsidRPr="005F15DA">
        <w:t>s</w:t>
      </w:r>
      <w:r w:rsidRPr="005F15DA">
        <w:t>rat den Nennbetrag des genehmigten Kapitals in den Statuten entsprechend herab. Nach Ablauf der für die Durchführung der Kapitalerhöhung festgelegten Frist wird die Besti</w:t>
      </w:r>
      <w:r w:rsidRPr="005F15DA">
        <w:t>m</w:t>
      </w:r>
      <w:r w:rsidRPr="005F15DA">
        <w:t>mung über die genehmigte Kapitalerhöhung auf Beschluss des Verwaltungsrates aus den Statu</w:t>
      </w:r>
      <w:r w:rsidR="005240E6" w:rsidRPr="005F15DA">
        <w:t>ten gestrichen.</w:t>
      </w:r>
    </w:p>
    <w:p w:rsidR="00D8219C" w:rsidRPr="005F15DA" w:rsidRDefault="00D8219C" w:rsidP="00343A9D"/>
    <w:p w:rsidR="00343A9D" w:rsidRPr="005F15DA" w:rsidRDefault="00343A9D" w:rsidP="00343A9D"/>
    <w:p w:rsidR="00227798" w:rsidRPr="005F15DA" w:rsidRDefault="00227798" w:rsidP="00343A9D"/>
    <w:p w:rsidR="00227798" w:rsidRPr="005F15DA" w:rsidRDefault="00227798" w:rsidP="00343A9D"/>
    <w:p w:rsidR="005D70F9" w:rsidRPr="005F15DA" w:rsidRDefault="00906BEF" w:rsidP="00E36E8F">
      <w:pPr>
        <w:pStyle w:val="berschrift2"/>
      </w:pPr>
      <w:bookmarkStart w:id="85" w:name="_Toc432175606"/>
      <w:r w:rsidRPr="005F15DA">
        <w:t xml:space="preserve">VI. </w:t>
      </w:r>
      <w:r w:rsidR="005D70F9" w:rsidRPr="005F15DA">
        <w:t>Die Gesellschaft mit beschränkter Haftung</w:t>
      </w:r>
      <w:bookmarkEnd w:id="85"/>
    </w:p>
    <w:p w:rsidR="00EE0A0C" w:rsidRPr="005F15DA" w:rsidRDefault="00EE0A0C" w:rsidP="00EE0A0C">
      <w:r w:rsidRPr="005F15DA">
        <w:t>______________________________________________</w:t>
      </w:r>
      <w:r>
        <w:t>____________</w:t>
      </w:r>
    </w:p>
    <w:p w:rsidR="005240E6" w:rsidRPr="005F15DA" w:rsidRDefault="005240E6" w:rsidP="00C86A0C"/>
    <w:p w:rsidR="00C86A0C" w:rsidRPr="005F15DA" w:rsidRDefault="00C86A0C" w:rsidP="00C86A0C"/>
    <w:p w:rsidR="005D70F9" w:rsidRPr="005F15DA" w:rsidRDefault="005D70F9" w:rsidP="00C86A0C">
      <w:r w:rsidRPr="005F15DA">
        <w:t>Per 1.1.2008 ist das neue GmbH-Recht in Kraft getreten</w:t>
      </w:r>
      <w:r w:rsidR="005240E6" w:rsidRPr="005F15DA">
        <w:t xml:space="preserve"> (Art. 772 - 827 OR)</w:t>
      </w:r>
      <w:r w:rsidRPr="005F15DA">
        <w:t>. Die folgenden Ausführungen beziehen sich ausschliesslich auf das neue Recht.</w:t>
      </w:r>
    </w:p>
    <w:p w:rsidR="005240E6" w:rsidRPr="005F15DA" w:rsidRDefault="005240E6" w:rsidP="00C86A0C"/>
    <w:p w:rsidR="005240E6" w:rsidRPr="005F15DA" w:rsidRDefault="005240E6" w:rsidP="00C86A0C"/>
    <w:p w:rsidR="005D70F9" w:rsidRPr="005F15DA" w:rsidRDefault="005240E6" w:rsidP="00C86A0C">
      <w:pPr>
        <w:pStyle w:val="berschrift3"/>
        <w:rPr>
          <w:lang w:val="de-CH"/>
        </w:rPr>
      </w:pPr>
      <w:bookmarkStart w:id="86" w:name="_Toc432175607"/>
      <w:r w:rsidRPr="005F15DA">
        <w:rPr>
          <w:lang w:val="de-CH"/>
        </w:rPr>
        <w:t>A.</w:t>
      </w:r>
      <w:r w:rsidRPr="005F15DA">
        <w:rPr>
          <w:lang w:val="de-CH"/>
        </w:rPr>
        <w:tab/>
      </w:r>
      <w:r w:rsidR="005D70F9" w:rsidRPr="005F15DA">
        <w:rPr>
          <w:lang w:val="de-CH"/>
        </w:rPr>
        <w:t>Allgemeines</w:t>
      </w:r>
      <w:bookmarkEnd w:id="86"/>
    </w:p>
    <w:p w:rsidR="005240E6" w:rsidRPr="005F15DA" w:rsidRDefault="005240E6" w:rsidP="00C86A0C"/>
    <w:p w:rsidR="005D70F9" w:rsidRPr="005F15DA" w:rsidRDefault="005D70F9" w:rsidP="00C86A0C">
      <w:r w:rsidRPr="005F15DA">
        <w:t>Die GmbH ist eine personenbezogene juristische Person mit eigener Rechts- und Handlung</w:t>
      </w:r>
      <w:r w:rsidRPr="005F15DA">
        <w:t>s</w:t>
      </w:r>
      <w:r w:rsidRPr="005F15DA">
        <w:t>fähigkeit, an der eine oder mehrere Personen beteiligt sind. Sie ist eine Gesellschaft mit eig</w:t>
      </w:r>
      <w:r w:rsidRPr="005F15DA">
        <w:t>e</w:t>
      </w:r>
      <w:r w:rsidRPr="005F15DA">
        <w:t xml:space="preserve">ner Firma und mit einem </w:t>
      </w:r>
      <w:r w:rsidR="002C3802" w:rsidRPr="005F15DA">
        <w:t>zum Voraus</w:t>
      </w:r>
      <w:r w:rsidRPr="005F15DA">
        <w:t xml:space="preserve"> bestimmten Kapital (Stammkapital) (Art. 772 OR). G</w:t>
      </w:r>
      <w:r w:rsidRPr="005F15DA">
        <w:t>e</w:t>
      </w:r>
      <w:r w:rsidRPr="005F15DA">
        <w:t>sellschafter können auch juristische Personen sein (Art. 775 OR). Für die Schulden der GmbH haftet nur das Gesellschaftsvermögen.</w:t>
      </w:r>
    </w:p>
    <w:p w:rsidR="005240E6" w:rsidRDefault="005240E6" w:rsidP="00C86A0C"/>
    <w:p w:rsidR="00161833" w:rsidRPr="005F15DA" w:rsidRDefault="00161833" w:rsidP="00C86A0C"/>
    <w:p w:rsidR="00E90D39" w:rsidRDefault="00E90D39">
      <w:pPr>
        <w:spacing w:after="200"/>
        <w:rPr>
          <w:rFonts w:eastAsia="Times New Roman" w:cs="Arial"/>
          <w:b/>
          <w:bCs/>
          <w:color w:val="000000" w:themeColor="text1"/>
          <w:spacing w:val="-7"/>
          <w:sz w:val="28"/>
          <w:szCs w:val="28"/>
          <w:lang w:eastAsia="de-DE"/>
        </w:rPr>
      </w:pPr>
      <w:r>
        <w:br w:type="page"/>
      </w:r>
    </w:p>
    <w:p w:rsidR="005D70F9" w:rsidRPr="005F15DA" w:rsidRDefault="005240E6" w:rsidP="00C86A0C">
      <w:pPr>
        <w:pStyle w:val="berschrift3"/>
        <w:rPr>
          <w:lang w:val="de-CH"/>
        </w:rPr>
      </w:pPr>
      <w:bookmarkStart w:id="87" w:name="_Toc432175608"/>
      <w:r w:rsidRPr="005F15DA">
        <w:rPr>
          <w:lang w:val="de-CH"/>
        </w:rPr>
        <w:lastRenderedPageBreak/>
        <w:t>B.</w:t>
      </w:r>
      <w:r w:rsidRPr="005F15DA">
        <w:rPr>
          <w:lang w:val="de-CH"/>
        </w:rPr>
        <w:tab/>
      </w:r>
      <w:r w:rsidR="005D70F9" w:rsidRPr="005F15DA">
        <w:rPr>
          <w:lang w:val="de-CH"/>
        </w:rPr>
        <w:t>Stammkapital, Stammanteile</w:t>
      </w:r>
      <w:bookmarkEnd w:id="87"/>
    </w:p>
    <w:p w:rsidR="005240E6" w:rsidRPr="005F15DA" w:rsidRDefault="005240E6" w:rsidP="00C86A0C"/>
    <w:p w:rsidR="005D70F9" w:rsidRPr="005F15DA" w:rsidRDefault="005D70F9" w:rsidP="00C86A0C">
      <w:r w:rsidRPr="005F15DA">
        <w:t>Das Stammkapital muss mindestens CHF 20'000.00 betragen (keine Begrenzung mehr g</w:t>
      </w:r>
      <w:r w:rsidRPr="005F15DA">
        <w:t>e</w:t>
      </w:r>
      <w:r w:rsidRPr="005F15DA">
        <w:t xml:space="preserve">gen oben) (Art. 773 OR), es muss voll liberiert sein (Art. 777c OR). </w:t>
      </w:r>
    </w:p>
    <w:p w:rsidR="00E90D39" w:rsidRDefault="00E90D39" w:rsidP="00C86A0C"/>
    <w:p w:rsidR="005D70F9" w:rsidRPr="005F15DA" w:rsidRDefault="005D70F9" w:rsidP="00C86A0C">
      <w:r w:rsidRPr="005F15DA">
        <w:t>Jeder Gesellschafter ist mit mindestens je einem Stammanteil am Stammkapital beteiligt. Ein Gesellschafter kann mehrere Stammanteile haben. Der Nennwert der Stammanteile muss mindestens CHF 100.- betragen; im Falle der Sanierung können die Stammanteile auf CHF 1.- herabgesetzt werden. Die Stammanteile müssen mindestens zum Nennwert ausgegeben werden.</w:t>
      </w:r>
    </w:p>
    <w:p w:rsidR="005240E6" w:rsidRPr="005F15DA" w:rsidRDefault="005240E6" w:rsidP="00C86A0C"/>
    <w:p w:rsidR="005D70F9" w:rsidRPr="005F15DA" w:rsidRDefault="005D70F9" w:rsidP="00C86A0C">
      <w:r w:rsidRPr="005F15DA">
        <w:t>Die Stammanteile werden mit schriftlichem Abtretungsvertrag übertragen (Art. 785 OR); die Abtretung bedarf der Zustimmung der Gesellschafterversammlung (Art. 786 OR). Beim E</w:t>
      </w:r>
      <w:r w:rsidRPr="005F15DA">
        <w:t>r</w:t>
      </w:r>
      <w:r w:rsidRPr="005F15DA">
        <w:t>werb durch Erbgang, Erbteilung, eheliches Güterrecht oder Zwangsvollstreckung ist keine Zustimmung zum Kapitalübergang notwendig (Art. 788 OR) wohl aber zum Übergang des Stimmrechts. Für die Bestellung einer Nutzniessung oder eines Pfandrechts gelten besondere Bestimmungen (Art. 789a und 789b OR) ebenso für das gemeinschaftliche Eigentum (Art. 792 OR).</w:t>
      </w:r>
    </w:p>
    <w:p w:rsidR="005240E6" w:rsidRPr="005F15DA" w:rsidRDefault="005240E6" w:rsidP="00C86A0C"/>
    <w:p w:rsidR="005D70F9" w:rsidRPr="005F15DA" w:rsidRDefault="005D70F9" w:rsidP="00C86A0C">
      <w:r w:rsidRPr="005F15DA">
        <w:t>Über die Stammanteile ist ein Anteilbuch zu führen (Art. 790 OR).</w:t>
      </w:r>
    </w:p>
    <w:p w:rsidR="005240E6" w:rsidRPr="005F15DA" w:rsidRDefault="005240E6" w:rsidP="00C86A0C"/>
    <w:p w:rsidR="005240E6" w:rsidRPr="005F15DA" w:rsidRDefault="005240E6" w:rsidP="00C86A0C"/>
    <w:p w:rsidR="005D70F9" w:rsidRPr="005F15DA" w:rsidRDefault="00C86A0C" w:rsidP="00C86A0C">
      <w:pPr>
        <w:pStyle w:val="berschrift3"/>
        <w:rPr>
          <w:lang w:val="de-CH"/>
        </w:rPr>
      </w:pPr>
      <w:bookmarkStart w:id="88" w:name="_Toc432175609"/>
      <w:r w:rsidRPr="005F15DA">
        <w:rPr>
          <w:lang w:val="de-CH"/>
        </w:rPr>
        <w:t>C.</w:t>
      </w:r>
      <w:r w:rsidRPr="005F15DA">
        <w:rPr>
          <w:lang w:val="de-CH"/>
        </w:rPr>
        <w:tab/>
      </w:r>
      <w:r w:rsidR="005D70F9" w:rsidRPr="005F15DA">
        <w:rPr>
          <w:lang w:val="de-CH"/>
        </w:rPr>
        <w:t>Statuten</w:t>
      </w:r>
      <w:bookmarkEnd w:id="88"/>
    </w:p>
    <w:p w:rsidR="005240E6" w:rsidRPr="005F15DA" w:rsidRDefault="005240E6" w:rsidP="00C86A0C">
      <w:pPr>
        <w:tabs>
          <w:tab w:val="left" w:pos="426"/>
        </w:tabs>
      </w:pPr>
    </w:p>
    <w:p w:rsidR="005D70F9" w:rsidRPr="005F15DA" w:rsidRDefault="005D70F9" w:rsidP="00C86A0C">
      <w:pPr>
        <w:tabs>
          <w:tab w:val="left" w:pos="426"/>
        </w:tabs>
      </w:pPr>
      <w:r w:rsidRPr="005F15DA">
        <w:t>In die Statuten der GmbH müssen folgende Bestimmungen zwingend aufgenommen werden (Minimalinhalt, Art. 776 OR):</w:t>
      </w:r>
    </w:p>
    <w:p w:rsidR="005D70F9" w:rsidRPr="005F15DA" w:rsidRDefault="005D70F9" w:rsidP="00C86A0C">
      <w:pPr>
        <w:tabs>
          <w:tab w:val="left" w:pos="426"/>
        </w:tabs>
      </w:pPr>
      <w:r w:rsidRPr="005F15DA">
        <w:t>-</w:t>
      </w:r>
      <w:r w:rsidRPr="005F15DA">
        <w:tab/>
        <w:t>Firma und Sitz der Gesellschaft</w:t>
      </w:r>
    </w:p>
    <w:p w:rsidR="005D70F9" w:rsidRPr="005F15DA" w:rsidRDefault="005D70F9" w:rsidP="00C86A0C">
      <w:pPr>
        <w:tabs>
          <w:tab w:val="left" w:pos="426"/>
        </w:tabs>
      </w:pPr>
      <w:r w:rsidRPr="005F15DA">
        <w:t>-</w:t>
      </w:r>
      <w:r w:rsidRPr="005F15DA">
        <w:tab/>
        <w:t>Zweck</w:t>
      </w:r>
    </w:p>
    <w:p w:rsidR="005D70F9" w:rsidRPr="005F15DA" w:rsidRDefault="005D70F9" w:rsidP="00C86A0C">
      <w:pPr>
        <w:tabs>
          <w:tab w:val="left" w:pos="426"/>
        </w:tabs>
      </w:pPr>
      <w:r w:rsidRPr="005F15DA">
        <w:t>-</w:t>
      </w:r>
      <w:r w:rsidRPr="005F15DA">
        <w:tab/>
        <w:t>Höhe des Stammkapitals sowie Anzahl und Nennwert der Stammanteile</w:t>
      </w:r>
    </w:p>
    <w:p w:rsidR="005D70F9" w:rsidRPr="005F15DA" w:rsidRDefault="005D70F9" w:rsidP="00C86A0C">
      <w:pPr>
        <w:tabs>
          <w:tab w:val="left" w:pos="426"/>
        </w:tabs>
      </w:pPr>
      <w:r w:rsidRPr="005F15DA">
        <w:t>-</w:t>
      </w:r>
      <w:r w:rsidRPr="005F15DA">
        <w:tab/>
        <w:t>Form der Bekanntmachungen.</w:t>
      </w:r>
    </w:p>
    <w:p w:rsidR="005240E6" w:rsidRPr="005F15DA" w:rsidRDefault="005240E6" w:rsidP="00C86A0C">
      <w:pPr>
        <w:tabs>
          <w:tab w:val="left" w:pos="426"/>
        </w:tabs>
      </w:pPr>
    </w:p>
    <w:p w:rsidR="005D70F9" w:rsidRPr="005F15DA" w:rsidRDefault="005D70F9" w:rsidP="00C86A0C">
      <w:pPr>
        <w:tabs>
          <w:tab w:val="left" w:pos="426"/>
        </w:tabs>
      </w:pPr>
      <w:r w:rsidRPr="005F15DA">
        <w:t>Folgende Bestimmungen bedürfen zu ihrer Verbindlichkeit der Aufnahme in die Statuten (b</w:t>
      </w:r>
      <w:r w:rsidRPr="005F15DA">
        <w:t>e</w:t>
      </w:r>
      <w:r w:rsidRPr="005F15DA">
        <w:t>dingt notwendiger Inhalt, Art. 776a Abs. 1 OR):</w:t>
      </w:r>
    </w:p>
    <w:p w:rsidR="005D70F9" w:rsidRPr="005F15DA" w:rsidRDefault="005D70F9" w:rsidP="00C86A0C">
      <w:pPr>
        <w:tabs>
          <w:tab w:val="left" w:pos="426"/>
        </w:tabs>
      </w:pPr>
      <w:r w:rsidRPr="005F15DA">
        <w:t>-</w:t>
      </w:r>
      <w:r w:rsidRPr="005F15DA">
        <w:tab/>
        <w:t>Begründung und Ausgestaltung von Nachschuss- und Nebenleistungspflichten;</w:t>
      </w:r>
    </w:p>
    <w:p w:rsidR="005D70F9" w:rsidRPr="005F15DA" w:rsidRDefault="005D70F9" w:rsidP="00C86A0C">
      <w:pPr>
        <w:tabs>
          <w:tab w:val="left" w:pos="426"/>
        </w:tabs>
        <w:ind w:left="426" w:hanging="426"/>
      </w:pPr>
      <w:r w:rsidRPr="005F15DA">
        <w:t>-</w:t>
      </w:r>
      <w:r w:rsidRPr="005F15DA">
        <w:tab/>
        <w:t>Begründung und Ausgestaltung von Vorhand-, Vorkaufs- oder Kaufsrechten der Gesel</w:t>
      </w:r>
      <w:r w:rsidRPr="005F15DA">
        <w:t>l</w:t>
      </w:r>
      <w:r w:rsidRPr="005F15DA">
        <w:t>schafter oder der Gesellschaft an den Stammanteilen;</w:t>
      </w:r>
    </w:p>
    <w:p w:rsidR="005D70F9" w:rsidRPr="005F15DA" w:rsidRDefault="005D70F9" w:rsidP="00C86A0C">
      <w:pPr>
        <w:tabs>
          <w:tab w:val="left" w:pos="426"/>
        </w:tabs>
      </w:pPr>
      <w:r w:rsidRPr="005F15DA">
        <w:t>-</w:t>
      </w:r>
      <w:r w:rsidRPr="005F15DA">
        <w:tab/>
        <w:t>Konkurrenzverbot der Gesellschafter;</w:t>
      </w:r>
    </w:p>
    <w:p w:rsidR="005D70F9" w:rsidRPr="005F15DA" w:rsidRDefault="005D70F9" w:rsidP="00C86A0C">
      <w:pPr>
        <w:tabs>
          <w:tab w:val="left" w:pos="426"/>
        </w:tabs>
      </w:pPr>
      <w:r w:rsidRPr="005F15DA">
        <w:t>-</w:t>
      </w:r>
      <w:r w:rsidRPr="005F15DA">
        <w:tab/>
        <w:t>Konventionalstrafen;</w:t>
      </w:r>
    </w:p>
    <w:p w:rsidR="005D70F9" w:rsidRPr="005F15DA" w:rsidRDefault="005D70F9" w:rsidP="00C86A0C">
      <w:pPr>
        <w:tabs>
          <w:tab w:val="left" w:pos="426"/>
        </w:tabs>
      </w:pPr>
      <w:r w:rsidRPr="005F15DA">
        <w:t>-</w:t>
      </w:r>
      <w:r w:rsidRPr="005F15DA">
        <w:tab/>
        <w:t>Vorzugsstammanteile;</w:t>
      </w:r>
    </w:p>
    <w:p w:rsidR="005D70F9" w:rsidRPr="005F15DA" w:rsidRDefault="005D70F9" w:rsidP="00C86A0C">
      <w:pPr>
        <w:tabs>
          <w:tab w:val="left" w:pos="426"/>
        </w:tabs>
      </w:pPr>
      <w:r w:rsidRPr="005F15DA">
        <w:t>-</w:t>
      </w:r>
      <w:r w:rsidRPr="005F15DA">
        <w:tab/>
        <w:t>Vetorechte der Gesellschafter;</w:t>
      </w:r>
    </w:p>
    <w:p w:rsidR="005D70F9" w:rsidRPr="005F15DA" w:rsidRDefault="005D70F9" w:rsidP="00C86A0C">
      <w:pPr>
        <w:tabs>
          <w:tab w:val="left" w:pos="426"/>
        </w:tabs>
      </w:pPr>
      <w:r w:rsidRPr="005F15DA">
        <w:t>-</w:t>
      </w:r>
      <w:r w:rsidRPr="005F15DA">
        <w:tab/>
        <w:t>Beschränkung des Stimmrechts und des Vertretungsrechts;</w:t>
      </w:r>
    </w:p>
    <w:p w:rsidR="005D70F9" w:rsidRPr="005F15DA" w:rsidRDefault="005D70F9" w:rsidP="00C86A0C">
      <w:pPr>
        <w:tabs>
          <w:tab w:val="left" w:pos="426"/>
        </w:tabs>
      </w:pPr>
      <w:r w:rsidRPr="005F15DA">
        <w:t>-</w:t>
      </w:r>
      <w:r w:rsidRPr="005F15DA">
        <w:tab/>
        <w:t>Genussscheine;</w:t>
      </w:r>
    </w:p>
    <w:p w:rsidR="005D70F9" w:rsidRPr="005F15DA" w:rsidRDefault="005D70F9" w:rsidP="00C86A0C">
      <w:pPr>
        <w:tabs>
          <w:tab w:val="left" w:pos="426"/>
        </w:tabs>
      </w:pPr>
      <w:r w:rsidRPr="005F15DA">
        <w:t>-</w:t>
      </w:r>
      <w:r w:rsidRPr="005F15DA">
        <w:tab/>
        <w:t>statutarische Reserven;</w:t>
      </w:r>
    </w:p>
    <w:p w:rsidR="005D70F9" w:rsidRPr="005F15DA" w:rsidRDefault="005D70F9" w:rsidP="00C86A0C">
      <w:pPr>
        <w:tabs>
          <w:tab w:val="left" w:pos="426"/>
        </w:tabs>
      </w:pPr>
      <w:r w:rsidRPr="005F15DA">
        <w:t>-</w:t>
      </w:r>
      <w:r w:rsidRPr="005F15DA">
        <w:tab/>
        <w:t>zusätzliche Befugnisse der Gesellschafterversammlung;</w:t>
      </w:r>
    </w:p>
    <w:p w:rsidR="005D70F9" w:rsidRPr="005F15DA" w:rsidRDefault="005D70F9" w:rsidP="00C86A0C">
      <w:pPr>
        <w:tabs>
          <w:tab w:val="left" w:pos="426"/>
        </w:tabs>
        <w:ind w:left="426" w:hanging="426"/>
      </w:pPr>
      <w:r w:rsidRPr="005F15DA">
        <w:t>-</w:t>
      </w:r>
      <w:r w:rsidRPr="005F15DA">
        <w:tab/>
        <w:t>Genehmigung bestimmter Entscheide der Geschäftsführer durch die Gesellschafterve</w:t>
      </w:r>
      <w:r w:rsidRPr="005F15DA">
        <w:t>r</w:t>
      </w:r>
      <w:r w:rsidRPr="005F15DA">
        <w:t>sammlung;</w:t>
      </w:r>
    </w:p>
    <w:p w:rsidR="005D70F9" w:rsidRPr="005F15DA" w:rsidRDefault="005D70F9" w:rsidP="00C86A0C">
      <w:pPr>
        <w:tabs>
          <w:tab w:val="left" w:pos="426"/>
        </w:tabs>
        <w:ind w:left="426" w:hanging="426"/>
      </w:pPr>
      <w:r w:rsidRPr="005F15DA">
        <w:lastRenderedPageBreak/>
        <w:t>-</w:t>
      </w:r>
      <w:r w:rsidRPr="005F15DA">
        <w:tab/>
        <w:t>Zustimmung der Gesellschafterversammlung zur Bezeichnung von Vertretern von G</w:t>
      </w:r>
      <w:r w:rsidRPr="005F15DA">
        <w:t>e</w:t>
      </w:r>
      <w:r w:rsidRPr="005F15DA">
        <w:t>sellschaftern, wenn die Gesellschafter juristische Personen oder Handelsgesellschaften sind;</w:t>
      </w:r>
    </w:p>
    <w:p w:rsidR="005D70F9" w:rsidRPr="005F15DA" w:rsidRDefault="005D70F9" w:rsidP="00C86A0C">
      <w:pPr>
        <w:tabs>
          <w:tab w:val="left" w:pos="426"/>
        </w:tabs>
        <w:ind w:left="426" w:hanging="426"/>
      </w:pPr>
      <w:r w:rsidRPr="005F15DA">
        <w:t>-</w:t>
      </w:r>
      <w:r w:rsidRPr="005F15DA">
        <w:tab/>
        <w:t>Befugnis der Ernennung von Geschäftsführern, Direktoren, Prokuristen und Handlung</w:t>
      </w:r>
      <w:r w:rsidRPr="005F15DA">
        <w:t>s</w:t>
      </w:r>
      <w:r w:rsidRPr="005F15DA">
        <w:t>bevollmächtigten;</w:t>
      </w:r>
    </w:p>
    <w:p w:rsidR="005D70F9" w:rsidRPr="005F15DA" w:rsidRDefault="005D70F9" w:rsidP="00C86A0C">
      <w:pPr>
        <w:tabs>
          <w:tab w:val="left" w:pos="426"/>
        </w:tabs>
      </w:pPr>
      <w:r w:rsidRPr="005F15DA">
        <w:t>-</w:t>
      </w:r>
      <w:r w:rsidRPr="005F15DA">
        <w:tab/>
        <w:t>Ausrichtung von Tantiemen an Geschäftsführer;</w:t>
      </w:r>
    </w:p>
    <w:p w:rsidR="005D70F9" w:rsidRPr="005F15DA" w:rsidRDefault="005D70F9" w:rsidP="00C86A0C">
      <w:pPr>
        <w:tabs>
          <w:tab w:val="left" w:pos="426"/>
        </w:tabs>
      </w:pPr>
      <w:r w:rsidRPr="005F15DA">
        <w:t>-</w:t>
      </w:r>
      <w:r w:rsidRPr="005F15DA">
        <w:tab/>
        <w:t>Zusicherung von Bauzinsen;</w:t>
      </w:r>
    </w:p>
    <w:p w:rsidR="005D70F9" w:rsidRPr="005F15DA" w:rsidRDefault="005D70F9" w:rsidP="00C86A0C">
      <w:pPr>
        <w:tabs>
          <w:tab w:val="left" w:pos="426"/>
        </w:tabs>
        <w:ind w:left="426" w:hanging="426"/>
      </w:pPr>
      <w:r w:rsidRPr="005F15DA">
        <w:t>-</w:t>
      </w:r>
      <w:r w:rsidRPr="005F15DA">
        <w:tab/>
        <w:t>Organisation und Aufgaben der Revisionsstelle, wenn über die gesetzlichen Bestimmu</w:t>
      </w:r>
      <w:r w:rsidRPr="005F15DA">
        <w:t>n</w:t>
      </w:r>
      <w:r w:rsidRPr="005F15DA">
        <w:t>gen hinausgegangen wird;</w:t>
      </w:r>
    </w:p>
    <w:p w:rsidR="005D70F9" w:rsidRPr="005F15DA" w:rsidRDefault="005D70F9" w:rsidP="00C86A0C">
      <w:pPr>
        <w:tabs>
          <w:tab w:val="left" w:pos="426"/>
        </w:tabs>
        <w:ind w:left="426" w:hanging="426"/>
      </w:pPr>
      <w:r w:rsidRPr="005F15DA">
        <w:t>-</w:t>
      </w:r>
      <w:r w:rsidRPr="005F15DA">
        <w:tab/>
        <w:t>Gewährung eines statutarischen Austrittsrechts, Bedingungen für dessen Ausübung und die auszurichtende Abfindung;</w:t>
      </w:r>
    </w:p>
    <w:p w:rsidR="005D70F9" w:rsidRPr="005F15DA" w:rsidRDefault="005D70F9" w:rsidP="00C86A0C">
      <w:pPr>
        <w:tabs>
          <w:tab w:val="left" w:pos="426"/>
        </w:tabs>
      </w:pPr>
      <w:r w:rsidRPr="005F15DA">
        <w:t>-</w:t>
      </w:r>
      <w:r w:rsidRPr="005F15DA">
        <w:tab/>
        <w:t>Besondere Gründe für den Ausschluss von Gesellschaftern ;</w:t>
      </w:r>
    </w:p>
    <w:p w:rsidR="005D70F9" w:rsidRPr="005F15DA" w:rsidRDefault="005D70F9" w:rsidP="00C86A0C">
      <w:pPr>
        <w:tabs>
          <w:tab w:val="left" w:pos="426"/>
        </w:tabs>
      </w:pPr>
      <w:r w:rsidRPr="005F15DA">
        <w:t>-</w:t>
      </w:r>
      <w:r w:rsidRPr="005F15DA">
        <w:tab/>
        <w:t>Andere als die gesetzlichen Auflösungsgründe.</w:t>
      </w:r>
    </w:p>
    <w:p w:rsidR="005240E6" w:rsidRPr="005F15DA" w:rsidRDefault="005240E6" w:rsidP="00C86A0C">
      <w:pPr>
        <w:tabs>
          <w:tab w:val="left" w:pos="426"/>
        </w:tabs>
      </w:pPr>
    </w:p>
    <w:p w:rsidR="005D70F9" w:rsidRPr="005F15DA" w:rsidRDefault="005D70F9" w:rsidP="00C86A0C">
      <w:pPr>
        <w:tabs>
          <w:tab w:val="left" w:pos="426"/>
        </w:tabs>
      </w:pPr>
      <w:r w:rsidRPr="005F15DA">
        <w:t>Folgende Bestimmungen bedürfen ebenfalls der Aufnahme in die Statuten, falls von den g</w:t>
      </w:r>
      <w:r w:rsidRPr="005F15DA">
        <w:t>e</w:t>
      </w:r>
      <w:r w:rsidRPr="005F15DA">
        <w:t>setzlichen Vorschriften abgewichen werden soll (Art. 776a Abs. 2 OR):</w:t>
      </w:r>
    </w:p>
    <w:p w:rsidR="005D70F9" w:rsidRPr="005F15DA" w:rsidRDefault="005D70F9" w:rsidP="00C86A0C">
      <w:pPr>
        <w:tabs>
          <w:tab w:val="left" w:pos="426"/>
        </w:tabs>
        <w:ind w:left="426" w:hanging="426"/>
      </w:pPr>
      <w:r w:rsidRPr="005F15DA">
        <w:t>-</w:t>
      </w:r>
      <w:r w:rsidRPr="005F15DA">
        <w:tab/>
        <w:t>Die Beschlussfassung über die nachträgliche Schaffung von neuen Vorzugsstammante</w:t>
      </w:r>
      <w:r w:rsidRPr="005F15DA">
        <w:t>i</w:t>
      </w:r>
      <w:r w:rsidRPr="005F15DA">
        <w:t>len;</w:t>
      </w:r>
    </w:p>
    <w:p w:rsidR="005D70F9" w:rsidRPr="005F15DA" w:rsidRDefault="005D70F9" w:rsidP="00C86A0C">
      <w:pPr>
        <w:tabs>
          <w:tab w:val="left" w:pos="426"/>
        </w:tabs>
      </w:pPr>
      <w:r w:rsidRPr="005F15DA">
        <w:t>-</w:t>
      </w:r>
      <w:r w:rsidRPr="005F15DA">
        <w:tab/>
        <w:t>Die Übertragung von Stammanteilen;</w:t>
      </w:r>
    </w:p>
    <w:p w:rsidR="005D70F9" w:rsidRPr="005F15DA" w:rsidRDefault="005D70F9" w:rsidP="00C86A0C">
      <w:pPr>
        <w:tabs>
          <w:tab w:val="left" w:pos="426"/>
        </w:tabs>
      </w:pPr>
      <w:r w:rsidRPr="005F15DA">
        <w:t>-</w:t>
      </w:r>
      <w:r w:rsidRPr="005F15DA">
        <w:tab/>
        <w:t>Die Einberufung der Gesellschafterversammlung;</w:t>
      </w:r>
    </w:p>
    <w:p w:rsidR="005D70F9" w:rsidRPr="005F15DA" w:rsidRDefault="005D70F9" w:rsidP="00C86A0C">
      <w:pPr>
        <w:tabs>
          <w:tab w:val="left" w:pos="426"/>
        </w:tabs>
      </w:pPr>
      <w:r w:rsidRPr="005F15DA">
        <w:t>-</w:t>
      </w:r>
      <w:r w:rsidRPr="005F15DA">
        <w:tab/>
        <w:t>Die Bemessung des Stimmrechts der Gesellschafter;</w:t>
      </w:r>
    </w:p>
    <w:p w:rsidR="005D70F9" w:rsidRPr="005F15DA" w:rsidRDefault="005D70F9" w:rsidP="00C86A0C">
      <w:pPr>
        <w:tabs>
          <w:tab w:val="left" w:pos="426"/>
        </w:tabs>
      </w:pPr>
      <w:r w:rsidRPr="005F15DA">
        <w:t>-</w:t>
      </w:r>
      <w:r w:rsidRPr="005F15DA">
        <w:tab/>
        <w:t>Die Beschlussfassung in der Gesellschafterversammlung;</w:t>
      </w:r>
    </w:p>
    <w:p w:rsidR="005D70F9" w:rsidRPr="005F15DA" w:rsidRDefault="005D70F9" w:rsidP="00C86A0C">
      <w:pPr>
        <w:tabs>
          <w:tab w:val="left" w:pos="426"/>
        </w:tabs>
      </w:pPr>
      <w:r w:rsidRPr="005F15DA">
        <w:t>-</w:t>
      </w:r>
      <w:r w:rsidRPr="005F15DA">
        <w:tab/>
        <w:t>Die Beschlussfassung der Geschäftsführer;</w:t>
      </w:r>
    </w:p>
    <w:p w:rsidR="005D70F9" w:rsidRPr="005F15DA" w:rsidRDefault="005D70F9" w:rsidP="00C86A0C">
      <w:pPr>
        <w:tabs>
          <w:tab w:val="left" w:pos="426"/>
        </w:tabs>
      </w:pPr>
      <w:r w:rsidRPr="005F15DA">
        <w:t>-</w:t>
      </w:r>
      <w:r w:rsidRPr="005F15DA">
        <w:tab/>
        <w:t>Die Geschäftsführung und die Vertretung;</w:t>
      </w:r>
    </w:p>
    <w:p w:rsidR="005D70F9" w:rsidRPr="005F15DA" w:rsidRDefault="005D70F9" w:rsidP="00C86A0C">
      <w:pPr>
        <w:tabs>
          <w:tab w:val="left" w:pos="426"/>
        </w:tabs>
      </w:pPr>
      <w:r w:rsidRPr="005F15DA">
        <w:t>-</w:t>
      </w:r>
      <w:r w:rsidRPr="005F15DA">
        <w:tab/>
        <w:t>Die Konkurrenzverbote der Geschäftsführer.</w:t>
      </w:r>
    </w:p>
    <w:p w:rsidR="005240E6" w:rsidRPr="005F15DA" w:rsidRDefault="005240E6" w:rsidP="00C86A0C">
      <w:pPr>
        <w:tabs>
          <w:tab w:val="left" w:pos="426"/>
        </w:tabs>
      </w:pPr>
    </w:p>
    <w:p w:rsidR="005240E6" w:rsidRPr="005F15DA" w:rsidRDefault="005240E6" w:rsidP="00C86A0C">
      <w:pPr>
        <w:tabs>
          <w:tab w:val="left" w:pos="426"/>
        </w:tabs>
      </w:pPr>
    </w:p>
    <w:p w:rsidR="005D70F9" w:rsidRPr="005F15DA" w:rsidRDefault="00C86A0C" w:rsidP="00C86A0C">
      <w:pPr>
        <w:pStyle w:val="berschrift3"/>
        <w:rPr>
          <w:lang w:val="de-CH"/>
        </w:rPr>
      </w:pPr>
      <w:bookmarkStart w:id="89" w:name="_Toc432175610"/>
      <w:r w:rsidRPr="005F15DA">
        <w:rPr>
          <w:lang w:val="de-CH"/>
        </w:rPr>
        <w:t>D.</w:t>
      </w:r>
      <w:r w:rsidRPr="005F15DA">
        <w:rPr>
          <w:lang w:val="de-CH"/>
        </w:rPr>
        <w:tab/>
      </w:r>
      <w:r w:rsidR="005D70F9" w:rsidRPr="005F15DA">
        <w:rPr>
          <w:lang w:val="de-CH"/>
        </w:rPr>
        <w:t>Rechte und Pflichten der Gesellschafter, Verantwortlichkeit</w:t>
      </w:r>
      <w:bookmarkEnd w:id="89"/>
    </w:p>
    <w:p w:rsidR="005240E6" w:rsidRPr="005F15DA" w:rsidRDefault="005240E6" w:rsidP="00C86A0C"/>
    <w:p w:rsidR="005D70F9" w:rsidRPr="005F15DA" w:rsidRDefault="005D70F9" w:rsidP="00C86A0C">
      <w:r w:rsidRPr="005F15DA">
        <w:t>Die Gesellschafter sind zur Leistung der Einlagen (Liberierung der Stammanteile) sowie zur Treuepflicht und eventuell Konkurrenzverbot (Art. 803 OR) verpflichtet. Die Gesellschafter können zur Leistung von Nachschüssen und Nebenleistungen verpflichtet werden, wenn di</w:t>
      </w:r>
      <w:r w:rsidRPr="005F15DA">
        <w:t>e</w:t>
      </w:r>
      <w:r w:rsidRPr="005F15DA">
        <w:t>se in den Statuten vorgesehen sind. Weitere Pflichten der Gesellschafter bestehen keine. Für die Verbindlichkeiten der Gesellschaft haftet nur das Gesellschaftsvermögen.</w:t>
      </w:r>
    </w:p>
    <w:p w:rsidR="005240E6" w:rsidRPr="005F15DA" w:rsidRDefault="005240E6" w:rsidP="00C86A0C"/>
    <w:p w:rsidR="005D70F9" w:rsidRPr="005F15DA" w:rsidRDefault="005D70F9" w:rsidP="00C86A0C">
      <w:r w:rsidRPr="005F15DA">
        <w:t>Die Gesellschafter haben das Recht auf Anteil am Erfolg der Gesellschaft (Dividende, Art. 798 – 800 OR und Art. 678 – 679 OR), auf Teilnahme an der Gesellschafterversammlung, auf Auskunfts- und Einsichtsrecht (Art. 802 OR) und (weil die GmbH eine personenbezogene juristische Person ist) auf Teilnahme an der Geschäftsführung.</w:t>
      </w:r>
    </w:p>
    <w:p w:rsidR="005240E6" w:rsidRPr="005F15DA" w:rsidRDefault="005240E6" w:rsidP="00C86A0C"/>
    <w:p w:rsidR="005D70F9" w:rsidRDefault="005D70F9" w:rsidP="00C86A0C">
      <w:r w:rsidRPr="005F15DA">
        <w:t>Für den Geschäftsbericht, die Reserven, die Offenlegung von Jahresrechnung und Konzer</w:t>
      </w:r>
      <w:r w:rsidRPr="005F15DA">
        <w:t>n</w:t>
      </w:r>
      <w:r w:rsidRPr="005F15DA">
        <w:t>rechnung sind die Vorschriften des Aktienrechts analog anwendbar (Art. 801 OR und 662 – 674, 697h OR).</w:t>
      </w:r>
    </w:p>
    <w:p w:rsidR="00E90D39" w:rsidRPr="005F15DA" w:rsidRDefault="00E90D39" w:rsidP="00C86A0C"/>
    <w:p w:rsidR="005D70F9" w:rsidRPr="005F15DA" w:rsidRDefault="005D70F9" w:rsidP="00C86A0C">
      <w:r w:rsidRPr="005F15DA">
        <w:t>Für die Verantwortlichkeit der Gründer, Geschäftsführer, Revisoren oder Liquidatoren sind die Vorschriften des Aktienrechts analog anwendbar (Art. 827 und 753 – 760 OR).</w:t>
      </w:r>
    </w:p>
    <w:p w:rsidR="005240E6" w:rsidRPr="005F15DA" w:rsidRDefault="005240E6" w:rsidP="00C86A0C"/>
    <w:p w:rsidR="005D70F9" w:rsidRPr="005F15DA" w:rsidRDefault="00C86A0C" w:rsidP="00C86A0C">
      <w:pPr>
        <w:pStyle w:val="berschrift3"/>
        <w:rPr>
          <w:lang w:val="de-CH"/>
        </w:rPr>
      </w:pPr>
      <w:bookmarkStart w:id="90" w:name="_Toc432175611"/>
      <w:r w:rsidRPr="005F15DA">
        <w:rPr>
          <w:lang w:val="de-CH"/>
        </w:rPr>
        <w:lastRenderedPageBreak/>
        <w:t>E.</w:t>
      </w:r>
      <w:r w:rsidRPr="005F15DA">
        <w:rPr>
          <w:lang w:val="de-CH"/>
        </w:rPr>
        <w:tab/>
      </w:r>
      <w:r w:rsidR="005D70F9" w:rsidRPr="005F15DA">
        <w:rPr>
          <w:lang w:val="de-CH"/>
        </w:rPr>
        <w:t>Organe der GmbH (Art. 804 – 819 OR)</w:t>
      </w:r>
      <w:bookmarkEnd w:id="90"/>
    </w:p>
    <w:p w:rsidR="005240E6" w:rsidRPr="005F15DA" w:rsidRDefault="005240E6" w:rsidP="00C86A0C">
      <w:pPr>
        <w:tabs>
          <w:tab w:val="left" w:pos="426"/>
        </w:tabs>
      </w:pPr>
    </w:p>
    <w:p w:rsidR="005D70F9" w:rsidRPr="005F15DA" w:rsidRDefault="005D70F9" w:rsidP="00C86A0C">
      <w:pPr>
        <w:tabs>
          <w:tab w:val="left" w:pos="426"/>
        </w:tabs>
      </w:pPr>
      <w:r w:rsidRPr="005F15DA">
        <w:t xml:space="preserve">Oberstes Organ der GmbH ist die </w:t>
      </w:r>
      <w:r w:rsidRPr="005F15DA">
        <w:rPr>
          <w:b/>
        </w:rPr>
        <w:t>Gesellschafterversammlung</w:t>
      </w:r>
      <w:r w:rsidRPr="005F15DA">
        <w:t xml:space="preserve">. </w:t>
      </w:r>
    </w:p>
    <w:p w:rsidR="00E90D39" w:rsidRDefault="00E90D39" w:rsidP="00C86A0C">
      <w:pPr>
        <w:tabs>
          <w:tab w:val="left" w:pos="426"/>
        </w:tabs>
      </w:pPr>
    </w:p>
    <w:p w:rsidR="005D70F9" w:rsidRPr="005F15DA" w:rsidRDefault="005D70F9" w:rsidP="00C86A0C">
      <w:pPr>
        <w:tabs>
          <w:tab w:val="left" w:pos="426"/>
        </w:tabs>
      </w:pPr>
      <w:r w:rsidRPr="005F15DA">
        <w:t>Der Gesellschafterversammlung stehen folgende unübertragbare Befugnisse zu (Art. 804 OR):</w:t>
      </w:r>
    </w:p>
    <w:p w:rsidR="005D70F9" w:rsidRPr="005F15DA" w:rsidRDefault="005D70F9" w:rsidP="00C86A0C">
      <w:pPr>
        <w:tabs>
          <w:tab w:val="left" w:pos="426"/>
        </w:tabs>
      </w:pPr>
      <w:r w:rsidRPr="005F15DA">
        <w:t>-</w:t>
      </w:r>
      <w:r w:rsidRPr="005F15DA">
        <w:tab/>
        <w:t>Änderung der Statuten;</w:t>
      </w:r>
    </w:p>
    <w:p w:rsidR="005D70F9" w:rsidRPr="005F15DA" w:rsidRDefault="005D70F9" w:rsidP="00C86A0C">
      <w:pPr>
        <w:tabs>
          <w:tab w:val="left" w:pos="426"/>
        </w:tabs>
      </w:pPr>
      <w:r w:rsidRPr="005F15DA">
        <w:t>-</w:t>
      </w:r>
      <w:r w:rsidRPr="005F15DA">
        <w:tab/>
        <w:t>Wahl und Abberufung von Geschäftsführern und der Revisionsstelle usw.;</w:t>
      </w:r>
    </w:p>
    <w:p w:rsidR="005D70F9" w:rsidRPr="005F15DA" w:rsidRDefault="005D70F9" w:rsidP="00C86A0C">
      <w:pPr>
        <w:tabs>
          <w:tab w:val="left" w:pos="426"/>
        </w:tabs>
      </w:pPr>
      <w:r w:rsidRPr="005F15DA">
        <w:t>-</w:t>
      </w:r>
      <w:r w:rsidRPr="005F15DA">
        <w:tab/>
        <w:t>Genehmigung von Jahresbericht und Konzernrechnung;</w:t>
      </w:r>
    </w:p>
    <w:p w:rsidR="005D70F9" w:rsidRPr="005F15DA" w:rsidRDefault="005D70F9" w:rsidP="00C86A0C">
      <w:pPr>
        <w:tabs>
          <w:tab w:val="left" w:pos="426"/>
        </w:tabs>
      </w:pPr>
      <w:r w:rsidRPr="005F15DA">
        <w:t>-</w:t>
      </w:r>
      <w:r w:rsidRPr="005F15DA">
        <w:tab/>
        <w:t>Genehmigung von Jahresrechnung und Beschluss über die Verwendung des Gewinns;</w:t>
      </w:r>
    </w:p>
    <w:p w:rsidR="005D70F9" w:rsidRPr="005F15DA" w:rsidRDefault="005D70F9" w:rsidP="00C86A0C">
      <w:pPr>
        <w:tabs>
          <w:tab w:val="left" w:pos="426"/>
        </w:tabs>
      </w:pPr>
      <w:r w:rsidRPr="005F15DA">
        <w:t>-</w:t>
      </w:r>
      <w:r w:rsidRPr="005F15DA">
        <w:tab/>
        <w:t>Festsetzung der Entschädigung der Geschäftsführer;</w:t>
      </w:r>
    </w:p>
    <w:p w:rsidR="005D70F9" w:rsidRPr="005F15DA" w:rsidRDefault="005D70F9" w:rsidP="00C86A0C">
      <w:pPr>
        <w:tabs>
          <w:tab w:val="left" w:pos="426"/>
        </w:tabs>
      </w:pPr>
      <w:r w:rsidRPr="005F15DA">
        <w:t>-</w:t>
      </w:r>
      <w:r w:rsidRPr="005F15DA">
        <w:tab/>
        <w:t>Entlastung der Geschäftsführer;</w:t>
      </w:r>
    </w:p>
    <w:p w:rsidR="005D70F9" w:rsidRPr="005F15DA" w:rsidRDefault="005D70F9" w:rsidP="00C86A0C">
      <w:pPr>
        <w:tabs>
          <w:tab w:val="left" w:pos="426"/>
        </w:tabs>
      </w:pPr>
      <w:r w:rsidRPr="005F15DA">
        <w:t>-</w:t>
      </w:r>
      <w:r w:rsidRPr="005F15DA">
        <w:tab/>
        <w:t>Zustimmung zur Abtretung von Stammanteilen;</w:t>
      </w:r>
    </w:p>
    <w:p w:rsidR="005D70F9" w:rsidRPr="005F15DA" w:rsidRDefault="005D70F9" w:rsidP="00C86A0C">
      <w:pPr>
        <w:tabs>
          <w:tab w:val="left" w:pos="426"/>
        </w:tabs>
      </w:pPr>
      <w:r w:rsidRPr="005F15DA">
        <w:t>-</w:t>
      </w:r>
      <w:r w:rsidRPr="005F15DA">
        <w:tab/>
        <w:t>usw.</w:t>
      </w:r>
    </w:p>
    <w:p w:rsidR="005240E6" w:rsidRPr="005F15DA" w:rsidRDefault="005240E6" w:rsidP="00C86A0C">
      <w:pPr>
        <w:tabs>
          <w:tab w:val="left" w:pos="426"/>
        </w:tabs>
      </w:pPr>
    </w:p>
    <w:p w:rsidR="005D70F9" w:rsidRPr="005F15DA" w:rsidRDefault="005D70F9" w:rsidP="00C86A0C">
      <w:pPr>
        <w:tabs>
          <w:tab w:val="left" w:pos="426"/>
        </w:tabs>
      </w:pPr>
      <w:r w:rsidRPr="005F15DA">
        <w:t xml:space="preserve">Die Gesellschafterversammlung wird von den Geschäftsführern (eventuell den Revisoren </w:t>
      </w:r>
      <w:r w:rsidRPr="005F15DA">
        <w:t>o</w:t>
      </w:r>
      <w:r w:rsidRPr="005F15DA">
        <w:t>der Liquidatoren) einberufen; die Einberufungsfrist beträgt 20 Tage und kann durch die Stat</w:t>
      </w:r>
      <w:r w:rsidRPr="005F15DA">
        <w:t>u</w:t>
      </w:r>
      <w:r w:rsidRPr="005F15DA">
        <w:t>ten auf mindestens 10 Tage herabgesetzt werden (Art. 805 OR). Im Übrigen sind die Vo</w:t>
      </w:r>
      <w:r w:rsidRPr="005F15DA">
        <w:t>r</w:t>
      </w:r>
      <w:r w:rsidRPr="005F15DA">
        <w:t>schriften des Aktienrechts analog anwendbar (Art. 699 – 702, 689b – 689e, 691 OR).</w:t>
      </w:r>
    </w:p>
    <w:p w:rsidR="005240E6" w:rsidRPr="005F15DA" w:rsidRDefault="005240E6" w:rsidP="00C86A0C">
      <w:pPr>
        <w:tabs>
          <w:tab w:val="left" w:pos="426"/>
        </w:tabs>
      </w:pPr>
    </w:p>
    <w:p w:rsidR="005D70F9" w:rsidRPr="005F15DA" w:rsidRDefault="005D70F9" w:rsidP="00C86A0C">
      <w:pPr>
        <w:tabs>
          <w:tab w:val="left" w:pos="426"/>
        </w:tabs>
      </w:pPr>
      <w:r w:rsidRPr="005F15DA">
        <w:t>In der Gesellschafterversammlung hat jeder Gesellschafter mindestens eine Stimme; übl</w:t>
      </w:r>
      <w:r w:rsidRPr="005F15DA">
        <w:t>i</w:t>
      </w:r>
      <w:r w:rsidRPr="005F15DA">
        <w:t>cherweise bemisst sich das Stimmrecht nach dem Nennwert der Stammanteile (Art. 806 OR). In den Statuten kann den Gesellschaftern ein Vetorecht gegen die Beschlüsse der Gesel</w:t>
      </w:r>
      <w:r w:rsidRPr="005F15DA">
        <w:t>l</w:t>
      </w:r>
      <w:r w:rsidRPr="005F15DA">
        <w:t>schafterversammlung eingeräumt werden (Art. 807 OR).</w:t>
      </w:r>
    </w:p>
    <w:p w:rsidR="005240E6" w:rsidRPr="005F15DA" w:rsidRDefault="005240E6" w:rsidP="00C86A0C">
      <w:pPr>
        <w:tabs>
          <w:tab w:val="left" w:pos="426"/>
        </w:tabs>
      </w:pPr>
    </w:p>
    <w:p w:rsidR="005D70F9" w:rsidRPr="005F15DA" w:rsidRDefault="005D70F9" w:rsidP="00C86A0C">
      <w:pPr>
        <w:tabs>
          <w:tab w:val="left" w:pos="426"/>
        </w:tabs>
      </w:pPr>
      <w:r w:rsidRPr="005F15DA">
        <w:t>Die Beschlussfassung in der Gesellschafterversammlung erfolgt nach der absoluten Mehrheit der vertretenen Stimmen (Art. 808 OR), wobei der Vorsitzende den Stichentscheid hat (Art. 808a OR). Für wichtige Beschlüsse (Art. 808b OR) gilt ein Quorum von 2/3 der vertretenen Stimmen und der absoluten Mehrheit des Stammkapitals.</w:t>
      </w:r>
    </w:p>
    <w:p w:rsidR="005240E6" w:rsidRPr="005F15DA" w:rsidRDefault="005240E6" w:rsidP="00C86A0C">
      <w:pPr>
        <w:tabs>
          <w:tab w:val="left" w:pos="426"/>
        </w:tabs>
      </w:pPr>
    </w:p>
    <w:p w:rsidR="005D70F9" w:rsidRPr="005F15DA" w:rsidRDefault="005D70F9" w:rsidP="00C86A0C">
      <w:pPr>
        <w:tabs>
          <w:tab w:val="left" w:pos="426"/>
        </w:tabs>
      </w:pPr>
      <w:r w:rsidRPr="005F15DA">
        <w:t>Die Anfechtung von Beschlüssen der Gesellschafterversammlung erfolgt nach dem Aktie</w:t>
      </w:r>
      <w:r w:rsidRPr="005F15DA">
        <w:t>n</w:t>
      </w:r>
      <w:r w:rsidRPr="005F15DA">
        <w:t>recht (Art. 808c OR und 706 – 706b OR).</w:t>
      </w:r>
    </w:p>
    <w:p w:rsidR="005240E6" w:rsidRPr="005F15DA" w:rsidRDefault="005240E6" w:rsidP="00C86A0C">
      <w:pPr>
        <w:tabs>
          <w:tab w:val="left" w:pos="426"/>
        </w:tabs>
      </w:pPr>
    </w:p>
    <w:p w:rsidR="005D70F9" w:rsidRPr="005F15DA" w:rsidRDefault="005D70F9" w:rsidP="00C86A0C">
      <w:pPr>
        <w:tabs>
          <w:tab w:val="left" w:pos="426"/>
        </w:tabs>
      </w:pPr>
      <w:r w:rsidRPr="005F15DA">
        <w:t xml:space="preserve">Alle Gesellschafter üben die </w:t>
      </w:r>
      <w:r w:rsidRPr="005F15DA">
        <w:rPr>
          <w:b/>
        </w:rPr>
        <w:t>Geschäftsführung</w:t>
      </w:r>
      <w:r w:rsidRPr="005F15DA">
        <w:t xml:space="preserve"> gemeinsam aus; die Statuten können die Geschäftsführung abweichend regeln (Art. 809 OR). Bezüglich der Aufgaben und Pflichten der Geschäftsführer wird auf das Gesetz verwiesen (Art. 810 - 813 OR).</w:t>
      </w:r>
    </w:p>
    <w:p w:rsidR="005240E6" w:rsidRPr="005F15DA" w:rsidRDefault="005240E6" w:rsidP="00C86A0C">
      <w:pPr>
        <w:tabs>
          <w:tab w:val="left" w:pos="426"/>
        </w:tabs>
      </w:pPr>
    </w:p>
    <w:p w:rsidR="005D70F9" w:rsidRPr="005F15DA" w:rsidRDefault="005D70F9" w:rsidP="00C86A0C">
      <w:pPr>
        <w:tabs>
          <w:tab w:val="left" w:pos="426"/>
        </w:tabs>
      </w:pPr>
      <w:r w:rsidRPr="005F15DA">
        <w:t>Jeder Geschäftsführer ist zur Vertretung der Gesellschaft berechtigt (Art. 814 OR), wobei in den Statuten eine andere Regelung getroffen werden kann; es muss aber immer mindestens ein Geschäftsführer zur Vertretung befugt sein. Im Übrigen sind die Art. 718a und 718b OR analog anwendbar.</w:t>
      </w:r>
    </w:p>
    <w:p w:rsidR="00E90D39" w:rsidRDefault="00E90D39" w:rsidP="00C86A0C">
      <w:pPr>
        <w:tabs>
          <w:tab w:val="left" w:pos="426"/>
        </w:tabs>
      </w:pPr>
    </w:p>
    <w:p w:rsidR="005D70F9" w:rsidRPr="005F15DA" w:rsidRDefault="005D70F9" w:rsidP="00C86A0C">
      <w:pPr>
        <w:tabs>
          <w:tab w:val="left" w:pos="426"/>
        </w:tabs>
      </w:pPr>
      <w:r w:rsidRPr="005F15DA">
        <w:t>Die Gesellschafterversammlung kann von ihr gewählte Geschäftsführer jederzeit abberufen (Art. 815 OR).</w:t>
      </w:r>
    </w:p>
    <w:p w:rsidR="005240E6" w:rsidRPr="005F15DA" w:rsidRDefault="005240E6" w:rsidP="00C86A0C">
      <w:pPr>
        <w:tabs>
          <w:tab w:val="left" w:pos="426"/>
        </w:tabs>
      </w:pPr>
    </w:p>
    <w:p w:rsidR="005D70F9" w:rsidRPr="005F15DA" w:rsidRDefault="005D70F9" w:rsidP="00C86A0C">
      <w:pPr>
        <w:tabs>
          <w:tab w:val="left" w:pos="426"/>
        </w:tabs>
      </w:pPr>
      <w:r w:rsidRPr="005F15DA">
        <w:t xml:space="preserve">Für die </w:t>
      </w:r>
      <w:r w:rsidRPr="005F15DA">
        <w:rPr>
          <w:b/>
        </w:rPr>
        <w:t>Revisionsstelle</w:t>
      </w:r>
      <w:r w:rsidRPr="005F15DA">
        <w:t xml:space="preserve"> sind die Vorschriften des Aktienrechts entsprechend anwendbar (Art. 818 OR und 727 – 731a OR).</w:t>
      </w:r>
    </w:p>
    <w:p w:rsidR="005D70F9" w:rsidRPr="005F15DA" w:rsidRDefault="00C86A0C" w:rsidP="00C86A0C">
      <w:pPr>
        <w:pStyle w:val="berschrift3"/>
        <w:rPr>
          <w:lang w:val="de-CH"/>
        </w:rPr>
      </w:pPr>
      <w:bookmarkStart w:id="91" w:name="_Toc432175612"/>
      <w:r w:rsidRPr="005F15DA">
        <w:rPr>
          <w:lang w:val="de-CH"/>
        </w:rPr>
        <w:lastRenderedPageBreak/>
        <w:t>F.</w:t>
      </w:r>
      <w:r w:rsidRPr="005F15DA">
        <w:rPr>
          <w:lang w:val="de-CH"/>
        </w:rPr>
        <w:tab/>
      </w:r>
      <w:r w:rsidR="005D70F9" w:rsidRPr="005F15DA">
        <w:rPr>
          <w:lang w:val="de-CH"/>
        </w:rPr>
        <w:t>Gründung (Art. 777 – 779a OR)</w:t>
      </w:r>
      <w:bookmarkEnd w:id="91"/>
    </w:p>
    <w:p w:rsidR="005240E6" w:rsidRPr="005F15DA" w:rsidRDefault="005240E6" w:rsidP="00C86A0C">
      <w:pPr>
        <w:tabs>
          <w:tab w:val="left" w:pos="426"/>
        </w:tabs>
      </w:pPr>
    </w:p>
    <w:p w:rsidR="005D70F9" w:rsidRPr="005F15DA" w:rsidRDefault="005D70F9" w:rsidP="00C86A0C">
      <w:pPr>
        <w:tabs>
          <w:tab w:val="left" w:pos="426"/>
        </w:tabs>
      </w:pPr>
      <w:r w:rsidRPr="005F15DA">
        <w:t>Die GmbH wird mit öffentlicher Urkunde gegründet; sie entsteht erst mit dem Eintrag im Ha</w:t>
      </w:r>
      <w:r w:rsidRPr="005F15DA">
        <w:t>n</w:t>
      </w:r>
      <w:r w:rsidRPr="005F15DA">
        <w:t>delsregister.</w:t>
      </w:r>
    </w:p>
    <w:p w:rsidR="005240E6" w:rsidRPr="005F15DA" w:rsidRDefault="005240E6" w:rsidP="00C86A0C">
      <w:pPr>
        <w:tabs>
          <w:tab w:val="left" w:pos="426"/>
        </w:tabs>
      </w:pPr>
    </w:p>
    <w:p w:rsidR="005D70F9" w:rsidRPr="005F15DA" w:rsidRDefault="005D70F9" w:rsidP="00C86A0C">
      <w:pPr>
        <w:tabs>
          <w:tab w:val="left" w:pos="426"/>
        </w:tabs>
      </w:pPr>
      <w:r w:rsidRPr="005F15DA">
        <w:t xml:space="preserve">In der Gründungsurkunde erklären die Gründer, eine GmbH zu gründen, legen die Statuten fest zeichnen die Stammanteile und bestellen die Organe. In den Zeichnungsscheinen muss auf die statutarischen </w:t>
      </w:r>
    </w:p>
    <w:p w:rsidR="005D70F9" w:rsidRPr="005F15DA" w:rsidRDefault="005D70F9" w:rsidP="00C86A0C">
      <w:pPr>
        <w:tabs>
          <w:tab w:val="left" w:pos="426"/>
        </w:tabs>
      </w:pPr>
      <w:r w:rsidRPr="005F15DA">
        <w:t>-</w:t>
      </w:r>
      <w:r w:rsidRPr="005F15DA">
        <w:tab/>
        <w:t>Nachschusspflichten,</w:t>
      </w:r>
    </w:p>
    <w:p w:rsidR="005D70F9" w:rsidRPr="005F15DA" w:rsidRDefault="005D70F9" w:rsidP="00C86A0C">
      <w:pPr>
        <w:tabs>
          <w:tab w:val="left" w:pos="426"/>
        </w:tabs>
      </w:pPr>
      <w:r w:rsidRPr="005F15DA">
        <w:t>-</w:t>
      </w:r>
      <w:r w:rsidRPr="005F15DA">
        <w:tab/>
        <w:t>Nebenleistungspflichten,</w:t>
      </w:r>
    </w:p>
    <w:p w:rsidR="005D70F9" w:rsidRPr="005F15DA" w:rsidRDefault="005D70F9" w:rsidP="00C86A0C">
      <w:pPr>
        <w:tabs>
          <w:tab w:val="left" w:pos="426"/>
        </w:tabs>
      </w:pPr>
      <w:r w:rsidRPr="005F15DA">
        <w:t>-</w:t>
      </w:r>
      <w:r w:rsidRPr="005F15DA">
        <w:tab/>
        <w:t>Konkurrenzverbote der Gesellschafter,</w:t>
      </w:r>
    </w:p>
    <w:p w:rsidR="005D70F9" w:rsidRPr="005F15DA" w:rsidRDefault="005D70F9" w:rsidP="00C86A0C">
      <w:pPr>
        <w:tabs>
          <w:tab w:val="left" w:pos="426"/>
        </w:tabs>
      </w:pPr>
      <w:r w:rsidRPr="005F15DA">
        <w:t>-</w:t>
      </w:r>
      <w:r w:rsidRPr="005F15DA">
        <w:tab/>
        <w:t>Vorhand-, Vorkaufs- und Kaufsrechte der Gesellschafter oder der Gesellschaft, und auf</w:t>
      </w:r>
    </w:p>
    <w:p w:rsidR="005D70F9" w:rsidRPr="005F15DA" w:rsidRDefault="005D70F9" w:rsidP="00C86A0C">
      <w:pPr>
        <w:tabs>
          <w:tab w:val="left" w:pos="426"/>
        </w:tabs>
      </w:pPr>
      <w:r w:rsidRPr="005F15DA">
        <w:t>-</w:t>
      </w:r>
      <w:r w:rsidRPr="005F15DA">
        <w:tab/>
        <w:t xml:space="preserve">Konventionalstrafen </w:t>
      </w:r>
    </w:p>
    <w:p w:rsidR="005D70F9" w:rsidRPr="005F15DA" w:rsidRDefault="005D70F9" w:rsidP="00C86A0C">
      <w:pPr>
        <w:tabs>
          <w:tab w:val="left" w:pos="426"/>
        </w:tabs>
      </w:pPr>
      <w:r w:rsidRPr="005F15DA">
        <w:t>hingewiesen werden.</w:t>
      </w:r>
    </w:p>
    <w:p w:rsidR="005240E6" w:rsidRPr="005F15DA" w:rsidRDefault="005240E6" w:rsidP="00C86A0C">
      <w:pPr>
        <w:tabs>
          <w:tab w:val="left" w:pos="426"/>
        </w:tabs>
      </w:pPr>
    </w:p>
    <w:p w:rsidR="005D70F9" w:rsidRPr="005F15DA" w:rsidRDefault="005D70F9" w:rsidP="00C86A0C">
      <w:pPr>
        <w:tabs>
          <w:tab w:val="left" w:pos="426"/>
        </w:tabs>
      </w:pPr>
      <w:r w:rsidRPr="005F15DA">
        <w:t>In der Gründungsurkunde muss der Notar die Gründungsbelege einzeln nennen und bestät</w:t>
      </w:r>
      <w:r w:rsidRPr="005F15DA">
        <w:t>i</w:t>
      </w:r>
      <w:r w:rsidRPr="005F15DA">
        <w:t>gen, dass sie ihm und den Gründern vorgelegen haben.</w:t>
      </w:r>
    </w:p>
    <w:p w:rsidR="005240E6" w:rsidRPr="005F15DA" w:rsidRDefault="005240E6" w:rsidP="00C86A0C">
      <w:pPr>
        <w:tabs>
          <w:tab w:val="left" w:pos="426"/>
        </w:tabs>
      </w:pPr>
    </w:p>
    <w:p w:rsidR="005D70F9" w:rsidRPr="005F15DA" w:rsidRDefault="005D70F9" w:rsidP="00C86A0C">
      <w:pPr>
        <w:tabs>
          <w:tab w:val="left" w:pos="426"/>
        </w:tabs>
      </w:pPr>
      <w:r w:rsidRPr="005F15DA">
        <w:t>Der Gründungsurkunde müssen die folgenden Belege beigelegt werden:</w:t>
      </w:r>
    </w:p>
    <w:p w:rsidR="005D70F9" w:rsidRPr="005F15DA" w:rsidRDefault="005D70F9" w:rsidP="00C86A0C">
      <w:pPr>
        <w:tabs>
          <w:tab w:val="left" w:pos="426"/>
        </w:tabs>
      </w:pPr>
      <w:r w:rsidRPr="005F15DA">
        <w:t>-</w:t>
      </w:r>
      <w:r w:rsidRPr="005F15DA">
        <w:tab/>
        <w:t>Die Statuten;</w:t>
      </w:r>
    </w:p>
    <w:p w:rsidR="005D70F9" w:rsidRPr="005F15DA" w:rsidRDefault="005D70F9" w:rsidP="00C86A0C">
      <w:pPr>
        <w:tabs>
          <w:tab w:val="left" w:pos="426"/>
        </w:tabs>
      </w:pPr>
      <w:r w:rsidRPr="005F15DA">
        <w:t>-</w:t>
      </w:r>
      <w:r w:rsidRPr="005F15DA">
        <w:tab/>
        <w:t>Der Gründungsbericht;</w:t>
      </w:r>
    </w:p>
    <w:p w:rsidR="005D70F9" w:rsidRPr="005F15DA" w:rsidRDefault="005D70F9" w:rsidP="00C86A0C">
      <w:pPr>
        <w:tabs>
          <w:tab w:val="left" w:pos="426"/>
        </w:tabs>
      </w:pPr>
      <w:r w:rsidRPr="005F15DA">
        <w:t>-</w:t>
      </w:r>
      <w:r w:rsidRPr="005F15DA">
        <w:tab/>
        <w:t>Die Prüfungsbestätigung;</w:t>
      </w:r>
    </w:p>
    <w:p w:rsidR="005D70F9" w:rsidRPr="005F15DA" w:rsidRDefault="005D70F9" w:rsidP="00C86A0C">
      <w:pPr>
        <w:tabs>
          <w:tab w:val="left" w:pos="426"/>
        </w:tabs>
      </w:pPr>
      <w:r w:rsidRPr="005F15DA">
        <w:t>-</w:t>
      </w:r>
      <w:r w:rsidRPr="005F15DA">
        <w:tab/>
        <w:t>Die Bestätigung über die Hinterlegung von Einlagen in Geld;</w:t>
      </w:r>
    </w:p>
    <w:p w:rsidR="005D70F9" w:rsidRPr="005F15DA" w:rsidRDefault="005D70F9" w:rsidP="00C86A0C">
      <w:pPr>
        <w:tabs>
          <w:tab w:val="left" w:pos="426"/>
        </w:tabs>
      </w:pPr>
      <w:r w:rsidRPr="005F15DA">
        <w:t>-</w:t>
      </w:r>
      <w:r w:rsidRPr="005F15DA">
        <w:tab/>
        <w:t>Die Sacheinlageverträge;</w:t>
      </w:r>
    </w:p>
    <w:p w:rsidR="005D70F9" w:rsidRPr="005F15DA" w:rsidRDefault="005D70F9" w:rsidP="00C86A0C">
      <w:pPr>
        <w:tabs>
          <w:tab w:val="left" w:pos="426"/>
        </w:tabs>
      </w:pPr>
      <w:r w:rsidRPr="005F15DA">
        <w:t>-</w:t>
      </w:r>
      <w:r w:rsidRPr="005F15DA">
        <w:tab/>
        <w:t>Bereits vorliegende Sachübernahmeverträge.</w:t>
      </w:r>
    </w:p>
    <w:p w:rsidR="005240E6" w:rsidRPr="005F15DA" w:rsidRDefault="005240E6" w:rsidP="00C86A0C">
      <w:pPr>
        <w:tabs>
          <w:tab w:val="left" w:pos="426"/>
        </w:tabs>
      </w:pPr>
    </w:p>
    <w:p w:rsidR="005D70F9" w:rsidRPr="005F15DA" w:rsidRDefault="005D70F9" w:rsidP="00C86A0C">
      <w:pPr>
        <w:tabs>
          <w:tab w:val="left" w:pos="426"/>
        </w:tabs>
      </w:pPr>
      <w:r w:rsidRPr="005F15DA">
        <w:t>Die Stammanteile müssen bei der Gründung vollständig liberiert werden. Im Übrigen sind die Vorschriften des Aktienrechts über die Sacheinlagen, Sachübernahmen und besonderen Vo</w:t>
      </w:r>
      <w:r w:rsidRPr="005F15DA">
        <w:t>r</w:t>
      </w:r>
      <w:r w:rsidRPr="005F15DA">
        <w:t>teile gemäss Statuten, analog anwendbar (Art. 777c, 628, 633 – 635a, 642 OR).</w:t>
      </w:r>
    </w:p>
    <w:p w:rsidR="005240E6" w:rsidRPr="005F15DA" w:rsidRDefault="005240E6" w:rsidP="00C86A0C">
      <w:pPr>
        <w:tabs>
          <w:tab w:val="left" w:pos="426"/>
        </w:tabs>
      </w:pPr>
    </w:p>
    <w:p w:rsidR="005D70F9" w:rsidRPr="005F15DA" w:rsidRDefault="005D70F9" w:rsidP="00C86A0C">
      <w:pPr>
        <w:tabs>
          <w:tab w:val="left" w:pos="426"/>
        </w:tabs>
      </w:pPr>
      <w:r w:rsidRPr="005F15DA">
        <w:t>Die Gesellschaft ist in das Handelsregister des Ortes einzutragen, an welchem sie ihren Sitz hat. Zweigniederlassungen sind in das Handelsregister des Ortes einzutragen, an dem sie sich befinden.</w:t>
      </w:r>
    </w:p>
    <w:p w:rsidR="005240E6" w:rsidRPr="005F15DA" w:rsidRDefault="005240E6" w:rsidP="00C86A0C">
      <w:pPr>
        <w:tabs>
          <w:tab w:val="left" w:pos="426"/>
        </w:tabs>
      </w:pPr>
    </w:p>
    <w:p w:rsidR="005D70F9" w:rsidRPr="005F15DA" w:rsidRDefault="005D70F9" w:rsidP="00C86A0C">
      <w:pPr>
        <w:tabs>
          <w:tab w:val="left" w:pos="426"/>
        </w:tabs>
      </w:pPr>
      <w:r w:rsidRPr="005F15DA">
        <w:t>Die Gesellschaft erlangt das Recht der Persönlichkeit durch die Eintragung ins Handelsregi</w:t>
      </w:r>
      <w:r w:rsidRPr="005F15DA">
        <w:t>s</w:t>
      </w:r>
      <w:r w:rsidRPr="005F15DA">
        <w:t>ter (Art. 779 OR). Vor der Eintragung im Handelsregister eingegangene Verpflichtungen kö</w:t>
      </w:r>
      <w:r w:rsidRPr="005F15DA">
        <w:t>n</w:t>
      </w:r>
      <w:r w:rsidRPr="005F15DA">
        <w:t>nen von der Gesellschaft übernommen und die Handelnden befreit werden (Art. 779a OR).</w:t>
      </w:r>
    </w:p>
    <w:p w:rsidR="005240E6" w:rsidRDefault="005240E6" w:rsidP="00C86A0C">
      <w:pPr>
        <w:tabs>
          <w:tab w:val="left" w:pos="426"/>
        </w:tabs>
      </w:pPr>
    </w:p>
    <w:p w:rsidR="00E85608" w:rsidRDefault="00E85608" w:rsidP="00C86A0C">
      <w:pPr>
        <w:tabs>
          <w:tab w:val="left" w:pos="426"/>
        </w:tabs>
      </w:pPr>
    </w:p>
    <w:p w:rsidR="005D70F9" w:rsidRPr="005F15DA" w:rsidRDefault="00C86A0C" w:rsidP="00C86A0C">
      <w:pPr>
        <w:pStyle w:val="berschrift3"/>
        <w:ind w:left="426" w:hanging="426"/>
        <w:rPr>
          <w:lang w:val="de-CH"/>
        </w:rPr>
      </w:pPr>
      <w:bookmarkStart w:id="92" w:name="_Toc432175613"/>
      <w:r w:rsidRPr="005F15DA">
        <w:rPr>
          <w:lang w:val="de-CH"/>
        </w:rPr>
        <w:t>G</w:t>
      </w:r>
      <w:r w:rsidR="005D70F9" w:rsidRPr="005F15DA">
        <w:rPr>
          <w:lang w:val="de-CH"/>
        </w:rPr>
        <w:t>.</w:t>
      </w:r>
      <w:r w:rsidR="005D70F9" w:rsidRPr="005F15DA">
        <w:rPr>
          <w:lang w:val="de-CH"/>
        </w:rPr>
        <w:tab/>
        <w:t>Statutenänderung, Erhöhung und Herabsetzung des Stammkapitals, Erwerb eigener Stammanteile</w:t>
      </w:r>
      <w:bookmarkEnd w:id="92"/>
    </w:p>
    <w:p w:rsidR="005240E6" w:rsidRPr="005F15DA" w:rsidRDefault="005240E6" w:rsidP="00C86A0C">
      <w:pPr>
        <w:tabs>
          <w:tab w:val="left" w:pos="426"/>
        </w:tabs>
      </w:pPr>
    </w:p>
    <w:p w:rsidR="005D70F9" w:rsidRPr="005F15DA" w:rsidRDefault="005D70F9" w:rsidP="00C86A0C">
      <w:pPr>
        <w:tabs>
          <w:tab w:val="left" w:pos="426"/>
        </w:tabs>
      </w:pPr>
      <w:r w:rsidRPr="005F15DA">
        <w:t xml:space="preserve">Jede </w:t>
      </w:r>
      <w:r w:rsidRPr="005F15DA">
        <w:rPr>
          <w:u w:val="single"/>
        </w:rPr>
        <w:t>Statutenänderung</w:t>
      </w:r>
      <w:r w:rsidRPr="005F15DA">
        <w:t xml:space="preserve"> muss öffentlich beurkundet werden (Art. 780 OR).</w:t>
      </w:r>
    </w:p>
    <w:p w:rsidR="005240E6" w:rsidRPr="005F15DA" w:rsidRDefault="005240E6" w:rsidP="00C86A0C">
      <w:pPr>
        <w:tabs>
          <w:tab w:val="left" w:pos="426"/>
        </w:tabs>
      </w:pPr>
    </w:p>
    <w:p w:rsidR="005D70F9" w:rsidRPr="005F15DA" w:rsidRDefault="005D70F9" w:rsidP="00C86A0C">
      <w:pPr>
        <w:tabs>
          <w:tab w:val="left" w:pos="426"/>
        </w:tabs>
      </w:pPr>
      <w:r w:rsidRPr="005F15DA">
        <w:lastRenderedPageBreak/>
        <w:t xml:space="preserve">Die Gesellschafterversammlung kann eine </w:t>
      </w:r>
      <w:r w:rsidRPr="005F15DA">
        <w:rPr>
          <w:u w:val="single"/>
        </w:rPr>
        <w:t>Erhöhung</w:t>
      </w:r>
      <w:r w:rsidRPr="005F15DA">
        <w:t xml:space="preserve"> des Stammkapitals (Art. 781 OR) b</w:t>
      </w:r>
      <w:r w:rsidRPr="005F15DA">
        <w:t>e</w:t>
      </w:r>
      <w:r w:rsidRPr="005F15DA">
        <w:t>schliessen; die Ausführung des Gesellschafterbeschlusses erfolgt durch die Geschäftsführer. Die Zeichnung und die Einlagen richten sich nach den Vorschriften über die Gründung.</w:t>
      </w:r>
    </w:p>
    <w:p w:rsidR="005240E6" w:rsidRPr="005F15DA" w:rsidRDefault="005240E6" w:rsidP="00C86A0C">
      <w:pPr>
        <w:tabs>
          <w:tab w:val="left" w:pos="426"/>
        </w:tabs>
      </w:pPr>
    </w:p>
    <w:p w:rsidR="005D70F9" w:rsidRPr="005F15DA" w:rsidRDefault="005D70F9" w:rsidP="00C86A0C">
      <w:pPr>
        <w:tabs>
          <w:tab w:val="left" w:pos="426"/>
        </w:tabs>
      </w:pPr>
      <w:r w:rsidRPr="005F15DA">
        <w:t>Die Erhöhung muss innerhalb von 3 Monaten seit dem Beschluss der Gesellschafterve</w:t>
      </w:r>
      <w:r w:rsidRPr="005F15DA">
        <w:t>r</w:t>
      </w:r>
      <w:r w:rsidRPr="005F15DA">
        <w:t>sammlung beim Handelsregister angemeldet werden.</w:t>
      </w:r>
    </w:p>
    <w:p w:rsidR="005240E6" w:rsidRPr="005F15DA" w:rsidRDefault="005240E6" w:rsidP="00C86A0C">
      <w:pPr>
        <w:tabs>
          <w:tab w:val="left" w:pos="426"/>
        </w:tabs>
      </w:pPr>
    </w:p>
    <w:p w:rsidR="005D70F9" w:rsidRPr="005F15DA" w:rsidRDefault="005D70F9" w:rsidP="00C86A0C">
      <w:pPr>
        <w:tabs>
          <w:tab w:val="left" w:pos="426"/>
        </w:tabs>
      </w:pPr>
      <w:r w:rsidRPr="005F15DA">
        <w:t>Im Übrigen sind die Vorschriften des Aktienrechts analog anwendbar (Art. 630, 650, 652, 652.b, 652.d – 652.h OR).</w:t>
      </w:r>
    </w:p>
    <w:p w:rsidR="005240E6" w:rsidRPr="005F15DA" w:rsidRDefault="005240E6" w:rsidP="00C86A0C">
      <w:pPr>
        <w:tabs>
          <w:tab w:val="left" w:pos="426"/>
        </w:tabs>
      </w:pPr>
    </w:p>
    <w:p w:rsidR="005D70F9" w:rsidRPr="005F15DA" w:rsidRDefault="005D70F9" w:rsidP="00C86A0C">
      <w:pPr>
        <w:tabs>
          <w:tab w:val="left" w:pos="426"/>
        </w:tabs>
      </w:pPr>
      <w:r w:rsidRPr="005F15DA">
        <w:t xml:space="preserve">Das Stammkapital der GmbH kann mit Beschluss der Gesellschafterversammlung </w:t>
      </w:r>
      <w:r w:rsidRPr="005F15DA">
        <w:rPr>
          <w:u w:val="single"/>
        </w:rPr>
        <w:t>herabg</w:t>
      </w:r>
      <w:r w:rsidRPr="005F15DA">
        <w:rPr>
          <w:u w:val="single"/>
        </w:rPr>
        <w:t>e</w:t>
      </w:r>
      <w:r w:rsidRPr="005F15DA">
        <w:rPr>
          <w:u w:val="single"/>
        </w:rPr>
        <w:t>setzt</w:t>
      </w:r>
      <w:r w:rsidRPr="005F15DA">
        <w:t xml:space="preserve"> werden (Art. 782 OR); das Stammkapital darf aber nie weniger als CHF 20'000.- betr</w:t>
      </w:r>
      <w:r w:rsidRPr="005F15DA">
        <w:t>a</w:t>
      </w:r>
      <w:r w:rsidRPr="005F15DA">
        <w:t>gen.</w:t>
      </w:r>
    </w:p>
    <w:p w:rsidR="005240E6" w:rsidRPr="005F15DA" w:rsidRDefault="005240E6" w:rsidP="00C86A0C">
      <w:pPr>
        <w:tabs>
          <w:tab w:val="left" w:pos="426"/>
        </w:tabs>
      </w:pPr>
    </w:p>
    <w:p w:rsidR="005D70F9" w:rsidRPr="005F15DA" w:rsidRDefault="005D70F9" w:rsidP="00C86A0C">
      <w:pPr>
        <w:tabs>
          <w:tab w:val="left" w:pos="426"/>
        </w:tabs>
      </w:pPr>
      <w:r w:rsidRPr="005F15DA">
        <w:t>Im Übrigen sind die Vorschriften des Aktienrechts analog anwendbar (Art. 732 – 735 OR).</w:t>
      </w:r>
    </w:p>
    <w:p w:rsidR="005240E6" w:rsidRPr="005F15DA" w:rsidRDefault="005240E6" w:rsidP="00C86A0C">
      <w:pPr>
        <w:tabs>
          <w:tab w:val="left" w:pos="426"/>
        </w:tabs>
      </w:pPr>
    </w:p>
    <w:p w:rsidR="005D70F9" w:rsidRPr="005F15DA" w:rsidRDefault="005D70F9" w:rsidP="00C86A0C">
      <w:pPr>
        <w:tabs>
          <w:tab w:val="left" w:pos="426"/>
        </w:tabs>
      </w:pPr>
      <w:r w:rsidRPr="005F15DA">
        <w:t xml:space="preserve">Die Gesellschaft darf </w:t>
      </w:r>
      <w:r w:rsidRPr="005F15DA">
        <w:rPr>
          <w:u w:val="single"/>
        </w:rPr>
        <w:t>eigene Stammanteile erwerben</w:t>
      </w:r>
      <w:r w:rsidRPr="005F15DA">
        <w:t xml:space="preserve"> (Art. 783 OR), wenn der Erwerb aus frei verfügbarem Eigenkapital erfolgt und der Nennwert der zu erwerbenden Anteile nicht mehr als 10% des Stammkapitals beträgt.</w:t>
      </w:r>
    </w:p>
    <w:p w:rsidR="005240E6" w:rsidRPr="005F15DA" w:rsidRDefault="005240E6" w:rsidP="00C86A0C">
      <w:pPr>
        <w:tabs>
          <w:tab w:val="left" w:pos="426"/>
        </w:tabs>
      </w:pPr>
    </w:p>
    <w:p w:rsidR="005D70F9" w:rsidRPr="005F15DA" w:rsidRDefault="005D70F9" w:rsidP="00C86A0C">
      <w:pPr>
        <w:tabs>
          <w:tab w:val="left" w:pos="426"/>
        </w:tabs>
      </w:pPr>
      <w:r w:rsidRPr="005F15DA">
        <w:t>Im Zusammenhang mit einer Übertragungsbeschränkung, einem Austritt oder einem Au</w:t>
      </w:r>
      <w:r w:rsidRPr="005F15DA">
        <w:t>s</w:t>
      </w:r>
      <w:r w:rsidRPr="005F15DA">
        <w:t>schluss können Stammanteile für maximal 35% des Stammkapitals erworben werden; innert 2 Jahren müssen aber 25% wieder veräussert oder durch Kapitalherabsetzung vernichtet we</w:t>
      </w:r>
      <w:r w:rsidRPr="005F15DA">
        <w:t>r</w:t>
      </w:r>
      <w:r w:rsidRPr="005F15DA">
        <w:t>den.</w:t>
      </w:r>
    </w:p>
    <w:p w:rsidR="005240E6" w:rsidRPr="005F15DA" w:rsidRDefault="005240E6" w:rsidP="00C86A0C">
      <w:pPr>
        <w:tabs>
          <w:tab w:val="left" w:pos="426"/>
        </w:tabs>
      </w:pPr>
    </w:p>
    <w:p w:rsidR="005D70F9" w:rsidRPr="005F15DA" w:rsidRDefault="005D70F9" w:rsidP="00C86A0C">
      <w:pPr>
        <w:tabs>
          <w:tab w:val="left" w:pos="426"/>
        </w:tabs>
      </w:pPr>
      <w:r w:rsidRPr="005F15DA">
        <w:t>Im Übrigen sind die Art. 659a und 659b OR analog anwendbar.</w:t>
      </w:r>
    </w:p>
    <w:p w:rsidR="005240E6" w:rsidRPr="005F15DA" w:rsidRDefault="005240E6" w:rsidP="00E85608">
      <w:pPr>
        <w:tabs>
          <w:tab w:val="left" w:pos="426"/>
        </w:tabs>
      </w:pPr>
    </w:p>
    <w:p w:rsidR="00E85608" w:rsidRPr="005F15DA" w:rsidRDefault="00E85608" w:rsidP="00E85608">
      <w:pPr>
        <w:jc w:val="both"/>
        <w:rPr>
          <w:spacing w:val="-2"/>
          <w:szCs w:val="22"/>
        </w:rPr>
      </w:pPr>
    </w:p>
    <w:p w:rsidR="005D70F9" w:rsidRPr="005F15DA" w:rsidRDefault="00C86A0C" w:rsidP="00C86A0C">
      <w:pPr>
        <w:pStyle w:val="berschrift3"/>
        <w:rPr>
          <w:lang w:val="de-CH"/>
        </w:rPr>
      </w:pPr>
      <w:bookmarkStart w:id="93" w:name="_Toc432175614"/>
      <w:r w:rsidRPr="005F15DA">
        <w:rPr>
          <w:lang w:val="de-CH"/>
        </w:rPr>
        <w:t>H.</w:t>
      </w:r>
      <w:r w:rsidRPr="005F15DA">
        <w:rPr>
          <w:lang w:val="de-CH"/>
        </w:rPr>
        <w:tab/>
      </w:r>
      <w:r w:rsidR="005D70F9" w:rsidRPr="005F15DA">
        <w:rPr>
          <w:lang w:val="de-CH"/>
        </w:rPr>
        <w:t>Auflösung und Ausscheiden (Art. 821 – 826 OR)</w:t>
      </w:r>
      <w:bookmarkEnd w:id="93"/>
    </w:p>
    <w:p w:rsidR="005240E6" w:rsidRPr="005F15DA" w:rsidRDefault="005240E6" w:rsidP="00C86A0C">
      <w:pPr>
        <w:tabs>
          <w:tab w:val="left" w:pos="426"/>
        </w:tabs>
      </w:pPr>
    </w:p>
    <w:p w:rsidR="005D70F9" w:rsidRPr="005F15DA" w:rsidRDefault="005D70F9" w:rsidP="00C86A0C">
      <w:pPr>
        <w:tabs>
          <w:tab w:val="left" w:pos="426"/>
        </w:tabs>
      </w:pPr>
      <w:r w:rsidRPr="005F15DA">
        <w:t>Die GmbH wird aufgelöst:</w:t>
      </w:r>
    </w:p>
    <w:p w:rsidR="005D70F9" w:rsidRPr="005F15DA" w:rsidRDefault="005D70F9" w:rsidP="00C86A0C">
      <w:pPr>
        <w:tabs>
          <w:tab w:val="left" w:pos="426"/>
        </w:tabs>
      </w:pPr>
      <w:r w:rsidRPr="005F15DA">
        <w:t>-</w:t>
      </w:r>
      <w:r w:rsidRPr="005F15DA">
        <w:tab/>
        <w:t>durch Eintritt eines in den Statuten vorgesehenen Auflösungsgrundes;</w:t>
      </w:r>
    </w:p>
    <w:p w:rsidR="005D70F9" w:rsidRPr="005F15DA" w:rsidRDefault="005D70F9" w:rsidP="00C86A0C">
      <w:pPr>
        <w:tabs>
          <w:tab w:val="left" w:pos="426"/>
        </w:tabs>
      </w:pPr>
      <w:r w:rsidRPr="005F15DA">
        <w:t>-</w:t>
      </w:r>
      <w:r w:rsidRPr="005F15DA">
        <w:tab/>
        <w:t>durch Beschluss der Gesellschafterversammlung;</w:t>
      </w:r>
    </w:p>
    <w:p w:rsidR="005D70F9" w:rsidRPr="005F15DA" w:rsidRDefault="005D70F9" w:rsidP="00C86A0C">
      <w:pPr>
        <w:tabs>
          <w:tab w:val="left" w:pos="426"/>
        </w:tabs>
      </w:pPr>
      <w:r w:rsidRPr="005F15DA">
        <w:t>-</w:t>
      </w:r>
      <w:r w:rsidRPr="005F15DA">
        <w:tab/>
        <w:t>durch Eröffnung des Konkurses;</w:t>
      </w:r>
    </w:p>
    <w:p w:rsidR="005D70F9" w:rsidRPr="005F15DA" w:rsidRDefault="005D70F9" w:rsidP="00C86A0C">
      <w:pPr>
        <w:tabs>
          <w:tab w:val="left" w:pos="426"/>
        </w:tabs>
      </w:pPr>
      <w:r w:rsidRPr="005F15DA">
        <w:t>-</w:t>
      </w:r>
      <w:r w:rsidRPr="005F15DA">
        <w:tab/>
        <w:t>in den übrigen vom Gesetz vorgesehenen Fällen.</w:t>
      </w:r>
    </w:p>
    <w:p w:rsidR="005240E6" w:rsidRPr="005F15DA" w:rsidRDefault="005240E6" w:rsidP="00C86A0C">
      <w:pPr>
        <w:tabs>
          <w:tab w:val="left" w:pos="426"/>
        </w:tabs>
      </w:pPr>
    </w:p>
    <w:p w:rsidR="005D70F9" w:rsidRPr="005F15DA" w:rsidRDefault="005D70F9" w:rsidP="00C86A0C">
      <w:pPr>
        <w:tabs>
          <w:tab w:val="left" w:pos="426"/>
        </w:tabs>
      </w:pPr>
      <w:r w:rsidRPr="005F15DA">
        <w:t>Der Auflösungsbeschluss der Gesellschafterversammlung muss öffentlich beurkundet und im Handelsregister eingetragen werden (Art. 821 und 821a OR sowie Art. 738 OR).</w:t>
      </w:r>
    </w:p>
    <w:p w:rsidR="005240E6" w:rsidRPr="005F15DA" w:rsidRDefault="005240E6" w:rsidP="00C86A0C">
      <w:pPr>
        <w:tabs>
          <w:tab w:val="left" w:pos="426"/>
        </w:tabs>
      </w:pPr>
    </w:p>
    <w:p w:rsidR="005D70F9" w:rsidRPr="005F15DA" w:rsidRDefault="005D70F9" w:rsidP="00C86A0C">
      <w:pPr>
        <w:tabs>
          <w:tab w:val="left" w:pos="426"/>
        </w:tabs>
      </w:pPr>
      <w:r w:rsidRPr="005F15DA">
        <w:t>Ein Gesellschafter kann aus wichtigem Grund beim Gericht auf Bewilligung des Austritts kl</w:t>
      </w:r>
      <w:r w:rsidRPr="005F15DA">
        <w:t>a</w:t>
      </w:r>
      <w:r w:rsidRPr="005F15DA">
        <w:t>gen. Die Statuten können den Gesellschaftern ein Recht auf Austritt einräumen und dieses von bestimmten Bedingungen abhängig machen (Art. 822 OR).</w:t>
      </w:r>
    </w:p>
    <w:p w:rsidR="005240E6" w:rsidRPr="005F15DA" w:rsidRDefault="005240E6" w:rsidP="00C86A0C">
      <w:pPr>
        <w:tabs>
          <w:tab w:val="left" w:pos="426"/>
        </w:tabs>
      </w:pPr>
    </w:p>
    <w:p w:rsidR="005D70F9" w:rsidRPr="005F15DA" w:rsidRDefault="005D70F9" w:rsidP="00C86A0C">
      <w:pPr>
        <w:tabs>
          <w:tab w:val="left" w:pos="426"/>
        </w:tabs>
      </w:pPr>
      <w:r w:rsidRPr="005F15DA">
        <w:t>Aus wichtigen Gründen kann ein Gesellschafter vom Richter von der GmbH ausgeschlossen werden (Art. 823 – 824 OR).</w:t>
      </w:r>
    </w:p>
    <w:p w:rsidR="005240E6" w:rsidRPr="005F15DA" w:rsidRDefault="005240E6" w:rsidP="00C86A0C">
      <w:pPr>
        <w:tabs>
          <w:tab w:val="left" w:pos="426"/>
        </w:tabs>
      </w:pPr>
    </w:p>
    <w:p w:rsidR="005D70F9" w:rsidRPr="005F15DA" w:rsidRDefault="005D70F9" w:rsidP="00C86A0C">
      <w:pPr>
        <w:tabs>
          <w:tab w:val="left" w:pos="426"/>
        </w:tabs>
      </w:pPr>
      <w:r w:rsidRPr="005F15DA">
        <w:lastRenderedPageBreak/>
        <w:t>Mit dem Ausscheiden hat der Gesellschafter Anspruch auf eine Abfindung, die dem wirklichen Wert seiner Stammanteile entspricht (Art. 825 und 825a OR).</w:t>
      </w:r>
    </w:p>
    <w:p w:rsidR="005240E6" w:rsidRPr="005F15DA" w:rsidRDefault="005240E6" w:rsidP="00C86A0C">
      <w:pPr>
        <w:tabs>
          <w:tab w:val="left" w:pos="426"/>
        </w:tabs>
      </w:pPr>
    </w:p>
    <w:p w:rsidR="005D70F9" w:rsidRPr="005F15DA" w:rsidRDefault="005D70F9" w:rsidP="00C86A0C">
      <w:pPr>
        <w:tabs>
          <w:tab w:val="left" w:pos="426"/>
        </w:tabs>
      </w:pPr>
      <w:r w:rsidRPr="005F15DA">
        <w:t>Wenn die Gesellschaft liquidiert wird, hat jeder Gesellschafter Anspruch auf einen Anteil am Liquidationsergebnis (Art. 826 OR und Art. 739 -747 OR).</w:t>
      </w:r>
    </w:p>
    <w:p w:rsidR="005240E6" w:rsidRPr="005F15DA" w:rsidRDefault="005240E6" w:rsidP="00C86A0C">
      <w:pPr>
        <w:tabs>
          <w:tab w:val="left" w:pos="426"/>
        </w:tabs>
      </w:pPr>
    </w:p>
    <w:p w:rsidR="005240E6" w:rsidRPr="005F15DA" w:rsidRDefault="005240E6" w:rsidP="00C86A0C">
      <w:pPr>
        <w:tabs>
          <w:tab w:val="left" w:pos="426"/>
        </w:tabs>
      </w:pPr>
    </w:p>
    <w:p w:rsidR="005D70F9" w:rsidRPr="005F15DA" w:rsidRDefault="00C86A0C" w:rsidP="00C86A0C">
      <w:pPr>
        <w:pStyle w:val="berschrift3"/>
        <w:rPr>
          <w:lang w:val="de-CH"/>
        </w:rPr>
      </w:pPr>
      <w:bookmarkStart w:id="94" w:name="_Toc432175615"/>
      <w:r w:rsidRPr="005F15DA">
        <w:rPr>
          <w:lang w:val="de-CH"/>
        </w:rPr>
        <w:t>I.</w:t>
      </w:r>
      <w:r w:rsidRPr="005F15DA">
        <w:rPr>
          <w:lang w:val="de-CH"/>
        </w:rPr>
        <w:tab/>
      </w:r>
      <w:r w:rsidR="005D70F9" w:rsidRPr="005F15DA">
        <w:rPr>
          <w:lang w:val="de-CH"/>
        </w:rPr>
        <w:t>Übergangsbestimmungen</w:t>
      </w:r>
      <w:bookmarkEnd w:id="94"/>
      <w:r w:rsidR="005D70F9" w:rsidRPr="005F15DA">
        <w:rPr>
          <w:lang w:val="de-CH"/>
        </w:rPr>
        <w:t xml:space="preserve"> </w:t>
      </w:r>
    </w:p>
    <w:p w:rsidR="005240E6" w:rsidRPr="005F15DA" w:rsidRDefault="005240E6" w:rsidP="00C86A0C"/>
    <w:p w:rsidR="005D70F9" w:rsidRPr="005F15DA" w:rsidRDefault="005D70F9" w:rsidP="00C86A0C">
      <w:r w:rsidRPr="005F15DA">
        <w:t>Bis 31.12.2009 müssen „altrechtliche“ GmbH ihre Statuten und Reglemente den neuen Bes</w:t>
      </w:r>
      <w:r w:rsidRPr="005F15DA">
        <w:t>t</w:t>
      </w:r>
      <w:r w:rsidRPr="005F15DA">
        <w:t>immungen anpassen und das Stammkapital vollständig liberieren.</w:t>
      </w:r>
    </w:p>
    <w:p w:rsidR="00D8219C" w:rsidRPr="005F15DA" w:rsidRDefault="00D8219C" w:rsidP="00C86A0C"/>
    <w:p w:rsidR="005240E6" w:rsidRPr="005F15DA" w:rsidRDefault="005240E6" w:rsidP="00C86A0C"/>
    <w:p w:rsidR="005240E6" w:rsidRPr="005F15DA" w:rsidRDefault="005240E6" w:rsidP="00C86A0C"/>
    <w:p w:rsidR="00D8219C" w:rsidRPr="005F15DA" w:rsidRDefault="00D8219C" w:rsidP="00C86A0C"/>
    <w:p w:rsidR="005D70F9" w:rsidRPr="005F15DA" w:rsidRDefault="005D70F9" w:rsidP="00E36E8F">
      <w:pPr>
        <w:pStyle w:val="berschrift2"/>
      </w:pPr>
      <w:bookmarkStart w:id="95" w:name="_Toc432175616"/>
      <w:r w:rsidRPr="005F15DA">
        <w:t>VII. Die Kommanditaktiengesellschaft</w:t>
      </w:r>
      <w:bookmarkEnd w:id="95"/>
    </w:p>
    <w:p w:rsidR="00EE0A0C" w:rsidRPr="005F15DA" w:rsidRDefault="00EE0A0C" w:rsidP="00EE0A0C">
      <w:r w:rsidRPr="005F15DA">
        <w:t>______________________________________________</w:t>
      </w:r>
      <w:r w:rsidR="00AB6DDD">
        <w:t>_</w:t>
      </w:r>
    </w:p>
    <w:p w:rsidR="00C86A0C" w:rsidRPr="005F15DA" w:rsidRDefault="00C86A0C" w:rsidP="00C86A0C"/>
    <w:p w:rsidR="005D70F9" w:rsidRPr="005F15DA" w:rsidRDefault="005D70F9" w:rsidP="00C86A0C">
      <w:r w:rsidRPr="005F15DA">
        <w:t>Weil die Kommanditaktiengesellschaft in der Schweiz fast nicht verbreitet ist, wird hier auf ihre Darstellung verzichtet.</w:t>
      </w:r>
      <w:r w:rsidR="00C86A0C" w:rsidRPr="005F15DA">
        <w:t xml:space="preserve"> Sie ist in Art. 764 - 771 OR geregelt.</w:t>
      </w:r>
    </w:p>
    <w:p w:rsidR="00D8219C" w:rsidRPr="005F15DA" w:rsidRDefault="00D8219C" w:rsidP="00C86A0C"/>
    <w:p w:rsidR="005240E6" w:rsidRPr="005F15DA" w:rsidRDefault="005240E6" w:rsidP="00C86A0C"/>
    <w:p w:rsidR="005240E6" w:rsidRPr="005F15DA" w:rsidRDefault="005240E6" w:rsidP="00C86A0C"/>
    <w:p w:rsidR="00D8219C" w:rsidRPr="005F15DA" w:rsidRDefault="00D8219C" w:rsidP="00C86A0C"/>
    <w:p w:rsidR="005D70F9" w:rsidRPr="005F15DA" w:rsidRDefault="005D70F9" w:rsidP="00E36E8F">
      <w:pPr>
        <w:pStyle w:val="berschrift2"/>
      </w:pPr>
      <w:bookmarkStart w:id="96" w:name="_Toc432175617"/>
      <w:r w:rsidRPr="005F15DA">
        <w:t>VIII</w:t>
      </w:r>
      <w:r w:rsidR="00906BEF" w:rsidRPr="005F15DA">
        <w:t xml:space="preserve">. </w:t>
      </w:r>
      <w:r w:rsidRPr="005F15DA">
        <w:t>Die Genossenschaft</w:t>
      </w:r>
      <w:r w:rsidR="00906BEF" w:rsidRPr="005F15DA">
        <w:t xml:space="preserve"> (Art. 828 - 926 OR)</w:t>
      </w:r>
      <w:bookmarkEnd w:id="96"/>
    </w:p>
    <w:p w:rsidR="00EE0A0C" w:rsidRPr="005F15DA" w:rsidRDefault="00EE0A0C" w:rsidP="00EE0A0C">
      <w:r w:rsidRPr="005F15DA">
        <w:t>______________________________________________</w:t>
      </w:r>
      <w:r w:rsidR="00AB6DDD">
        <w:t>________</w:t>
      </w:r>
    </w:p>
    <w:p w:rsidR="005240E6" w:rsidRPr="005F15DA" w:rsidRDefault="005240E6" w:rsidP="0036523F"/>
    <w:p w:rsidR="0055346B" w:rsidRPr="005F15DA" w:rsidRDefault="0055346B" w:rsidP="0036523F"/>
    <w:p w:rsidR="005D70F9" w:rsidRPr="005F15DA" w:rsidRDefault="0055346B" w:rsidP="0055346B">
      <w:pPr>
        <w:pStyle w:val="berschrift3"/>
        <w:rPr>
          <w:lang w:val="de-CH"/>
        </w:rPr>
      </w:pPr>
      <w:bookmarkStart w:id="97" w:name="_Toc432175618"/>
      <w:r w:rsidRPr="005F15DA">
        <w:rPr>
          <w:lang w:val="de-CH"/>
        </w:rPr>
        <w:t>A.</w:t>
      </w:r>
      <w:r w:rsidRPr="005F15DA">
        <w:rPr>
          <w:lang w:val="de-CH"/>
        </w:rPr>
        <w:tab/>
      </w:r>
      <w:r w:rsidR="005D70F9" w:rsidRPr="005F15DA">
        <w:rPr>
          <w:lang w:val="de-CH"/>
        </w:rPr>
        <w:t>Allgemein</w:t>
      </w:r>
      <w:r w:rsidR="00906BEF" w:rsidRPr="005F15DA">
        <w:rPr>
          <w:lang w:val="de-CH"/>
        </w:rPr>
        <w:t>es</w:t>
      </w:r>
      <w:bookmarkEnd w:id="97"/>
    </w:p>
    <w:p w:rsidR="005240E6" w:rsidRPr="005F15DA" w:rsidRDefault="005240E6" w:rsidP="0036523F"/>
    <w:p w:rsidR="005D70F9" w:rsidRPr="005F15DA" w:rsidRDefault="00C86A0C" w:rsidP="0036523F">
      <w:r w:rsidRPr="005F15DA">
        <w:t xml:space="preserve">Die Genossenschaft ist in Art. 828 - 926 OR geregelt. Sie </w:t>
      </w:r>
      <w:r w:rsidR="005D70F9" w:rsidRPr="005F15DA">
        <w:t>ist eine Gesellschaft mit einer nicht geschlossenen Zahl von Mitgliedern, welche bestimmte wirtschaftliche Interessen ihrer Mi</w:t>
      </w:r>
      <w:r w:rsidR="005D70F9" w:rsidRPr="005F15DA">
        <w:t>t</w:t>
      </w:r>
      <w:r w:rsidR="005D70F9" w:rsidRPr="005F15DA">
        <w:t>glieder in gemeinsamer Selbsthilfe fördern will. Ihr Ziel ist die Vereinigung der wirtschaftlichen Kräfte, um dadurch jedem Mitglied wirtschaftliche Vorteile zu verschaffen, die es allein nicht erlangen könnte.</w:t>
      </w:r>
    </w:p>
    <w:p w:rsidR="005240E6" w:rsidRPr="005F15DA" w:rsidRDefault="005240E6" w:rsidP="0036523F"/>
    <w:p w:rsidR="005D70F9" w:rsidRPr="005F15DA" w:rsidRDefault="005D70F9" w:rsidP="0036523F">
      <w:r w:rsidRPr="005F15DA">
        <w:t>Die Genossenschaft entsteht durch die Festsetzung der Statuten, die Bestellung der Organe und den Eintrag im Handelsregister (Art. 834 und 838 OR).</w:t>
      </w:r>
    </w:p>
    <w:p w:rsidR="005240E6" w:rsidRDefault="005240E6" w:rsidP="0036523F"/>
    <w:p w:rsidR="00161833" w:rsidRPr="005F15DA" w:rsidRDefault="00161833" w:rsidP="0036523F"/>
    <w:p w:rsidR="005D70F9" w:rsidRPr="005F15DA" w:rsidRDefault="0055346B" w:rsidP="0055346B">
      <w:pPr>
        <w:pStyle w:val="berschrift3"/>
        <w:rPr>
          <w:lang w:val="de-CH"/>
        </w:rPr>
      </w:pPr>
      <w:bookmarkStart w:id="98" w:name="_Toc432175619"/>
      <w:r w:rsidRPr="005F15DA">
        <w:rPr>
          <w:lang w:val="de-CH"/>
        </w:rPr>
        <w:t>B.</w:t>
      </w:r>
      <w:r w:rsidRPr="005F15DA">
        <w:rPr>
          <w:lang w:val="de-CH"/>
        </w:rPr>
        <w:tab/>
      </w:r>
      <w:r w:rsidR="005D70F9" w:rsidRPr="005F15DA">
        <w:rPr>
          <w:lang w:val="de-CH"/>
        </w:rPr>
        <w:t>Statuten</w:t>
      </w:r>
      <w:bookmarkEnd w:id="98"/>
    </w:p>
    <w:p w:rsidR="005240E6" w:rsidRPr="005F15DA" w:rsidRDefault="005240E6" w:rsidP="0036523F">
      <w:pPr>
        <w:tabs>
          <w:tab w:val="left" w:pos="426"/>
        </w:tabs>
      </w:pPr>
    </w:p>
    <w:p w:rsidR="005D70F9" w:rsidRPr="005F15DA" w:rsidRDefault="005D70F9" w:rsidP="0036523F">
      <w:pPr>
        <w:tabs>
          <w:tab w:val="left" w:pos="426"/>
        </w:tabs>
      </w:pPr>
      <w:r w:rsidRPr="005F15DA">
        <w:t>Die Statuten müssen mindestens folgende Bestimmungen enthalten (Art. 832 OR):</w:t>
      </w:r>
    </w:p>
    <w:p w:rsidR="005D70F9" w:rsidRPr="005F15DA" w:rsidRDefault="005D70F9" w:rsidP="0036523F">
      <w:pPr>
        <w:tabs>
          <w:tab w:val="left" w:pos="426"/>
        </w:tabs>
      </w:pPr>
      <w:r w:rsidRPr="005F15DA">
        <w:t>-</w:t>
      </w:r>
      <w:r w:rsidRPr="005F15DA">
        <w:tab/>
        <w:t>den Namen (die Firma) und den Sitz der Genossenschaft,</w:t>
      </w:r>
    </w:p>
    <w:p w:rsidR="005D70F9" w:rsidRPr="005F15DA" w:rsidRDefault="005D70F9" w:rsidP="0036523F">
      <w:pPr>
        <w:tabs>
          <w:tab w:val="left" w:pos="426"/>
        </w:tabs>
      </w:pPr>
      <w:r w:rsidRPr="005F15DA">
        <w:t>-</w:t>
      </w:r>
      <w:r w:rsidRPr="005F15DA">
        <w:tab/>
        <w:t>den Zweck,</w:t>
      </w:r>
    </w:p>
    <w:p w:rsidR="005D70F9" w:rsidRPr="005F15DA" w:rsidRDefault="005D70F9" w:rsidP="0036523F">
      <w:pPr>
        <w:tabs>
          <w:tab w:val="left" w:pos="426"/>
        </w:tabs>
        <w:ind w:left="426" w:hanging="426"/>
      </w:pPr>
      <w:r w:rsidRPr="005F15DA">
        <w:lastRenderedPageBreak/>
        <w:t>-</w:t>
      </w:r>
      <w:r w:rsidRPr="005F15DA">
        <w:tab/>
        <w:t>eine allfällige Verpflichtung der Genossenschafter zu Geld- oder anderen Leistungen, sowie deren Art und Höhe,</w:t>
      </w:r>
    </w:p>
    <w:p w:rsidR="005D70F9" w:rsidRPr="005F15DA" w:rsidRDefault="005D70F9" w:rsidP="0036523F">
      <w:pPr>
        <w:tabs>
          <w:tab w:val="left" w:pos="426"/>
        </w:tabs>
        <w:ind w:left="426" w:hanging="426"/>
      </w:pPr>
      <w:r w:rsidRPr="005F15DA">
        <w:t>-</w:t>
      </w:r>
      <w:r w:rsidRPr="005F15DA">
        <w:tab/>
        <w:t>die Organe für die Verwaltung und für die Kontrolle und die Art der Ausübung der Vertr</w:t>
      </w:r>
      <w:r w:rsidRPr="005F15DA">
        <w:t>e</w:t>
      </w:r>
      <w:r w:rsidRPr="005F15DA">
        <w:t>tung,</w:t>
      </w:r>
    </w:p>
    <w:p w:rsidR="005D70F9" w:rsidRPr="005F15DA" w:rsidRDefault="005D70F9" w:rsidP="0036523F">
      <w:pPr>
        <w:tabs>
          <w:tab w:val="left" w:pos="426"/>
        </w:tabs>
      </w:pPr>
      <w:r w:rsidRPr="005F15DA">
        <w:t>-</w:t>
      </w:r>
      <w:r w:rsidRPr="005F15DA">
        <w:tab/>
        <w:t>die Form der von der Genossenschaft ausgehenden Bekanntmachungen.</w:t>
      </w:r>
    </w:p>
    <w:p w:rsidR="005240E6" w:rsidRPr="005F15DA" w:rsidRDefault="005240E6" w:rsidP="0036523F">
      <w:pPr>
        <w:tabs>
          <w:tab w:val="left" w:pos="426"/>
        </w:tabs>
      </w:pPr>
    </w:p>
    <w:p w:rsidR="005D70F9" w:rsidRPr="005F15DA" w:rsidRDefault="005D70F9" w:rsidP="0036523F">
      <w:pPr>
        <w:tabs>
          <w:tab w:val="left" w:pos="426"/>
        </w:tabs>
      </w:pPr>
      <w:r w:rsidRPr="005F15DA">
        <w:t>Weitere Bestimmungen können in die Statuten aufgenommen werden; die Bestimmungen gemäss Art. 833 OR bedürfen zu ihrer Verbindlichkeit der Aufnahme in die Statuten.</w:t>
      </w:r>
    </w:p>
    <w:p w:rsidR="005240E6" w:rsidRPr="005F15DA" w:rsidRDefault="005240E6" w:rsidP="0036523F">
      <w:pPr>
        <w:tabs>
          <w:tab w:val="left" w:pos="426"/>
        </w:tabs>
      </w:pPr>
    </w:p>
    <w:p w:rsidR="005D70F9" w:rsidRPr="005F15DA" w:rsidRDefault="005D70F9" w:rsidP="0036523F">
      <w:pPr>
        <w:tabs>
          <w:tab w:val="left" w:pos="426"/>
        </w:tabs>
      </w:pPr>
      <w:r w:rsidRPr="005F15DA">
        <w:t>Die Statuten müssen schriftlich abgefasst und von der Gründerversammlung genehmigt we</w:t>
      </w:r>
      <w:r w:rsidRPr="005F15DA">
        <w:t>r</w:t>
      </w:r>
      <w:r w:rsidRPr="005F15DA">
        <w:t>den.</w:t>
      </w:r>
    </w:p>
    <w:p w:rsidR="005240E6" w:rsidRPr="005F15DA" w:rsidRDefault="005240E6" w:rsidP="0036523F">
      <w:pPr>
        <w:tabs>
          <w:tab w:val="left" w:pos="426"/>
        </w:tabs>
      </w:pPr>
    </w:p>
    <w:p w:rsidR="005240E6" w:rsidRPr="005F15DA" w:rsidRDefault="005240E6" w:rsidP="0036523F">
      <w:pPr>
        <w:tabs>
          <w:tab w:val="left" w:pos="426"/>
        </w:tabs>
      </w:pPr>
    </w:p>
    <w:p w:rsidR="005D70F9" w:rsidRPr="005F15DA" w:rsidRDefault="0055346B" w:rsidP="0055346B">
      <w:pPr>
        <w:pStyle w:val="berschrift3"/>
        <w:rPr>
          <w:lang w:val="de-CH"/>
        </w:rPr>
      </w:pPr>
      <w:bookmarkStart w:id="99" w:name="_Toc432175620"/>
      <w:r w:rsidRPr="005F15DA">
        <w:rPr>
          <w:lang w:val="de-CH"/>
        </w:rPr>
        <w:t>C.</w:t>
      </w:r>
      <w:r w:rsidRPr="005F15DA">
        <w:rPr>
          <w:lang w:val="de-CH"/>
        </w:rPr>
        <w:tab/>
      </w:r>
      <w:r w:rsidR="005D70F9" w:rsidRPr="005F15DA">
        <w:rPr>
          <w:lang w:val="de-CH"/>
        </w:rPr>
        <w:t>Grundkapital</w:t>
      </w:r>
      <w:bookmarkEnd w:id="99"/>
    </w:p>
    <w:p w:rsidR="005240E6" w:rsidRPr="005F15DA" w:rsidRDefault="005240E6" w:rsidP="0036523F"/>
    <w:p w:rsidR="005D70F9" w:rsidRPr="005F15DA" w:rsidRDefault="005D70F9" w:rsidP="0036523F">
      <w:r w:rsidRPr="005F15DA">
        <w:t xml:space="preserve">Genossenschaften mit einem zum </w:t>
      </w:r>
      <w:r w:rsidR="0036523F" w:rsidRPr="005F15DA">
        <w:t>V</w:t>
      </w:r>
      <w:r w:rsidRPr="005F15DA">
        <w:t>oraus festgesetzten Grundkapital sind unzulässig.</w:t>
      </w:r>
    </w:p>
    <w:p w:rsidR="005240E6" w:rsidRPr="005F15DA" w:rsidRDefault="005240E6" w:rsidP="0036523F"/>
    <w:p w:rsidR="005D70F9" w:rsidRPr="005F15DA" w:rsidRDefault="005D70F9" w:rsidP="0036523F">
      <w:r w:rsidRPr="005F15DA">
        <w:t>Die Statuten können aber die Schaffung eines Genossenschaftskapitals durch die Schaffung von Anteilscheinen vorsehen.</w:t>
      </w:r>
    </w:p>
    <w:p w:rsidR="005240E6" w:rsidRPr="005F15DA" w:rsidRDefault="005240E6" w:rsidP="0036523F"/>
    <w:p w:rsidR="005D70F9" w:rsidRPr="005F15DA" w:rsidRDefault="005D70F9" w:rsidP="0036523F">
      <w:r w:rsidRPr="005F15DA">
        <w:t>Sofern in den Statuten nichts anderes festgelegt ist, haftet die Genossenschaft nur mit ihrem Vermögen.</w:t>
      </w:r>
    </w:p>
    <w:p w:rsidR="005240E6" w:rsidRPr="005F15DA" w:rsidRDefault="005240E6" w:rsidP="0036523F"/>
    <w:p w:rsidR="005240E6" w:rsidRPr="005F15DA" w:rsidRDefault="005240E6" w:rsidP="0036523F"/>
    <w:p w:rsidR="005D70F9" w:rsidRPr="005F15DA" w:rsidRDefault="0055346B" w:rsidP="0055346B">
      <w:pPr>
        <w:pStyle w:val="berschrift3"/>
        <w:rPr>
          <w:lang w:val="de-CH"/>
        </w:rPr>
      </w:pPr>
      <w:bookmarkStart w:id="100" w:name="_Toc432175621"/>
      <w:r w:rsidRPr="005F15DA">
        <w:rPr>
          <w:lang w:val="de-CH"/>
        </w:rPr>
        <w:t>D.</w:t>
      </w:r>
      <w:r w:rsidRPr="005F15DA">
        <w:rPr>
          <w:lang w:val="de-CH"/>
        </w:rPr>
        <w:tab/>
      </w:r>
      <w:r w:rsidR="005D70F9" w:rsidRPr="005F15DA">
        <w:rPr>
          <w:lang w:val="de-CH"/>
        </w:rPr>
        <w:t>Rechte und Pflichten der Genossenschafter</w:t>
      </w:r>
      <w:bookmarkEnd w:id="100"/>
    </w:p>
    <w:p w:rsidR="005240E6" w:rsidRPr="005F15DA" w:rsidRDefault="005240E6" w:rsidP="0036523F"/>
    <w:p w:rsidR="005D70F9" w:rsidRPr="005F15DA" w:rsidRDefault="005D70F9" w:rsidP="0036523F">
      <w:r w:rsidRPr="005F15DA">
        <w:t>Jeder Genossenschafter hat das (ungeschriebene) Recht auf Benützung der genossenschaf</w:t>
      </w:r>
      <w:r w:rsidRPr="005F15DA">
        <w:t>t</w:t>
      </w:r>
      <w:r w:rsidRPr="005F15DA">
        <w:t>lichen Einrichtungen. Weitere Vermögensrechte (z.B. Recht auf Anteil am Reingewinn und am Liquidationserlös) hat er nur, wenn dies in den Statuten vorgesehen ist.</w:t>
      </w:r>
    </w:p>
    <w:p w:rsidR="005240E6" w:rsidRPr="005F15DA" w:rsidRDefault="005240E6" w:rsidP="0036523F"/>
    <w:p w:rsidR="005D70F9" w:rsidRPr="005F15DA" w:rsidRDefault="005D70F9" w:rsidP="0036523F">
      <w:r w:rsidRPr="005F15DA">
        <w:t>Die Mitgliedschaftsrechte bestehen aus dem Stimmrecht (jeder Genossenschafter hat eine Stimme, er kann sich nur durch einen anderen Genossenschafter vertreten lassen) und dem Recht auf Teilnahme an der Generalversammlung sowie dem Recht auf Austritt aus der G</w:t>
      </w:r>
      <w:r w:rsidRPr="005F15DA">
        <w:t>e</w:t>
      </w:r>
      <w:r w:rsidRPr="005F15DA">
        <w:t xml:space="preserve">sellschaft. </w:t>
      </w:r>
    </w:p>
    <w:p w:rsidR="005240E6" w:rsidRPr="005F15DA" w:rsidRDefault="005240E6" w:rsidP="0036523F"/>
    <w:p w:rsidR="005D70F9" w:rsidRPr="005F15DA" w:rsidRDefault="005D70F9" w:rsidP="0036523F">
      <w:r w:rsidRPr="005F15DA">
        <w:t>Gesetzlich verankert ist nur die Treuepflicht (Art. 866 OR); weitere finanzielle und persönliche Verpflichtungen können in den Statuten eingeführt werden.</w:t>
      </w:r>
    </w:p>
    <w:p w:rsidR="005240E6" w:rsidRPr="005F15DA" w:rsidRDefault="005240E6" w:rsidP="0036523F"/>
    <w:p w:rsidR="005240E6" w:rsidRPr="005F15DA" w:rsidRDefault="005240E6" w:rsidP="0036523F"/>
    <w:p w:rsidR="005D70F9" w:rsidRPr="005F15DA" w:rsidRDefault="0055346B" w:rsidP="0055346B">
      <w:pPr>
        <w:pStyle w:val="berschrift3"/>
        <w:rPr>
          <w:lang w:val="de-CH"/>
        </w:rPr>
      </w:pPr>
      <w:bookmarkStart w:id="101" w:name="_Toc432175622"/>
      <w:r w:rsidRPr="005F15DA">
        <w:rPr>
          <w:lang w:val="de-CH"/>
        </w:rPr>
        <w:t>E.</w:t>
      </w:r>
      <w:r w:rsidRPr="005F15DA">
        <w:rPr>
          <w:lang w:val="de-CH"/>
        </w:rPr>
        <w:tab/>
      </w:r>
      <w:r w:rsidR="005D70F9" w:rsidRPr="005F15DA">
        <w:rPr>
          <w:lang w:val="de-CH"/>
        </w:rPr>
        <w:t>Organe</w:t>
      </w:r>
      <w:bookmarkEnd w:id="101"/>
    </w:p>
    <w:p w:rsidR="005240E6" w:rsidRPr="005F15DA" w:rsidRDefault="005240E6" w:rsidP="0036523F"/>
    <w:p w:rsidR="005D70F9" w:rsidRPr="005F15DA" w:rsidRDefault="005D70F9" w:rsidP="0036523F">
      <w:r w:rsidRPr="005F15DA">
        <w:t xml:space="preserve">Oberstes Organ der Genossenschaft ist die </w:t>
      </w:r>
      <w:r w:rsidRPr="005F15DA">
        <w:rPr>
          <w:u w:val="single"/>
        </w:rPr>
        <w:t>Generalversammlung</w:t>
      </w:r>
      <w:r w:rsidRPr="005F15DA">
        <w:t>. Diese ist zuständig für die Festsetzung und Änderung der Statuten, Wahl der Verwaltung und der Kontrollstelle, die A</w:t>
      </w:r>
      <w:r w:rsidRPr="005F15DA">
        <w:t>b</w:t>
      </w:r>
      <w:r w:rsidRPr="005F15DA">
        <w:t>nahme der Betriebsrechnung und der Bilanz inkl. Beschluss über die allfällige Verteilung des Reinertrages, sowie die Entlastung der Verwaltung (Art. 879 OR).</w:t>
      </w:r>
    </w:p>
    <w:p w:rsidR="005240E6" w:rsidRPr="005F15DA" w:rsidRDefault="005240E6" w:rsidP="0036523F"/>
    <w:p w:rsidR="005D70F9" w:rsidRDefault="005D70F9" w:rsidP="0036523F">
      <w:r w:rsidRPr="005F15DA">
        <w:lastRenderedPageBreak/>
        <w:t>Die Generalversammlung wird durch die Verwaltung mindestens 5 Tage vor dem Versam</w:t>
      </w:r>
      <w:r w:rsidRPr="005F15DA">
        <w:t>m</w:t>
      </w:r>
      <w:r w:rsidRPr="005F15DA">
        <w:t xml:space="preserve">lungstag </w:t>
      </w:r>
      <w:r w:rsidR="002C3802" w:rsidRPr="005F15DA">
        <w:t>einberufen</w:t>
      </w:r>
      <w:r w:rsidRPr="005F15DA">
        <w:t xml:space="preserve"> (Art. 881 und 882 OR).</w:t>
      </w:r>
    </w:p>
    <w:p w:rsidR="00AB6DDD" w:rsidRPr="005F15DA" w:rsidRDefault="00AB6DDD" w:rsidP="0036523F"/>
    <w:p w:rsidR="005D70F9" w:rsidRPr="005F15DA" w:rsidRDefault="005D70F9" w:rsidP="0036523F">
      <w:r w:rsidRPr="005F15DA">
        <w:t>Jeder Genossenschafter hat in der Generalversammlung eine Stimme (Art. 885 OR).</w:t>
      </w:r>
    </w:p>
    <w:p w:rsidR="005240E6" w:rsidRPr="005F15DA" w:rsidRDefault="005240E6" w:rsidP="0036523F"/>
    <w:p w:rsidR="005D70F9" w:rsidRPr="005F15DA" w:rsidRDefault="005D70F9" w:rsidP="0036523F">
      <w:r w:rsidRPr="005F15DA">
        <w:t xml:space="preserve">Die </w:t>
      </w:r>
      <w:r w:rsidRPr="005F15DA">
        <w:rPr>
          <w:u w:val="single"/>
        </w:rPr>
        <w:t>Verwaltung</w:t>
      </w:r>
      <w:r w:rsidRPr="005F15DA">
        <w:t xml:space="preserve"> besteht aus mindestens 3 natürlichen Personen und leitet die Geschäfte der Genossenschaft. Sie bereitet die Geschäfte der Generalversammlung vor, führt die Beschlü</w:t>
      </w:r>
      <w:r w:rsidRPr="005F15DA">
        <w:t>s</w:t>
      </w:r>
      <w:r w:rsidRPr="005F15DA">
        <w:t>se aus und überwacht die mit der Geschäftsführung und Vertretung Beauftragten; weiter ist sie dafür verantwortlich, dass Betriebsrechnung und Jahresbilanz erstellt und der Kontrollste</w:t>
      </w:r>
      <w:r w:rsidRPr="005F15DA">
        <w:t>l</w:t>
      </w:r>
      <w:r w:rsidRPr="005F15DA">
        <w:t>le zur Prüfung unterbreitet werden (Art. 902 OR).</w:t>
      </w:r>
    </w:p>
    <w:p w:rsidR="005240E6" w:rsidRPr="005F15DA" w:rsidRDefault="005240E6" w:rsidP="0036523F"/>
    <w:p w:rsidR="005D70F9" w:rsidRPr="005F15DA" w:rsidRDefault="005D70F9" w:rsidP="0036523F">
      <w:r w:rsidRPr="005F15DA">
        <w:t xml:space="preserve">Die </w:t>
      </w:r>
      <w:r w:rsidRPr="005F15DA">
        <w:rPr>
          <w:u w:val="single"/>
        </w:rPr>
        <w:t>Kontrollstelle</w:t>
      </w:r>
      <w:r w:rsidRPr="005F15DA">
        <w:t xml:space="preserve"> prüft Geschäftsführung und Bilanz der Genossenschaft (Art. 906 OR) und erstattet der Generalversammlung schriftlichen Bericht (es ist auch ein Opting-Out möglich).</w:t>
      </w:r>
    </w:p>
    <w:p w:rsidR="005240E6" w:rsidRPr="005F15DA" w:rsidRDefault="005240E6" w:rsidP="0036523F"/>
    <w:p w:rsidR="005240E6" w:rsidRPr="005F15DA" w:rsidRDefault="005240E6" w:rsidP="0036523F"/>
    <w:p w:rsidR="005D70F9" w:rsidRPr="005F15DA" w:rsidRDefault="0055346B" w:rsidP="0055346B">
      <w:pPr>
        <w:pStyle w:val="berschrift3"/>
        <w:rPr>
          <w:lang w:val="de-CH"/>
        </w:rPr>
      </w:pPr>
      <w:bookmarkStart w:id="102" w:name="_Toc432175623"/>
      <w:r w:rsidRPr="005F15DA">
        <w:rPr>
          <w:lang w:val="de-CH"/>
        </w:rPr>
        <w:t>F.</w:t>
      </w:r>
      <w:r w:rsidRPr="005F15DA">
        <w:rPr>
          <w:lang w:val="de-CH"/>
        </w:rPr>
        <w:tab/>
      </w:r>
      <w:r w:rsidR="005D70F9" w:rsidRPr="005F15DA">
        <w:rPr>
          <w:lang w:val="de-CH"/>
        </w:rPr>
        <w:t>Gründung und Auflösung</w:t>
      </w:r>
      <w:bookmarkEnd w:id="102"/>
    </w:p>
    <w:p w:rsidR="005240E6" w:rsidRPr="005F15DA" w:rsidRDefault="005240E6" w:rsidP="0036523F">
      <w:pPr>
        <w:tabs>
          <w:tab w:val="left" w:pos="426"/>
        </w:tabs>
      </w:pPr>
    </w:p>
    <w:p w:rsidR="005D70F9" w:rsidRPr="005F15DA" w:rsidRDefault="005D70F9" w:rsidP="0036523F">
      <w:pPr>
        <w:tabs>
          <w:tab w:val="left" w:pos="426"/>
        </w:tabs>
      </w:pPr>
      <w:r w:rsidRPr="005F15DA">
        <w:t>Mindestens 7 Personen können eine Genossenschaft gründen. Zu diesem Zweck müssen sie die Statuten schriftlich abfassen, eine konstituierende Generalversammlung abhalten und die Genossenschaft im Handelsregister eintragen lassen.</w:t>
      </w:r>
    </w:p>
    <w:p w:rsidR="005240E6" w:rsidRPr="005F15DA" w:rsidRDefault="005240E6" w:rsidP="0036523F">
      <w:pPr>
        <w:tabs>
          <w:tab w:val="left" w:pos="426"/>
        </w:tabs>
      </w:pPr>
    </w:p>
    <w:p w:rsidR="005D70F9" w:rsidRPr="005F15DA" w:rsidRDefault="005D70F9" w:rsidP="0036523F">
      <w:pPr>
        <w:tabs>
          <w:tab w:val="left" w:pos="426"/>
        </w:tabs>
      </w:pPr>
      <w:r w:rsidRPr="005F15DA">
        <w:t>Die Genossenschaft wird aufgelöst (Art. 911 OR):</w:t>
      </w:r>
    </w:p>
    <w:p w:rsidR="005D70F9" w:rsidRPr="005F15DA" w:rsidRDefault="005D70F9" w:rsidP="0036523F">
      <w:pPr>
        <w:tabs>
          <w:tab w:val="left" w:pos="426"/>
        </w:tabs>
      </w:pPr>
      <w:r w:rsidRPr="005F15DA">
        <w:t>-</w:t>
      </w:r>
      <w:r w:rsidRPr="005F15DA">
        <w:tab/>
        <w:t>nach Massgabe der Statuten,</w:t>
      </w:r>
    </w:p>
    <w:p w:rsidR="005D70F9" w:rsidRPr="005F15DA" w:rsidRDefault="005D70F9" w:rsidP="0036523F">
      <w:pPr>
        <w:tabs>
          <w:tab w:val="left" w:pos="426"/>
        </w:tabs>
      </w:pPr>
      <w:r w:rsidRPr="005F15DA">
        <w:t>-</w:t>
      </w:r>
      <w:r w:rsidRPr="005F15DA">
        <w:tab/>
        <w:t>durch einen Beschluss der Generalversammlung,</w:t>
      </w:r>
    </w:p>
    <w:p w:rsidR="005D70F9" w:rsidRPr="005F15DA" w:rsidRDefault="005D70F9" w:rsidP="0036523F">
      <w:pPr>
        <w:tabs>
          <w:tab w:val="left" w:pos="426"/>
        </w:tabs>
      </w:pPr>
      <w:r w:rsidRPr="005F15DA">
        <w:t>-</w:t>
      </w:r>
      <w:r w:rsidRPr="005F15DA">
        <w:tab/>
        <w:t>durch Eröffnung des Konkurses,</w:t>
      </w:r>
    </w:p>
    <w:p w:rsidR="005D70F9" w:rsidRPr="005F15DA" w:rsidRDefault="005D70F9" w:rsidP="0036523F">
      <w:pPr>
        <w:tabs>
          <w:tab w:val="left" w:pos="426"/>
        </w:tabs>
      </w:pPr>
      <w:r w:rsidRPr="005F15DA">
        <w:t>-</w:t>
      </w:r>
      <w:r w:rsidRPr="005F15DA">
        <w:tab/>
        <w:t>in den übrigen vom Gesetz vorgesehenen Fällen.</w:t>
      </w:r>
    </w:p>
    <w:p w:rsidR="005240E6" w:rsidRPr="005F15DA" w:rsidRDefault="005240E6" w:rsidP="0036523F">
      <w:pPr>
        <w:tabs>
          <w:tab w:val="left" w:pos="426"/>
        </w:tabs>
      </w:pPr>
    </w:p>
    <w:p w:rsidR="005D70F9" w:rsidRPr="005F15DA" w:rsidRDefault="005D70F9" w:rsidP="0036523F">
      <w:pPr>
        <w:tabs>
          <w:tab w:val="left" w:pos="426"/>
        </w:tabs>
      </w:pPr>
      <w:r w:rsidRPr="005F15DA">
        <w:t>Die Auflösung ist im Handelsregister anzumelden. Der Liquidationsüberschuss muss zu g</w:t>
      </w:r>
      <w:r w:rsidRPr="005F15DA">
        <w:t>e</w:t>
      </w:r>
      <w:r w:rsidRPr="005F15DA">
        <w:t>nossenschaftlichen Zwecken oder zur Förderung gemeinnütziger Bestrebungen verwendet werden, ausser die Statuten schreiben etwas anderes vor (z.B. Verteilung unter die Geno</w:t>
      </w:r>
      <w:r w:rsidRPr="005F15DA">
        <w:t>s</w:t>
      </w:r>
      <w:r w:rsidRPr="005F15DA">
        <w:t>senschafter) (Art. 913 OR).</w:t>
      </w:r>
    </w:p>
    <w:p w:rsidR="00D8219C" w:rsidRPr="005F15DA" w:rsidRDefault="00D8219C" w:rsidP="0036523F">
      <w:pPr>
        <w:tabs>
          <w:tab w:val="left" w:pos="426"/>
        </w:tabs>
      </w:pPr>
    </w:p>
    <w:p w:rsidR="005240E6" w:rsidRPr="005F15DA" w:rsidRDefault="005240E6" w:rsidP="0036523F">
      <w:pPr>
        <w:tabs>
          <w:tab w:val="left" w:pos="426"/>
        </w:tabs>
      </w:pPr>
    </w:p>
    <w:p w:rsidR="005240E6" w:rsidRPr="005F15DA" w:rsidRDefault="005240E6" w:rsidP="0036523F">
      <w:pPr>
        <w:tabs>
          <w:tab w:val="left" w:pos="426"/>
        </w:tabs>
      </w:pPr>
    </w:p>
    <w:p w:rsidR="00D8219C" w:rsidRPr="005F15DA" w:rsidRDefault="00D8219C" w:rsidP="0036523F">
      <w:pPr>
        <w:tabs>
          <w:tab w:val="left" w:pos="426"/>
        </w:tabs>
      </w:pPr>
    </w:p>
    <w:p w:rsidR="001019E0" w:rsidRPr="005F15DA" w:rsidRDefault="001019E0">
      <w:pPr>
        <w:spacing w:after="200"/>
        <w:rPr>
          <w:rFonts w:eastAsiaTheme="majorEastAsia" w:cstheme="majorBidi"/>
          <w:b/>
          <w:bCs/>
          <w:color w:val="000000" w:themeColor="text1"/>
          <w:sz w:val="32"/>
          <w:szCs w:val="26"/>
        </w:rPr>
      </w:pPr>
      <w:r w:rsidRPr="005F15DA">
        <w:br w:type="page"/>
      </w:r>
    </w:p>
    <w:p w:rsidR="00584BE9" w:rsidRPr="005F15DA" w:rsidRDefault="00584BE9" w:rsidP="00584BE9">
      <w:pPr>
        <w:pStyle w:val="berschrift2"/>
      </w:pPr>
      <w:bookmarkStart w:id="103" w:name="_Toc432175624"/>
      <w:r w:rsidRPr="005F15DA">
        <w:lastRenderedPageBreak/>
        <w:t xml:space="preserve">IX. </w:t>
      </w:r>
      <w:r w:rsidR="00721652">
        <w:t xml:space="preserve">Hinweis auf die </w:t>
      </w:r>
      <w:r>
        <w:t>Handelsregisterverordnung (HRV)</w:t>
      </w:r>
      <w:bookmarkEnd w:id="103"/>
    </w:p>
    <w:p w:rsidR="00EE0A0C" w:rsidRPr="005F15DA" w:rsidRDefault="00EE0A0C" w:rsidP="00EE0A0C">
      <w:r w:rsidRPr="005F15DA">
        <w:t>______________________________________________</w:t>
      </w:r>
      <w:r>
        <w:t>____________</w:t>
      </w:r>
      <w:r w:rsidR="00AB6DDD">
        <w:t>________</w:t>
      </w:r>
    </w:p>
    <w:p w:rsidR="00584BE9" w:rsidRPr="005F15DA" w:rsidRDefault="00584BE9" w:rsidP="00584BE9"/>
    <w:p w:rsidR="00584BE9" w:rsidRPr="005F15DA" w:rsidRDefault="00584BE9" w:rsidP="00584BE9">
      <w:r>
        <w:t>Die Handelsregisterverordnung (HRV) ist das "Handbuch" für den Verkehr mit den Handel</w:t>
      </w:r>
      <w:r>
        <w:t>s</w:t>
      </w:r>
      <w:r>
        <w:t>registerämtern. Sie finden in der HRV eine Aufzählung der Urkunden und Beilagen, welche dem Handelsregisteramt für Eintragungen einzureichen sind; zudem wird aufgezählt, was Urkunden-Inhalt sein muss.</w:t>
      </w:r>
    </w:p>
    <w:p w:rsidR="00584BE9" w:rsidRDefault="00584BE9" w:rsidP="00584BE9">
      <w:pPr>
        <w:rPr>
          <w:spacing w:val="-2"/>
        </w:rPr>
      </w:pPr>
    </w:p>
    <w:p w:rsidR="00584BE9" w:rsidRDefault="00584BE9" w:rsidP="00584BE9">
      <w:pPr>
        <w:rPr>
          <w:spacing w:val="-2"/>
        </w:rPr>
      </w:pPr>
      <w:r>
        <w:rPr>
          <w:spacing w:val="-2"/>
        </w:rPr>
        <w:t>Die HRV ist wie folgt aufgebaut:</w:t>
      </w:r>
    </w:p>
    <w:p w:rsidR="00584BE9" w:rsidRDefault="00584BE9" w:rsidP="00584BE9">
      <w:pPr>
        <w:rPr>
          <w:spacing w:val="-2"/>
        </w:rPr>
      </w:pPr>
      <w:r>
        <w:rPr>
          <w:spacing w:val="-2"/>
        </w:rPr>
        <w:t>1. Titel: Allgemeine Bestimmungen</w:t>
      </w:r>
    </w:p>
    <w:p w:rsidR="00584BE9" w:rsidRPr="00A61317" w:rsidRDefault="00584BE9" w:rsidP="009D34F3">
      <w:pPr>
        <w:pStyle w:val="Listenabsatz"/>
        <w:numPr>
          <w:ilvl w:val="0"/>
          <w:numId w:val="58"/>
        </w:numPr>
        <w:rPr>
          <w:spacing w:val="-2"/>
        </w:rPr>
      </w:pPr>
      <w:r w:rsidRPr="00A61317">
        <w:rPr>
          <w:spacing w:val="-2"/>
        </w:rPr>
        <w:t>Zweck und Begriffe (Art. 1 - 2)</w:t>
      </w:r>
    </w:p>
    <w:p w:rsidR="00584BE9" w:rsidRPr="00A61317" w:rsidRDefault="00584BE9" w:rsidP="009D34F3">
      <w:pPr>
        <w:pStyle w:val="Listenabsatz"/>
        <w:numPr>
          <w:ilvl w:val="0"/>
          <w:numId w:val="58"/>
        </w:numPr>
        <w:rPr>
          <w:spacing w:val="-2"/>
        </w:rPr>
      </w:pPr>
      <w:r w:rsidRPr="00A61317">
        <w:rPr>
          <w:spacing w:val="-2"/>
        </w:rPr>
        <w:t>Handelsregisterbehörden (Art. 3 - 5)</w:t>
      </w:r>
    </w:p>
    <w:p w:rsidR="00584BE9" w:rsidRPr="00A61317" w:rsidRDefault="00584BE9" w:rsidP="009D34F3">
      <w:pPr>
        <w:pStyle w:val="Listenabsatz"/>
        <w:numPr>
          <w:ilvl w:val="0"/>
          <w:numId w:val="58"/>
        </w:numPr>
        <w:rPr>
          <w:spacing w:val="-2"/>
        </w:rPr>
      </w:pPr>
      <w:r w:rsidRPr="00A61317">
        <w:rPr>
          <w:spacing w:val="-2"/>
        </w:rPr>
        <w:t>Aufbau und Inhalt des Handelsregisters (Art. 6 - 9)</w:t>
      </w:r>
    </w:p>
    <w:p w:rsidR="00584BE9" w:rsidRPr="00A61317" w:rsidRDefault="00584BE9" w:rsidP="009D34F3">
      <w:pPr>
        <w:pStyle w:val="Listenabsatz"/>
        <w:numPr>
          <w:ilvl w:val="0"/>
          <w:numId w:val="58"/>
        </w:numPr>
        <w:rPr>
          <w:spacing w:val="-2"/>
        </w:rPr>
      </w:pPr>
      <w:r w:rsidRPr="00A61317">
        <w:rPr>
          <w:spacing w:val="-2"/>
        </w:rPr>
        <w:t>Öffentlichkeit des Handelsregisters (Art. 10 – 12)</w:t>
      </w:r>
    </w:p>
    <w:p w:rsidR="00584BE9" w:rsidRPr="00A61317" w:rsidRDefault="00584BE9" w:rsidP="009D34F3">
      <w:pPr>
        <w:pStyle w:val="Listenabsatz"/>
        <w:numPr>
          <w:ilvl w:val="0"/>
          <w:numId w:val="58"/>
        </w:numPr>
        <w:rPr>
          <w:spacing w:val="-2"/>
        </w:rPr>
      </w:pPr>
      <w:r w:rsidRPr="00A61317">
        <w:rPr>
          <w:spacing w:val="-2"/>
        </w:rPr>
        <w:t>Beglaubigungen durch das</w:t>
      </w:r>
      <w:r w:rsidR="00A61317" w:rsidRPr="00A61317">
        <w:rPr>
          <w:spacing w:val="-2"/>
        </w:rPr>
        <w:t xml:space="preserve"> Handelsregisteramt (Art. 12a)</w:t>
      </w:r>
    </w:p>
    <w:p w:rsidR="00A61317" w:rsidRPr="00A61317" w:rsidRDefault="00A61317" w:rsidP="009D34F3">
      <w:pPr>
        <w:pStyle w:val="Listenabsatz"/>
        <w:numPr>
          <w:ilvl w:val="0"/>
          <w:numId w:val="58"/>
        </w:numPr>
        <w:rPr>
          <w:spacing w:val="-2"/>
        </w:rPr>
      </w:pPr>
      <w:r w:rsidRPr="00A61317">
        <w:rPr>
          <w:spacing w:val="-2"/>
        </w:rPr>
        <w:t>Elektronischer Geschäftsverkehr (Art. 12b – 12 e)</w:t>
      </w:r>
    </w:p>
    <w:p w:rsidR="00A61317" w:rsidRPr="00A61317" w:rsidRDefault="00A61317" w:rsidP="009D34F3">
      <w:pPr>
        <w:pStyle w:val="Listenabsatz"/>
        <w:numPr>
          <w:ilvl w:val="0"/>
          <w:numId w:val="58"/>
        </w:numPr>
        <w:rPr>
          <w:spacing w:val="-2"/>
        </w:rPr>
      </w:pPr>
      <w:r w:rsidRPr="00A61317">
        <w:rPr>
          <w:spacing w:val="-2"/>
        </w:rPr>
        <w:t xml:space="preserve">Zentralregister und </w:t>
      </w:r>
      <w:proofErr w:type="spellStart"/>
      <w:r w:rsidRPr="00A61317">
        <w:rPr>
          <w:spacing w:val="-2"/>
        </w:rPr>
        <w:t>Zefix</w:t>
      </w:r>
      <w:proofErr w:type="spellEnd"/>
      <w:r w:rsidRPr="00A61317">
        <w:rPr>
          <w:spacing w:val="-2"/>
        </w:rPr>
        <w:t xml:space="preserve"> (Art. 13 – 14)</w:t>
      </w:r>
    </w:p>
    <w:p w:rsidR="00A61317" w:rsidRDefault="00A61317" w:rsidP="00584BE9">
      <w:pPr>
        <w:rPr>
          <w:spacing w:val="-2"/>
        </w:rPr>
      </w:pPr>
      <w:r>
        <w:rPr>
          <w:spacing w:val="-2"/>
        </w:rPr>
        <w:t>2. Titel: Eintragungsverfahren</w:t>
      </w:r>
    </w:p>
    <w:p w:rsidR="00A61317" w:rsidRPr="00A61317" w:rsidRDefault="00A61317" w:rsidP="009D34F3">
      <w:pPr>
        <w:pStyle w:val="Listenabsatz"/>
        <w:numPr>
          <w:ilvl w:val="0"/>
          <w:numId w:val="59"/>
        </w:numPr>
        <w:rPr>
          <w:spacing w:val="-2"/>
        </w:rPr>
      </w:pPr>
      <w:r w:rsidRPr="00A61317">
        <w:rPr>
          <w:spacing w:val="-2"/>
        </w:rPr>
        <w:t>Anmeldung und Belege (Art. 15 ff. / Anmelde- und Belegprinzip / Anmeldung / Belege)</w:t>
      </w:r>
    </w:p>
    <w:p w:rsidR="00A61317" w:rsidRPr="00A61317" w:rsidRDefault="00A61317" w:rsidP="009D34F3">
      <w:pPr>
        <w:pStyle w:val="Listenabsatz"/>
        <w:numPr>
          <w:ilvl w:val="0"/>
          <w:numId w:val="59"/>
        </w:numPr>
        <w:rPr>
          <w:spacing w:val="-2"/>
        </w:rPr>
      </w:pPr>
      <w:r w:rsidRPr="00A61317">
        <w:rPr>
          <w:spacing w:val="-2"/>
        </w:rPr>
        <w:t>Grundsätze für die Eintragung (Art. 26 – 30)</w:t>
      </w:r>
    </w:p>
    <w:p w:rsidR="00A61317" w:rsidRPr="00A61317" w:rsidRDefault="00A61317" w:rsidP="009D34F3">
      <w:pPr>
        <w:pStyle w:val="Listenabsatz"/>
        <w:numPr>
          <w:ilvl w:val="0"/>
          <w:numId w:val="59"/>
        </w:numPr>
        <w:rPr>
          <w:spacing w:val="-2"/>
        </w:rPr>
      </w:pPr>
      <w:r w:rsidRPr="00A61317">
        <w:rPr>
          <w:spacing w:val="-2"/>
        </w:rPr>
        <w:t>Prüfung, Genehmigung und Publikation der Eintragung (Art. 31 – 35)</w:t>
      </w:r>
    </w:p>
    <w:p w:rsidR="00A61317" w:rsidRDefault="00A61317" w:rsidP="00584BE9">
      <w:pPr>
        <w:rPr>
          <w:spacing w:val="-2"/>
        </w:rPr>
      </w:pPr>
      <w:r>
        <w:rPr>
          <w:spacing w:val="-2"/>
        </w:rPr>
        <w:t>3. Titel: Rechtsformspezifische Bestimmungen für die Eintragung</w:t>
      </w:r>
    </w:p>
    <w:p w:rsidR="00A61317" w:rsidRPr="00407824" w:rsidRDefault="00A61317" w:rsidP="009D34F3">
      <w:pPr>
        <w:pStyle w:val="Listenabsatz"/>
        <w:numPr>
          <w:ilvl w:val="0"/>
          <w:numId w:val="60"/>
        </w:numPr>
        <w:rPr>
          <w:spacing w:val="-2"/>
        </w:rPr>
      </w:pPr>
      <w:r w:rsidRPr="00407824">
        <w:rPr>
          <w:spacing w:val="-2"/>
          <w:u w:val="single"/>
        </w:rPr>
        <w:t>Einzelunternehmen</w:t>
      </w:r>
      <w:r w:rsidRPr="00407824">
        <w:rPr>
          <w:spacing w:val="-2"/>
        </w:rPr>
        <w:t xml:space="preserve"> (Art. 36 – 39)</w:t>
      </w:r>
    </w:p>
    <w:p w:rsidR="00A61317" w:rsidRPr="00407824" w:rsidRDefault="00A61317" w:rsidP="009D34F3">
      <w:pPr>
        <w:pStyle w:val="Listenabsatz"/>
        <w:numPr>
          <w:ilvl w:val="0"/>
          <w:numId w:val="60"/>
        </w:numPr>
        <w:rPr>
          <w:spacing w:val="-2"/>
        </w:rPr>
      </w:pPr>
      <w:r w:rsidRPr="00407824">
        <w:rPr>
          <w:spacing w:val="-2"/>
          <w:u w:val="single"/>
        </w:rPr>
        <w:t>Kollektiv- und Kommanditgesellschaft</w:t>
      </w:r>
      <w:r w:rsidRPr="00407824">
        <w:rPr>
          <w:spacing w:val="-2"/>
        </w:rPr>
        <w:t xml:space="preserve"> (Art. 40 – 42)</w:t>
      </w:r>
    </w:p>
    <w:p w:rsidR="00A61317" w:rsidRPr="00407824" w:rsidRDefault="00A61317" w:rsidP="009D34F3">
      <w:pPr>
        <w:pStyle w:val="Listenabsatz"/>
        <w:numPr>
          <w:ilvl w:val="0"/>
          <w:numId w:val="60"/>
        </w:numPr>
        <w:rPr>
          <w:spacing w:val="-2"/>
        </w:rPr>
      </w:pPr>
      <w:r w:rsidRPr="00407824">
        <w:rPr>
          <w:spacing w:val="-2"/>
          <w:u w:val="single"/>
        </w:rPr>
        <w:t>Aktiengesellschaft</w:t>
      </w:r>
      <w:r w:rsidR="008315CD" w:rsidRPr="00407824">
        <w:rPr>
          <w:spacing w:val="-2"/>
          <w:u w:val="single"/>
        </w:rPr>
        <w:t xml:space="preserve"> (Art. 43 ff.)</w:t>
      </w:r>
      <w:r w:rsidRPr="00407824">
        <w:rPr>
          <w:spacing w:val="-2"/>
        </w:rPr>
        <w:t>:</w:t>
      </w:r>
    </w:p>
    <w:p w:rsidR="00A61317" w:rsidRPr="00407824" w:rsidRDefault="00A61317" w:rsidP="009D34F3">
      <w:pPr>
        <w:pStyle w:val="Listenabsatz"/>
        <w:numPr>
          <w:ilvl w:val="0"/>
          <w:numId w:val="61"/>
        </w:numPr>
        <w:rPr>
          <w:spacing w:val="-2"/>
        </w:rPr>
      </w:pPr>
      <w:r w:rsidRPr="00407824">
        <w:rPr>
          <w:spacing w:val="-2"/>
        </w:rPr>
        <w:t>Gründung (Art. 43 ff.)</w:t>
      </w:r>
    </w:p>
    <w:p w:rsidR="00A61317" w:rsidRPr="00407824" w:rsidRDefault="00A61317" w:rsidP="009D34F3">
      <w:pPr>
        <w:pStyle w:val="Listenabsatz"/>
        <w:numPr>
          <w:ilvl w:val="0"/>
          <w:numId w:val="61"/>
        </w:numPr>
        <w:rPr>
          <w:spacing w:val="-2"/>
        </w:rPr>
      </w:pPr>
      <w:r w:rsidRPr="00407824">
        <w:rPr>
          <w:spacing w:val="-2"/>
        </w:rPr>
        <w:t>Ordentliche Kapitalerhöhung (Art. 46 ff.)</w:t>
      </w:r>
    </w:p>
    <w:p w:rsidR="00A61317" w:rsidRPr="00407824" w:rsidRDefault="00A61317" w:rsidP="009D34F3">
      <w:pPr>
        <w:pStyle w:val="Listenabsatz"/>
        <w:numPr>
          <w:ilvl w:val="0"/>
          <w:numId w:val="61"/>
        </w:numPr>
        <w:rPr>
          <w:spacing w:val="-2"/>
        </w:rPr>
      </w:pPr>
      <w:r w:rsidRPr="00407824">
        <w:rPr>
          <w:spacing w:val="-2"/>
        </w:rPr>
        <w:t>Genehmigte Kapitalerhöhung (Art. 49 ff.)</w:t>
      </w:r>
    </w:p>
    <w:p w:rsidR="00A61317" w:rsidRPr="00407824" w:rsidRDefault="00A61317" w:rsidP="009D34F3">
      <w:pPr>
        <w:pStyle w:val="Listenabsatz"/>
        <w:numPr>
          <w:ilvl w:val="0"/>
          <w:numId w:val="61"/>
        </w:numPr>
        <w:rPr>
          <w:spacing w:val="-2"/>
        </w:rPr>
      </w:pPr>
      <w:r w:rsidRPr="00407824">
        <w:rPr>
          <w:spacing w:val="-2"/>
        </w:rPr>
        <w:t>Bedingte Kapitalerhöhung (Art. 51 ff.)</w:t>
      </w:r>
    </w:p>
    <w:p w:rsidR="00A61317" w:rsidRPr="00407824" w:rsidRDefault="00A61317" w:rsidP="009D34F3">
      <w:pPr>
        <w:pStyle w:val="Listenabsatz"/>
        <w:numPr>
          <w:ilvl w:val="0"/>
          <w:numId w:val="61"/>
        </w:numPr>
        <w:rPr>
          <w:spacing w:val="-2"/>
        </w:rPr>
      </w:pPr>
      <w:r w:rsidRPr="00407824">
        <w:rPr>
          <w:spacing w:val="-2"/>
        </w:rPr>
        <w:t>Nachträgliche Leistung von Einlagen (Art. 54 ff.)</w:t>
      </w:r>
    </w:p>
    <w:p w:rsidR="00A61317" w:rsidRPr="00407824" w:rsidRDefault="00A61317" w:rsidP="009D34F3">
      <w:pPr>
        <w:pStyle w:val="Listenabsatz"/>
        <w:numPr>
          <w:ilvl w:val="0"/>
          <w:numId w:val="61"/>
        </w:numPr>
        <w:rPr>
          <w:spacing w:val="-2"/>
        </w:rPr>
      </w:pPr>
      <w:r w:rsidRPr="00407824">
        <w:rPr>
          <w:spacing w:val="-2"/>
        </w:rPr>
        <w:t>Herabsetzung des Aktienkapitals (Art. 55)</w:t>
      </w:r>
    </w:p>
    <w:p w:rsidR="00A61317" w:rsidRPr="00407824" w:rsidRDefault="00A61317" w:rsidP="009D34F3">
      <w:pPr>
        <w:pStyle w:val="Listenabsatz"/>
        <w:numPr>
          <w:ilvl w:val="0"/>
          <w:numId w:val="61"/>
        </w:numPr>
        <w:rPr>
          <w:spacing w:val="-2"/>
        </w:rPr>
      </w:pPr>
      <w:r w:rsidRPr="00407824">
        <w:rPr>
          <w:spacing w:val="-2"/>
        </w:rPr>
        <w:t>Partizipationskapital (Art. 60)</w:t>
      </w:r>
    </w:p>
    <w:p w:rsidR="00A61317" w:rsidRPr="00407824" w:rsidRDefault="00A61317" w:rsidP="009D34F3">
      <w:pPr>
        <w:pStyle w:val="Listenabsatz"/>
        <w:numPr>
          <w:ilvl w:val="0"/>
          <w:numId w:val="61"/>
        </w:numPr>
        <w:rPr>
          <w:spacing w:val="-2"/>
        </w:rPr>
      </w:pPr>
      <w:r w:rsidRPr="00407824">
        <w:rPr>
          <w:spacing w:val="-2"/>
        </w:rPr>
        <w:t>Besondere Bestimmungen zur Revision und zur Revisionsstelle (Art. 61 ff.)</w:t>
      </w:r>
    </w:p>
    <w:p w:rsidR="00A61317" w:rsidRPr="00407824" w:rsidRDefault="00A61317" w:rsidP="009D34F3">
      <w:pPr>
        <w:pStyle w:val="Listenabsatz"/>
        <w:numPr>
          <w:ilvl w:val="0"/>
          <w:numId w:val="61"/>
        </w:numPr>
        <w:rPr>
          <w:spacing w:val="-2"/>
        </w:rPr>
      </w:pPr>
      <w:r w:rsidRPr="00407824">
        <w:rPr>
          <w:spacing w:val="-2"/>
        </w:rPr>
        <w:t>Auflösung und Löschung (Art. 63 ff.)</w:t>
      </w:r>
    </w:p>
    <w:p w:rsidR="00A61317" w:rsidRPr="003C4086" w:rsidRDefault="003C4086" w:rsidP="003C4086">
      <w:pPr>
        <w:ind w:left="360"/>
        <w:rPr>
          <w:spacing w:val="-2"/>
        </w:rPr>
      </w:pPr>
      <w:r w:rsidRPr="003C4086">
        <w:rPr>
          <w:spacing w:val="-2"/>
        </w:rPr>
        <w:t>4.</w:t>
      </w:r>
      <w:r w:rsidRPr="003C4086">
        <w:rPr>
          <w:spacing w:val="-2"/>
        </w:rPr>
        <w:tab/>
      </w:r>
      <w:r w:rsidR="008315CD" w:rsidRPr="003C4086">
        <w:rPr>
          <w:spacing w:val="-2"/>
          <w:u w:val="single"/>
        </w:rPr>
        <w:t>Kommanditaktiengesellschaft</w:t>
      </w:r>
      <w:r w:rsidR="008315CD" w:rsidRPr="003C4086">
        <w:rPr>
          <w:spacing w:val="-2"/>
        </w:rPr>
        <w:t xml:space="preserve"> (Art. 66 ff.)</w:t>
      </w:r>
    </w:p>
    <w:p w:rsidR="008315CD" w:rsidRPr="003C4086" w:rsidRDefault="003C4086" w:rsidP="003C4086">
      <w:pPr>
        <w:ind w:left="360"/>
        <w:rPr>
          <w:spacing w:val="-2"/>
        </w:rPr>
      </w:pPr>
      <w:r w:rsidRPr="003C4086">
        <w:rPr>
          <w:spacing w:val="-2"/>
        </w:rPr>
        <w:t>5.</w:t>
      </w:r>
      <w:r w:rsidRPr="003C4086">
        <w:rPr>
          <w:spacing w:val="-2"/>
        </w:rPr>
        <w:tab/>
      </w:r>
      <w:r w:rsidR="008315CD" w:rsidRPr="003C4086">
        <w:rPr>
          <w:spacing w:val="-2"/>
          <w:u w:val="single"/>
        </w:rPr>
        <w:t>Gesellschaft mit beschränkter Haftung</w:t>
      </w:r>
      <w:r w:rsidR="008315CD" w:rsidRPr="003C4086">
        <w:rPr>
          <w:spacing w:val="-2"/>
        </w:rPr>
        <w:t xml:space="preserve"> (Art. 71 ff.):</w:t>
      </w:r>
    </w:p>
    <w:p w:rsidR="008315CD" w:rsidRPr="00407824" w:rsidRDefault="008315CD" w:rsidP="009D34F3">
      <w:pPr>
        <w:pStyle w:val="Listenabsatz"/>
        <w:numPr>
          <w:ilvl w:val="0"/>
          <w:numId w:val="62"/>
        </w:numPr>
        <w:rPr>
          <w:spacing w:val="-2"/>
        </w:rPr>
      </w:pPr>
      <w:r w:rsidRPr="00407824">
        <w:rPr>
          <w:spacing w:val="-2"/>
        </w:rPr>
        <w:t>Gründung (Art. 71 ff.)</w:t>
      </w:r>
    </w:p>
    <w:p w:rsidR="008315CD" w:rsidRPr="00407824" w:rsidRDefault="008315CD" w:rsidP="009D34F3">
      <w:pPr>
        <w:pStyle w:val="Listenabsatz"/>
        <w:numPr>
          <w:ilvl w:val="0"/>
          <w:numId w:val="62"/>
        </w:numPr>
        <w:rPr>
          <w:spacing w:val="-2"/>
        </w:rPr>
      </w:pPr>
      <w:r w:rsidRPr="00407824">
        <w:rPr>
          <w:spacing w:val="-2"/>
        </w:rPr>
        <w:t>Erhöhung des Stammkapitals (Art. 74 ff.)</w:t>
      </w:r>
    </w:p>
    <w:p w:rsidR="008315CD" w:rsidRPr="00407824" w:rsidRDefault="008315CD" w:rsidP="009D34F3">
      <w:pPr>
        <w:pStyle w:val="Listenabsatz"/>
        <w:numPr>
          <w:ilvl w:val="0"/>
          <w:numId w:val="62"/>
        </w:numPr>
        <w:rPr>
          <w:spacing w:val="-2"/>
        </w:rPr>
      </w:pPr>
      <w:r w:rsidRPr="00407824">
        <w:rPr>
          <w:spacing w:val="-2"/>
        </w:rPr>
        <w:t>Herabsetzung des Stammkapitals (Art. 77 ff.)</w:t>
      </w:r>
    </w:p>
    <w:p w:rsidR="008315CD" w:rsidRPr="00407824" w:rsidRDefault="008315CD" w:rsidP="009D34F3">
      <w:pPr>
        <w:pStyle w:val="Listenabsatz"/>
        <w:numPr>
          <w:ilvl w:val="0"/>
          <w:numId w:val="62"/>
        </w:numPr>
        <w:rPr>
          <w:spacing w:val="-2"/>
        </w:rPr>
      </w:pPr>
      <w:r w:rsidRPr="00407824">
        <w:rPr>
          <w:spacing w:val="-2"/>
        </w:rPr>
        <w:t>Übertragung von Stammanteilen (Art. 82 ff.)</w:t>
      </w:r>
    </w:p>
    <w:p w:rsidR="008315CD" w:rsidRPr="00407824" w:rsidRDefault="008315CD" w:rsidP="009D34F3">
      <w:pPr>
        <w:pStyle w:val="Listenabsatz"/>
        <w:numPr>
          <w:ilvl w:val="0"/>
          <w:numId w:val="62"/>
        </w:numPr>
        <w:rPr>
          <w:spacing w:val="-2"/>
        </w:rPr>
      </w:pPr>
      <w:r w:rsidRPr="00407824">
        <w:rPr>
          <w:spacing w:val="-2"/>
        </w:rPr>
        <w:t>Revision, Revisionsstelle, Auflösung und Löschung (Art. 83)</w:t>
      </w:r>
    </w:p>
    <w:p w:rsidR="008315CD" w:rsidRPr="003C4086" w:rsidRDefault="003C4086" w:rsidP="003C4086">
      <w:pPr>
        <w:ind w:left="360"/>
        <w:rPr>
          <w:spacing w:val="-2"/>
        </w:rPr>
      </w:pPr>
      <w:r w:rsidRPr="003C4086">
        <w:rPr>
          <w:spacing w:val="-2"/>
        </w:rPr>
        <w:t>6.</w:t>
      </w:r>
      <w:r w:rsidRPr="003C4086">
        <w:rPr>
          <w:spacing w:val="-2"/>
        </w:rPr>
        <w:tab/>
      </w:r>
      <w:r w:rsidR="008315CD" w:rsidRPr="003C4086">
        <w:rPr>
          <w:spacing w:val="-2"/>
          <w:u w:val="single"/>
        </w:rPr>
        <w:t>Genossenschaft</w:t>
      </w:r>
      <w:r w:rsidR="008315CD" w:rsidRPr="003C4086">
        <w:rPr>
          <w:spacing w:val="-2"/>
        </w:rPr>
        <w:t xml:space="preserve"> (Art. 84 ff.)</w:t>
      </w:r>
    </w:p>
    <w:p w:rsidR="008315CD" w:rsidRPr="003C4086" w:rsidRDefault="003C4086" w:rsidP="003C4086">
      <w:pPr>
        <w:ind w:left="360"/>
        <w:rPr>
          <w:spacing w:val="-2"/>
        </w:rPr>
      </w:pPr>
      <w:r w:rsidRPr="003C4086">
        <w:rPr>
          <w:spacing w:val="-2"/>
        </w:rPr>
        <w:t>7.</w:t>
      </w:r>
      <w:r w:rsidRPr="003C4086">
        <w:rPr>
          <w:spacing w:val="-2"/>
        </w:rPr>
        <w:tab/>
      </w:r>
      <w:r w:rsidR="008315CD" w:rsidRPr="003C4086">
        <w:rPr>
          <w:spacing w:val="-2"/>
          <w:u w:val="single"/>
        </w:rPr>
        <w:t>Verein</w:t>
      </w:r>
      <w:r w:rsidR="008315CD" w:rsidRPr="003C4086">
        <w:rPr>
          <w:spacing w:val="-2"/>
        </w:rPr>
        <w:t xml:space="preserve"> (Art. 90 ff.)</w:t>
      </w:r>
    </w:p>
    <w:p w:rsidR="008315CD" w:rsidRPr="003C4086" w:rsidRDefault="003C4086" w:rsidP="003C4086">
      <w:pPr>
        <w:ind w:left="360"/>
        <w:rPr>
          <w:spacing w:val="-2"/>
        </w:rPr>
      </w:pPr>
      <w:r w:rsidRPr="003C4086">
        <w:rPr>
          <w:spacing w:val="-2"/>
        </w:rPr>
        <w:t>8.</w:t>
      </w:r>
      <w:r w:rsidRPr="003C4086">
        <w:rPr>
          <w:spacing w:val="-2"/>
        </w:rPr>
        <w:tab/>
      </w:r>
      <w:r w:rsidR="008315CD" w:rsidRPr="003C4086">
        <w:rPr>
          <w:spacing w:val="-2"/>
          <w:u w:val="single"/>
        </w:rPr>
        <w:t>Stiftung</w:t>
      </w:r>
      <w:r w:rsidR="008315CD" w:rsidRPr="003C4086">
        <w:rPr>
          <w:spacing w:val="-2"/>
        </w:rPr>
        <w:t xml:space="preserve"> (Art. 94 ff.)</w:t>
      </w:r>
    </w:p>
    <w:p w:rsidR="008315CD" w:rsidRPr="003C4086" w:rsidRDefault="003C4086" w:rsidP="003C4086">
      <w:pPr>
        <w:ind w:left="360"/>
        <w:rPr>
          <w:spacing w:val="-2"/>
        </w:rPr>
      </w:pPr>
      <w:r>
        <w:rPr>
          <w:spacing w:val="-2"/>
        </w:rPr>
        <w:t>9.</w:t>
      </w:r>
      <w:r>
        <w:rPr>
          <w:spacing w:val="-2"/>
        </w:rPr>
        <w:tab/>
      </w:r>
      <w:r w:rsidR="008315CD" w:rsidRPr="003C4086">
        <w:rPr>
          <w:spacing w:val="-2"/>
        </w:rPr>
        <w:t>Kommanditgesellschaft für kollektive Kapitalanlagen (Art. 98 ff.)</w:t>
      </w:r>
    </w:p>
    <w:p w:rsidR="008315CD" w:rsidRPr="003C4086" w:rsidRDefault="003C4086" w:rsidP="003C4086">
      <w:pPr>
        <w:ind w:left="360"/>
        <w:rPr>
          <w:spacing w:val="-2"/>
        </w:rPr>
      </w:pPr>
      <w:r>
        <w:rPr>
          <w:spacing w:val="-2"/>
        </w:rPr>
        <w:t>10.</w:t>
      </w:r>
      <w:r>
        <w:rPr>
          <w:spacing w:val="-2"/>
        </w:rPr>
        <w:tab/>
      </w:r>
      <w:r w:rsidR="008315CD" w:rsidRPr="003C4086">
        <w:rPr>
          <w:spacing w:val="-2"/>
        </w:rPr>
        <w:t>Investmentgesellschaft mit festem Kapital (SICAV) (Art. 101)</w:t>
      </w:r>
    </w:p>
    <w:p w:rsidR="008315CD" w:rsidRPr="003C4086" w:rsidRDefault="003C4086" w:rsidP="003C4086">
      <w:pPr>
        <w:ind w:left="360"/>
        <w:rPr>
          <w:spacing w:val="-2"/>
        </w:rPr>
      </w:pPr>
      <w:r>
        <w:rPr>
          <w:spacing w:val="-2"/>
        </w:rPr>
        <w:lastRenderedPageBreak/>
        <w:t>11.</w:t>
      </w:r>
      <w:r>
        <w:rPr>
          <w:spacing w:val="-2"/>
        </w:rPr>
        <w:tab/>
      </w:r>
      <w:r w:rsidR="008315CD" w:rsidRPr="003C4086">
        <w:rPr>
          <w:spacing w:val="-2"/>
        </w:rPr>
        <w:t>Investmentgesellschaft mit variablem Kapital (SICAV) (Art. 102 ff.)</w:t>
      </w:r>
    </w:p>
    <w:p w:rsidR="008315CD" w:rsidRPr="003C4086" w:rsidRDefault="003C4086" w:rsidP="003C4086">
      <w:pPr>
        <w:ind w:left="360"/>
        <w:rPr>
          <w:spacing w:val="-2"/>
        </w:rPr>
      </w:pPr>
      <w:r>
        <w:rPr>
          <w:spacing w:val="-2"/>
        </w:rPr>
        <w:t>12.</w:t>
      </w:r>
      <w:r>
        <w:rPr>
          <w:spacing w:val="-2"/>
        </w:rPr>
        <w:tab/>
      </w:r>
      <w:r w:rsidR="008315CD" w:rsidRPr="003C4086">
        <w:rPr>
          <w:spacing w:val="-2"/>
        </w:rPr>
        <w:t>Institut des öffentlichen Rechts (Art. 106 ff.)</w:t>
      </w:r>
    </w:p>
    <w:p w:rsidR="008315CD" w:rsidRPr="003C4086" w:rsidRDefault="003C4086" w:rsidP="003C4086">
      <w:pPr>
        <w:ind w:left="360"/>
        <w:rPr>
          <w:spacing w:val="-2"/>
        </w:rPr>
      </w:pPr>
      <w:r>
        <w:rPr>
          <w:spacing w:val="-2"/>
        </w:rPr>
        <w:t>13.</w:t>
      </w:r>
      <w:r>
        <w:rPr>
          <w:spacing w:val="-2"/>
        </w:rPr>
        <w:tab/>
      </w:r>
      <w:r w:rsidR="008315CD" w:rsidRPr="003C4086">
        <w:rPr>
          <w:spacing w:val="-2"/>
        </w:rPr>
        <w:t>Zweigniederlassung (Art. 109 ff)</w:t>
      </w:r>
    </w:p>
    <w:p w:rsidR="008315CD" w:rsidRDefault="008315CD" w:rsidP="00584BE9">
      <w:pPr>
        <w:rPr>
          <w:spacing w:val="-2"/>
        </w:rPr>
      </w:pPr>
      <w:r>
        <w:rPr>
          <w:spacing w:val="-2"/>
        </w:rPr>
        <w:t>4. Titel: Rechtsformübergreifende Bestimmungen für die Eintragung</w:t>
      </w:r>
    </w:p>
    <w:p w:rsidR="008315CD" w:rsidRPr="003C4086" w:rsidRDefault="008315CD" w:rsidP="009D34F3">
      <w:pPr>
        <w:pStyle w:val="Listenabsatz"/>
        <w:numPr>
          <w:ilvl w:val="0"/>
          <w:numId w:val="63"/>
        </w:numPr>
        <w:rPr>
          <w:spacing w:val="-2"/>
        </w:rPr>
      </w:pPr>
      <w:r w:rsidRPr="003C4086">
        <w:rPr>
          <w:spacing w:val="-2"/>
        </w:rPr>
        <w:t>Unternehmens-Identifikationsnummer, Sitz-, Zweck- und Personenangaben sowie Hi</w:t>
      </w:r>
      <w:r w:rsidRPr="003C4086">
        <w:rPr>
          <w:spacing w:val="-2"/>
        </w:rPr>
        <w:t>n</w:t>
      </w:r>
      <w:r w:rsidRPr="003C4086">
        <w:rPr>
          <w:spacing w:val="-2"/>
        </w:rPr>
        <w:t>weis auf die vorangehende Eintragung (Art. 116 ff.)</w:t>
      </w:r>
    </w:p>
    <w:p w:rsidR="008315CD" w:rsidRPr="003C4086" w:rsidRDefault="008315CD" w:rsidP="009D34F3">
      <w:pPr>
        <w:pStyle w:val="Listenabsatz"/>
        <w:numPr>
          <w:ilvl w:val="0"/>
          <w:numId w:val="63"/>
        </w:numPr>
        <w:rPr>
          <w:spacing w:val="-2"/>
        </w:rPr>
      </w:pPr>
      <w:r w:rsidRPr="003C4086">
        <w:rPr>
          <w:spacing w:val="-2"/>
          <w:u w:val="single"/>
        </w:rPr>
        <w:t>Sitzverlegung</w:t>
      </w:r>
      <w:r w:rsidRPr="003C4086">
        <w:rPr>
          <w:spacing w:val="-2"/>
        </w:rPr>
        <w:t xml:space="preserve"> (Art. 123 ff.)</w:t>
      </w:r>
    </w:p>
    <w:p w:rsidR="008315CD" w:rsidRPr="003C4086" w:rsidRDefault="008315CD" w:rsidP="009D34F3">
      <w:pPr>
        <w:pStyle w:val="Listenabsatz"/>
        <w:numPr>
          <w:ilvl w:val="0"/>
          <w:numId w:val="63"/>
        </w:numPr>
        <w:rPr>
          <w:spacing w:val="-2"/>
        </w:rPr>
      </w:pPr>
      <w:r w:rsidRPr="003C4086">
        <w:rPr>
          <w:spacing w:val="-2"/>
          <w:u w:val="single"/>
        </w:rPr>
        <w:t>Umstrukturierungen</w:t>
      </w:r>
      <w:r w:rsidRPr="003C4086">
        <w:rPr>
          <w:spacing w:val="-2"/>
        </w:rPr>
        <w:t xml:space="preserve"> (Art. 128 ff.):</w:t>
      </w:r>
    </w:p>
    <w:p w:rsidR="00584BE9" w:rsidRDefault="008315CD" w:rsidP="009D34F3">
      <w:pPr>
        <w:pStyle w:val="Listenabsatz"/>
        <w:numPr>
          <w:ilvl w:val="0"/>
          <w:numId w:val="64"/>
        </w:numPr>
      </w:pPr>
      <w:r>
        <w:t>Zeitpunkt der Anmeldung und der Eintragung (Art. 128 ff.)</w:t>
      </w:r>
    </w:p>
    <w:p w:rsidR="008315CD" w:rsidRDefault="008315CD" w:rsidP="009D34F3">
      <w:pPr>
        <w:pStyle w:val="Listenabsatz"/>
        <w:numPr>
          <w:ilvl w:val="0"/>
          <w:numId w:val="64"/>
        </w:numPr>
      </w:pPr>
      <w:r>
        <w:t>Fusion von Rechtseinheiten (Art. 130 ff.)</w:t>
      </w:r>
    </w:p>
    <w:p w:rsidR="008315CD" w:rsidRDefault="008315CD" w:rsidP="009D34F3">
      <w:pPr>
        <w:pStyle w:val="Listenabsatz"/>
        <w:numPr>
          <w:ilvl w:val="0"/>
          <w:numId w:val="64"/>
        </w:numPr>
      </w:pPr>
      <w:r>
        <w:t>Spaltung von Kapitalgesellschaften und Genossenschaften (Art. 133 ff.)</w:t>
      </w:r>
    </w:p>
    <w:p w:rsidR="00407824" w:rsidRDefault="00407824" w:rsidP="009D34F3">
      <w:pPr>
        <w:pStyle w:val="Listenabsatz"/>
        <w:numPr>
          <w:ilvl w:val="0"/>
          <w:numId w:val="64"/>
        </w:numPr>
      </w:pPr>
      <w:r>
        <w:t>Umwandlung von Gesellschaften (Art. 136)</w:t>
      </w:r>
    </w:p>
    <w:p w:rsidR="00407824" w:rsidRDefault="00407824" w:rsidP="009D34F3">
      <w:pPr>
        <w:pStyle w:val="Listenabsatz"/>
        <w:numPr>
          <w:ilvl w:val="0"/>
          <w:numId w:val="64"/>
        </w:numPr>
      </w:pPr>
      <w:r>
        <w:t>Vermögensübertragung (Art. 138 ff.)</w:t>
      </w:r>
    </w:p>
    <w:p w:rsidR="00407824" w:rsidRDefault="00407824" w:rsidP="009D34F3">
      <w:pPr>
        <w:pStyle w:val="Listenabsatz"/>
        <w:numPr>
          <w:ilvl w:val="0"/>
          <w:numId w:val="64"/>
        </w:numPr>
      </w:pPr>
      <w:r>
        <w:t>Fusion und Vermögensübertragung von Stiftungen (Art. 140 ff.)</w:t>
      </w:r>
    </w:p>
    <w:p w:rsidR="00407824" w:rsidRDefault="00407824" w:rsidP="009D34F3">
      <w:pPr>
        <w:pStyle w:val="Listenabsatz"/>
        <w:numPr>
          <w:ilvl w:val="0"/>
          <w:numId w:val="64"/>
        </w:numPr>
      </w:pPr>
      <w:r>
        <w:t>Fusion, Umwandlung und Vermögensübertragung von Vorsorgeeinrichtungen (Art. 142 ff.)</w:t>
      </w:r>
    </w:p>
    <w:p w:rsidR="00407824" w:rsidRDefault="00407824" w:rsidP="009D34F3">
      <w:pPr>
        <w:pStyle w:val="Listenabsatz"/>
        <w:numPr>
          <w:ilvl w:val="0"/>
          <w:numId w:val="64"/>
        </w:numPr>
      </w:pPr>
      <w:r>
        <w:t>Fusion, Umwandlung und Vermögensübertragung von Instituten des öffentlichen Rechts (Art. 145)</w:t>
      </w:r>
    </w:p>
    <w:p w:rsidR="00407824" w:rsidRDefault="00407824" w:rsidP="009D34F3">
      <w:pPr>
        <w:pStyle w:val="Listenabsatz"/>
        <w:numPr>
          <w:ilvl w:val="0"/>
          <w:numId w:val="64"/>
        </w:numPr>
      </w:pPr>
      <w:r>
        <w:t>Grenzüberschreitende Umstrukturierungen (Art. 146 ff.)</w:t>
      </w:r>
    </w:p>
    <w:p w:rsidR="00407824" w:rsidRDefault="00407824" w:rsidP="009D34F3">
      <w:pPr>
        <w:pStyle w:val="Listenabsatz"/>
        <w:numPr>
          <w:ilvl w:val="0"/>
          <w:numId w:val="64"/>
        </w:numPr>
      </w:pPr>
      <w:r>
        <w:t>Übertragbarkeit bei Spaltung und Vermögensübertragung (Art. 148)</w:t>
      </w:r>
    </w:p>
    <w:p w:rsidR="00407824" w:rsidRDefault="003C4086" w:rsidP="003C4086">
      <w:pPr>
        <w:ind w:left="709" w:hanging="349"/>
      </w:pPr>
      <w:r>
        <w:t>4.</w:t>
      </w:r>
      <w:r>
        <w:tab/>
      </w:r>
      <w:r w:rsidR="00407824">
        <w:t>Eintragungen von besonderen Vertretungsverhältnissen und von Beschlüssen der Gläubigerversammlung von Anleihensobligationen (Art. 149 ff.)</w:t>
      </w:r>
    </w:p>
    <w:p w:rsidR="00407824" w:rsidRDefault="00407824" w:rsidP="00584BE9">
      <w:r>
        <w:t>5. Titel: Eintragungen von Amtes wegen (Art. 152 ff.)</w:t>
      </w:r>
    </w:p>
    <w:p w:rsidR="00407824" w:rsidRDefault="00407824" w:rsidP="009D34F3">
      <w:pPr>
        <w:pStyle w:val="Listenabsatz"/>
        <w:numPr>
          <w:ilvl w:val="0"/>
          <w:numId w:val="65"/>
        </w:numPr>
      </w:pPr>
      <w:r>
        <w:t>Fehlende oder unrichtige Eintragung (Art. 152 ff.)</w:t>
      </w:r>
    </w:p>
    <w:p w:rsidR="00407824" w:rsidRDefault="00407824" w:rsidP="009D34F3">
      <w:pPr>
        <w:pStyle w:val="Listenabsatz"/>
        <w:numPr>
          <w:ilvl w:val="0"/>
          <w:numId w:val="65"/>
        </w:numPr>
      </w:pPr>
      <w:r>
        <w:t>Konkurs, Nachlassstundung und Nachlassvertrag mit Vermögensabtretung (Art. 158 ff.)</w:t>
      </w:r>
    </w:p>
    <w:p w:rsidR="00407824" w:rsidRDefault="00407824" w:rsidP="00584BE9">
      <w:r>
        <w:t>6. Titel: Rechtsbehelfe und Rechtsmittel (Art. 162 ff.)</w:t>
      </w:r>
    </w:p>
    <w:p w:rsidR="00407824" w:rsidRDefault="003C4086" w:rsidP="00584BE9">
      <w:r>
        <w:t>7. Titel: Aktenauf</w:t>
      </w:r>
      <w:r w:rsidR="00407824">
        <w:t>bewahrung, Aktenherausgabe, Datensicherheit (Art. 166 ff.)</w:t>
      </w:r>
    </w:p>
    <w:p w:rsidR="00407824" w:rsidRPr="005F15DA" w:rsidRDefault="00407824" w:rsidP="00584BE9">
      <w:r>
        <w:t>8. Titel: Schlussbestimmungen (Art. 170 ff.)</w:t>
      </w:r>
    </w:p>
    <w:p w:rsidR="00161833" w:rsidRPr="005F15DA" w:rsidRDefault="00161833" w:rsidP="00161833"/>
    <w:p w:rsidR="00161833" w:rsidRPr="005F15DA" w:rsidRDefault="00161833" w:rsidP="00161833"/>
    <w:p w:rsidR="00161833" w:rsidRPr="005F15DA" w:rsidRDefault="00161833" w:rsidP="00161833"/>
    <w:p w:rsidR="00161833" w:rsidRPr="005F15DA" w:rsidRDefault="00161833" w:rsidP="00161833">
      <w:pPr>
        <w:pStyle w:val="berschrift2"/>
      </w:pPr>
      <w:bookmarkStart w:id="104" w:name="_Toc432175625"/>
      <w:r w:rsidRPr="005F15DA">
        <w:t xml:space="preserve">X. </w:t>
      </w:r>
      <w:r w:rsidR="00721652">
        <w:t xml:space="preserve">Hinweis auf das </w:t>
      </w:r>
      <w:r>
        <w:t>Fusionsgesetz (FusG)</w:t>
      </w:r>
      <w:bookmarkEnd w:id="104"/>
    </w:p>
    <w:p w:rsidR="00EE0A0C" w:rsidRPr="005F15DA" w:rsidRDefault="00EE0A0C" w:rsidP="00EE0A0C">
      <w:r w:rsidRPr="005F15DA">
        <w:t>______________________________________________</w:t>
      </w:r>
      <w:r w:rsidR="00AB6DDD">
        <w:t>_____</w:t>
      </w:r>
    </w:p>
    <w:p w:rsidR="00161833" w:rsidRPr="005F15DA" w:rsidRDefault="00161833" w:rsidP="00161833"/>
    <w:p w:rsidR="00036C42" w:rsidRDefault="00161833" w:rsidP="001A0092">
      <w:r>
        <w:t xml:space="preserve">Das Fusionsgesetz </w:t>
      </w:r>
      <w:r w:rsidR="00036C42">
        <w:t>regelt die Anpassung der rechtlichen Strukturen von Kapitalgesellscha</w:t>
      </w:r>
      <w:r w:rsidR="00036C42">
        <w:t>f</w:t>
      </w:r>
      <w:r w:rsidR="00036C42">
        <w:t xml:space="preserve">ten, Kollektiv- und Kommanditgesellschaften, Genossenschaften, Vereinen, Stiftungen und Einzelunternehmen </w:t>
      </w:r>
      <w:r w:rsidR="00036C42" w:rsidRPr="00036C42">
        <w:rPr>
          <w:b/>
        </w:rPr>
        <w:t>im Zusammenhang mit Fusion, Spaltung, Umwandlung und Verm</w:t>
      </w:r>
      <w:r w:rsidR="00036C42" w:rsidRPr="00036C42">
        <w:rPr>
          <w:b/>
        </w:rPr>
        <w:t>ö</w:t>
      </w:r>
      <w:r w:rsidR="00036C42" w:rsidRPr="00036C42">
        <w:rPr>
          <w:b/>
        </w:rPr>
        <w:t>gensübertragung</w:t>
      </w:r>
      <w:r w:rsidR="00036C42">
        <w:t xml:space="preserve"> (Art. 1 FusG). </w:t>
      </w:r>
    </w:p>
    <w:p w:rsidR="00036C42" w:rsidRDefault="00036C42" w:rsidP="00161833"/>
    <w:p w:rsidR="003F4A7E" w:rsidRDefault="003F4A7E" w:rsidP="001A0092">
      <w:r>
        <w:t xml:space="preserve">Wenn eine Gesellschaft eine andere übernimmt, spricht man von einer </w:t>
      </w:r>
      <w:r w:rsidRPr="00444C84">
        <w:rPr>
          <w:b/>
        </w:rPr>
        <w:t>Absor</w:t>
      </w:r>
      <w:r w:rsidR="00444C84">
        <w:rPr>
          <w:b/>
        </w:rPr>
        <w:t>p</w:t>
      </w:r>
      <w:r w:rsidRPr="00444C84">
        <w:rPr>
          <w:b/>
        </w:rPr>
        <w:t>tionsfusion</w:t>
      </w:r>
      <w:r>
        <w:t xml:space="preserve"> (siehe MUSA Nr. 746.1 ff.). Die übernommene Gesellschaft wird mit der Fusion aufgelöst und alle Aktiven und Passiven gehen durch Universalsukzession auf die übernehmende Gesel</w:t>
      </w:r>
      <w:r>
        <w:t>l</w:t>
      </w:r>
      <w:r>
        <w:t>schaft über.</w:t>
      </w:r>
    </w:p>
    <w:p w:rsidR="003F4A7E" w:rsidRDefault="003F4A7E" w:rsidP="00161833"/>
    <w:p w:rsidR="003F4A7E" w:rsidRDefault="00444C84" w:rsidP="001A0092">
      <w:r>
        <w:lastRenderedPageBreak/>
        <w:t>Wenn sich zwei bestehende Gesellschaften zu einer neuen Gesellschaft zusammenschlie</w:t>
      </w:r>
      <w:r>
        <w:t>s</w:t>
      </w:r>
      <w:r>
        <w:t xml:space="preserve">sen, spricht man von einer </w:t>
      </w:r>
      <w:r w:rsidRPr="00444C84">
        <w:rPr>
          <w:b/>
        </w:rPr>
        <w:t>Kombinationsfusion</w:t>
      </w:r>
      <w:r>
        <w:t>.</w:t>
      </w:r>
      <w:r w:rsidR="00B42245">
        <w:t xml:space="preserve"> Das Vermögen der fusionierenden Gesel</w:t>
      </w:r>
      <w:r w:rsidR="00B42245">
        <w:t>l</w:t>
      </w:r>
      <w:r w:rsidR="00B42245">
        <w:t>schaften wird auf eine neu zu gründende Gesellschaft übertragen (die fusionierenden Gesel</w:t>
      </w:r>
      <w:r w:rsidR="00B42245">
        <w:t>l</w:t>
      </w:r>
      <w:r w:rsidR="00B42245">
        <w:t>schaften werden aufgelöst).</w:t>
      </w:r>
    </w:p>
    <w:p w:rsidR="00444C84" w:rsidRDefault="00444C84" w:rsidP="00161833"/>
    <w:p w:rsidR="00444C84" w:rsidRDefault="00444C84" w:rsidP="00161833">
      <w:r>
        <w:t xml:space="preserve">Die Fusionsarten und die zulässigen Fusionen finden Sie in Art. 4 FusG. Grundsätzlich steht die Fusion allen Formen von Handelsgesellschaften, Genossenschaften und Vereinen offen. </w:t>
      </w:r>
    </w:p>
    <w:p w:rsidR="00444C84" w:rsidRDefault="00444C84" w:rsidP="00161833"/>
    <w:p w:rsidR="00444C84" w:rsidRDefault="00444C84" w:rsidP="00161833">
      <w:r w:rsidRPr="001A0092">
        <w:rPr>
          <w:b/>
        </w:rPr>
        <w:t>Einzelfirmen</w:t>
      </w:r>
      <w:r>
        <w:t xml:space="preserve"> können weder unter sich noch mit anderen Rechtsträgern fusionieren. </w:t>
      </w:r>
    </w:p>
    <w:p w:rsidR="00444C84" w:rsidRDefault="00444C84" w:rsidP="00161833"/>
    <w:p w:rsidR="00583438" w:rsidRDefault="00583438" w:rsidP="00161833"/>
    <w:p w:rsidR="00444C84" w:rsidRDefault="00B42245" w:rsidP="00161833">
      <w:r>
        <w:t xml:space="preserve">Wenn aber eine neu zu gründende AG oder GmbH </w:t>
      </w:r>
      <w:r w:rsidRPr="00583438">
        <w:rPr>
          <w:b/>
        </w:rPr>
        <w:t>mittels Sacheinlage eine Einzelfirma übernimmt</w:t>
      </w:r>
      <w:r>
        <w:t>, muss abgeklärt werden, ob Art. 181 OR (Sacheinlage durch Vermögens- oder Geschäftsübertragung) oder ob Art. 69 FusG (Sacheinlage durch Vermögensübertragung) anzuwenden sind.</w:t>
      </w:r>
    </w:p>
    <w:p w:rsidR="00B42245" w:rsidRDefault="00B42245" w:rsidP="00161833"/>
    <w:p w:rsidR="00EA3801" w:rsidRDefault="00EA3801" w:rsidP="00161833"/>
    <w:p w:rsidR="001A0092" w:rsidRDefault="00B42245" w:rsidP="00161833">
      <w:r>
        <w:t xml:space="preserve">Bei der </w:t>
      </w:r>
      <w:r w:rsidRPr="001A0092">
        <w:rPr>
          <w:b/>
        </w:rPr>
        <w:t xml:space="preserve">Sacheinlage </w:t>
      </w:r>
      <w:r w:rsidR="001A0092" w:rsidRPr="001A0092">
        <w:rPr>
          <w:b/>
        </w:rPr>
        <w:t xml:space="preserve">durch Vermögens- oder Geschäftsübertragung </w:t>
      </w:r>
      <w:r w:rsidRPr="001A0092">
        <w:rPr>
          <w:b/>
        </w:rPr>
        <w:t>gemäss Art. 181 OR</w:t>
      </w:r>
      <w:r>
        <w:t xml:space="preserve"> </w:t>
      </w:r>
      <w:r w:rsidR="00721652">
        <w:t xml:space="preserve">(Rechtsvorgänger ist nicht im HR eingetragen) </w:t>
      </w:r>
      <w:r>
        <w:t xml:space="preserve">werden alle Aktiven durch Singularsukzession </w:t>
      </w:r>
      <w:r w:rsidR="001A0092">
        <w:t>(Stück um Stück) übertragen. Die Passiven gehen, ab Anzeige an die Gläubiger, von Gese</w:t>
      </w:r>
      <w:r w:rsidR="001A0092">
        <w:t>t</w:t>
      </w:r>
      <w:r w:rsidR="001A0092">
        <w:t xml:space="preserve">zes wegen über (Universalsukzession). </w:t>
      </w:r>
    </w:p>
    <w:p w:rsidR="00B42245" w:rsidRDefault="001A0092" w:rsidP="00161833">
      <w:r>
        <w:t>Diese Vorgehensweise ist nur möglich, wenn:</w:t>
      </w:r>
    </w:p>
    <w:p w:rsidR="001A0092" w:rsidRDefault="001A0092" w:rsidP="009D34F3">
      <w:pPr>
        <w:pStyle w:val="Listenabsatz"/>
        <w:numPr>
          <w:ilvl w:val="0"/>
          <w:numId w:val="68"/>
        </w:numPr>
      </w:pPr>
      <w:r>
        <w:t>ein organisch in sich geschlossener Teil eines Vermögens oder Geschäfts übertragen wird (Art. 181 Abs. 1 OR), und</w:t>
      </w:r>
    </w:p>
    <w:p w:rsidR="001A0092" w:rsidRDefault="001A0092" w:rsidP="009D34F3">
      <w:pPr>
        <w:pStyle w:val="Listenabsatz"/>
        <w:numPr>
          <w:ilvl w:val="0"/>
          <w:numId w:val="68"/>
        </w:numPr>
      </w:pPr>
      <w:r>
        <w:t>auch Passiven übertragen werden und</w:t>
      </w:r>
    </w:p>
    <w:p w:rsidR="001A0092" w:rsidRDefault="001A0092" w:rsidP="009D34F3">
      <w:pPr>
        <w:pStyle w:val="Listenabsatz"/>
        <w:numPr>
          <w:ilvl w:val="0"/>
          <w:numId w:val="68"/>
        </w:numPr>
      </w:pPr>
      <w:r>
        <w:t xml:space="preserve">der übertragende Rechtsträger eine </w:t>
      </w:r>
      <w:r w:rsidRPr="001A0092">
        <w:rPr>
          <w:u w:val="single"/>
        </w:rPr>
        <w:t>natürliche Person</w:t>
      </w:r>
      <w:r>
        <w:t xml:space="preserve"> oder eine </w:t>
      </w:r>
      <w:r w:rsidRPr="001A0092">
        <w:rPr>
          <w:u w:val="single"/>
        </w:rPr>
        <w:t>nicht im Handelsr</w:t>
      </w:r>
      <w:r w:rsidRPr="001A0092">
        <w:rPr>
          <w:u w:val="single"/>
        </w:rPr>
        <w:t>e</w:t>
      </w:r>
      <w:r w:rsidRPr="001A0092">
        <w:rPr>
          <w:u w:val="single"/>
        </w:rPr>
        <w:t>gister eingetragene Einzelunternehmung</w:t>
      </w:r>
      <w:r>
        <w:t xml:space="preserve"> (oder Verein, Kollektiv- oder Kommanditg</w:t>
      </w:r>
      <w:r>
        <w:t>e</w:t>
      </w:r>
      <w:r>
        <w:t>sellschaft) ist.</w:t>
      </w:r>
    </w:p>
    <w:p w:rsidR="001A0092" w:rsidRDefault="001A0092" w:rsidP="00161833">
      <w:r>
        <w:t>Hier kommt Art. 181 OR zur Anwendung (und nicht das FusG).</w:t>
      </w:r>
    </w:p>
    <w:p w:rsidR="00D73A95" w:rsidRDefault="00D73A95" w:rsidP="00161833">
      <w:r>
        <w:t>Siehe MUSA Nr. 772.</w:t>
      </w:r>
    </w:p>
    <w:p w:rsidR="00EA3801" w:rsidRDefault="00EA3801" w:rsidP="00161833"/>
    <w:p w:rsidR="001A0092" w:rsidRDefault="001A0092" w:rsidP="00161833"/>
    <w:p w:rsidR="001A0092" w:rsidRDefault="001A0092" w:rsidP="00161833">
      <w:r>
        <w:t xml:space="preserve">Bei der </w:t>
      </w:r>
      <w:r w:rsidRPr="00D73A95">
        <w:rPr>
          <w:b/>
        </w:rPr>
        <w:t>Sacheinlage durch Vermögensübertragung gemäss Art. 69 FusG</w:t>
      </w:r>
      <w:r>
        <w:t xml:space="preserve"> </w:t>
      </w:r>
      <w:r w:rsidR="00721652">
        <w:t>(Rechtsvorgä</w:t>
      </w:r>
      <w:r w:rsidR="00721652">
        <w:t>n</w:t>
      </w:r>
      <w:r w:rsidR="00721652">
        <w:t xml:space="preserve">ger ist im HR eingetragen) </w:t>
      </w:r>
      <w:r>
        <w:t>gehen alle Aktiven und Passiven von Gesetzes wegen über (part</w:t>
      </w:r>
      <w:r>
        <w:t>i</w:t>
      </w:r>
      <w:r>
        <w:t xml:space="preserve">elle Universalsukzession bzw. </w:t>
      </w:r>
      <w:r w:rsidR="00D73A95">
        <w:t>Übertragung mittels eines Vertrages (Sacheinlage oder Sac</w:t>
      </w:r>
      <w:r w:rsidR="00D73A95">
        <w:t>h</w:t>
      </w:r>
      <w:r w:rsidR="00D73A95">
        <w:t>einlage und Sachübernahme) gemäss Inventar).</w:t>
      </w:r>
    </w:p>
    <w:p w:rsidR="00D73A95" w:rsidRDefault="00D73A95" w:rsidP="00161833">
      <w:r>
        <w:t xml:space="preserve">Diese Vorgehensweise ist nur möglich, wenn der </w:t>
      </w:r>
      <w:r w:rsidRPr="00D73A95">
        <w:rPr>
          <w:u w:val="single"/>
        </w:rPr>
        <w:t>übertragende Rechtsträger im Handelsregi</w:t>
      </w:r>
      <w:r w:rsidRPr="00D73A95">
        <w:rPr>
          <w:u w:val="single"/>
        </w:rPr>
        <w:t>s</w:t>
      </w:r>
      <w:r w:rsidRPr="00D73A95">
        <w:rPr>
          <w:u w:val="single"/>
        </w:rPr>
        <w:t>ter eingetragen</w:t>
      </w:r>
      <w:r>
        <w:t xml:space="preserve"> ist (Art. 69 FusG). </w:t>
      </w:r>
    </w:p>
    <w:p w:rsidR="00D73A95" w:rsidRDefault="00D73A95" w:rsidP="00161833">
      <w:r>
        <w:t>Wenn ein Vermögen oder ein Geschäft oder Teile davon durch Universalsukzession (Übe</w:t>
      </w:r>
      <w:r>
        <w:t>r</w:t>
      </w:r>
      <w:r>
        <w:t>tragung in einem Akt gemäss Inventar) übertragen werden soll, so ist zwingend die Verm</w:t>
      </w:r>
      <w:r>
        <w:t>ö</w:t>
      </w:r>
      <w:r>
        <w:t>gensübertragung gemäss Art. 69 FusG zu wählen (Art. 181 Abs. 4 OR).</w:t>
      </w:r>
    </w:p>
    <w:p w:rsidR="00E40D1C" w:rsidRDefault="00E40D1C" w:rsidP="00161833">
      <w:r>
        <w:t>Siehe MUSA Nr. 773.</w:t>
      </w:r>
    </w:p>
    <w:p w:rsidR="00D73A95" w:rsidRDefault="00D73A95" w:rsidP="00161833"/>
    <w:p w:rsidR="00EA3801" w:rsidRDefault="00EA3801" w:rsidP="00161833"/>
    <w:p w:rsidR="00D73A95" w:rsidRDefault="00D73A95" w:rsidP="00161833">
      <w:r>
        <w:t xml:space="preserve">Bei der </w:t>
      </w:r>
      <w:r w:rsidRPr="00E40D1C">
        <w:rPr>
          <w:b/>
        </w:rPr>
        <w:t>Sacheinlage durch Singularsukzession</w:t>
      </w:r>
      <w:r>
        <w:t xml:space="preserve"> </w:t>
      </w:r>
      <w:r w:rsidR="00E40D1C">
        <w:t xml:space="preserve">(Einzelnachfolge) </w:t>
      </w:r>
      <w:r w:rsidR="00721652">
        <w:t xml:space="preserve">(ist immer möglich) </w:t>
      </w:r>
      <w:r w:rsidR="00E40D1C">
        <w:t>we</w:t>
      </w:r>
      <w:r w:rsidR="00E40D1C">
        <w:t>r</w:t>
      </w:r>
      <w:r w:rsidR="00E40D1C">
        <w:t xml:space="preserve">den alle Aktiven und Passiven einzeln übertragen. Für die Aktiven sind die massgebenden </w:t>
      </w:r>
      <w:r w:rsidR="00E40D1C">
        <w:lastRenderedPageBreak/>
        <w:t>Übertragungsformen und für die Passiven sind die Regeln der Schuldübernahme gemäss Art. 175 OR zu beachten.</w:t>
      </w:r>
    </w:p>
    <w:p w:rsidR="00E40D1C" w:rsidRDefault="00E40D1C" w:rsidP="00161833">
      <w:r>
        <w:t>Diese Vorgehensweise ist für alle Rechtsträger in jedem Fall möglich.</w:t>
      </w:r>
    </w:p>
    <w:p w:rsidR="00E40D1C" w:rsidRDefault="00E40D1C" w:rsidP="00161833">
      <w:r>
        <w:t>Siehe MUSA Nr. 771.</w:t>
      </w:r>
    </w:p>
    <w:p w:rsidR="00E40D1C" w:rsidRDefault="00E40D1C" w:rsidP="00161833">
      <w:r>
        <w:t>Beispiel: Bei der Gründung einer Aktiengesellschaft legt einer der Gründer ein ihm gehöre</w:t>
      </w:r>
      <w:r>
        <w:t>n</w:t>
      </w:r>
      <w:r>
        <w:t>des Grundstück als Sacheinlage ein. Dieser Gründer ist nicht im Handelsregister als Inhaber eines Einzelunternehmens eingetragen.</w:t>
      </w:r>
    </w:p>
    <w:p w:rsidR="00E40D1C" w:rsidRDefault="00E40D1C" w:rsidP="00161833"/>
    <w:p w:rsidR="00EA3801" w:rsidRDefault="00EA3801" w:rsidP="00161833"/>
    <w:p w:rsidR="00E40D1C" w:rsidRPr="002269AB" w:rsidRDefault="00E40D1C" w:rsidP="00161833">
      <w:pPr>
        <w:rPr>
          <w:b/>
        </w:rPr>
      </w:pPr>
      <w:r w:rsidRPr="002269AB">
        <w:rPr>
          <w:b/>
        </w:rPr>
        <w:t>Unterschied Sacheinlage / Sacheinlage und Sachübernahme</w:t>
      </w:r>
    </w:p>
    <w:p w:rsidR="00E40D1C" w:rsidRDefault="00E40D1C" w:rsidP="00161833">
      <w:r>
        <w:t xml:space="preserve">Bei der reinen Sacheinlage </w:t>
      </w:r>
      <w:r w:rsidR="00583438">
        <w:t xml:space="preserve">(Art. 628 Abs. 1 OR) </w:t>
      </w:r>
      <w:r>
        <w:t xml:space="preserve">übernimmt die zu gründende Gesellschaft von den Gründern Vermögenswerte und gibt ihnen </w:t>
      </w:r>
      <w:r w:rsidR="00721652">
        <w:t>ausschliesslich</w:t>
      </w:r>
      <w:r>
        <w:t xml:space="preserve"> Aktien oder Stammanteile</w:t>
      </w:r>
      <w:r w:rsidR="002269AB">
        <w:t xml:space="preserve"> (die Sacheinlage wird vollständig durch Anteile am Gesellschaftskapital getilgt).</w:t>
      </w:r>
    </w:p>
    <w:p w:rsidR="00E40D1C" w:rsidRDefault="00E40D1C" w:rsidP="00161833">
      <w:r>
        <w:t xml:space="preserve">Bei der kombinierten Sacheinlage und Sachübernahme </w:t>
      </w:r>
      <w:r w:rsidR="00583438">
        <w:t xml:space="preserve">(zusätzlich Art. 628 Abs. 2 OR) </w:t>
      </w:r>
      <w:r>
        <w:t>übe</w:t>
      </w:r>
      <w:r>
        <w:t>r</w:t>
      </w:r>
      <w:r>
        <w:t>nimmt die zu gründende Gesellschaft von den Gründern Vermögenswerte und gibt ihnen A</w:t>
      </w:r>
      <w:r>
        <w:t>k</w:t>
      </w:r>
      <w:r>
        <w:t xml:space="preserve">tien (oder Stammanteile) für einen Teil dieser Vermögenswerte. </w:t>
      </w:r>
      <w:r w:rsidR="002269AB">
        <w:t xml:space="preserve">Der </w:t>
      </w:r>
      <w:r>
        <w:t>nicht durch Aktien getil</w:t>
      </w:r>
      <w:r>
        <w:t>g</w:t>
      </w:r>
      <w:r w:rsidR="00583438">
        <w:t>te</w:t>
      </w:r>
      <w:r>
        <w:t xml:space="preserve"> Wert der Vermögenswerte </w:t>
      </w:r>
      <w:r w:rsidR="002269AB">
        <w:t xml:space="preserve">(Einlagen) wird </w:t>
      </w:r>
      <w:r>
        <w:t xml:space="preserve">den Gründern </w:t>
      </w:r>
      <w:r w:rsidR="002269AB">
        <w:t>in bar abgegolten oder als Ford</w:t>
      </w:r>
      <w:r w:rsidR="002269AB">
        <w:t>e</w:t>
      </w:r>
      <w:r w:rsidR="002269AB">
        <w:t>rung in den Büchern der zu gründen</w:t>
      </w:r>
      <w:r w:rsidR="00721652">
        <w:t>den Gesellschaft gutgeschrieben (die Sacheinlage wird teilweise durch Anteile am Gesellschaftskapital und teilweise durch Barzahlung oder Ford</w:t>
      </w:r>
      <w:r w:rsidR="00721652">
        <w:t>e</w:t>
      </w:r>
      <w:r w:rsidR="00721652">
        <w:t>rung gegenüber der Gesellschaft getilgt).</w:t>
      </w:r>
    </w:p>
    <w:p w:rsidR="00161833" w:rsidRPr="005F15DA" w:rsidRDefault="00161833" w:rsidP="00161833">
      <w:pPr>
        <w:rPr>
          <w:spacing w:val="-2"/>
        </w:rPr>
      </w:pPr>
    </w:p>
    <w:p w:rsidR="00584BE9" w:rsidRPr="005F15DA" w:rsidRDefault="00584BE9" w:rsidP="00584BE9"/>
    <w:p w:rsidR="00584BE9" w:rsidRPr="005F15DA" w:rsidRDefault="00584BE9" w:rsidP="00584BE9"/>
    <w:p w:rsidR="00584BE9" w:rsidRPr="005F15DA" w:rsidRDefault="00584BE9" w:rsidP="00584BE9"/>
    <w:p w:rsidR="005D70F9" w:rsidRPr="005F15DA" w:rsidRDefault="00906BEF" w:rsidP="00E36E8F">
      <w:pPr>
        <w:pStyle w:val="berschrift2"/>
      </w:pPr>
      <w:bookmarkStart w:id="105" w:name="_Toc432175626"/>
      <w:r w:rsidRPr="005F15DA">
        <w:t>X</w:t>
      </w:r>
      <w:r w:rsidR="00161833">
        <w:t>I</w:t>
      </w:r>
      <w:r w:rsidRPr="005F15DA">
        <w:t xml:space="preserve">. </w:t>
      </w:r>
      <w:r w:rsidR="005D70F9" w:rsidRPr="005F15DA">
        <w:t>Firmenrecht</w:t>
      </w:r>
      <w:bookmarkEnd w:id="105"/>
    </w:p>
    <w:p w:rsidR="00EE0A0C" w:rsidRPr="005F15DA" w:rsidRDefault="00EE0A0C" w:rsidP="00EE0A0C">
      <w:r w:rsidRPr="005F15DA">
        <w:t>______________</w:t>
      </w:r>
      <w:r w:rsidR="00AB6DDD">
        <w:t>_____</w:t>
      </w:r>
    </w:p>
    <w:p w:rsidR="00184516" w:rsidRPr="005F15DA" w:rsidRDefault="00184516" w:rsidP="00184516"/>
    <w:p w:rsidR="005D70F9" w:rsidRPr="005F15DA" w:rsidRDefault="005D70F9" w:rsidP="00184516">
      <w:r w:rsidRPr="005F15DA">
        <w:t>Der Geschäftsname einer Unternehmung wird als Firma bezeichnet. Die im Handels</w:t>
      </w:r>
      <w:r w:rsidRPr="005F15DA">
        <w:rPr>
          <w:spacing w:val="2"/>
        </w:rPr>
        <w:t xml:space="preserve">register eingetragene und im Schweizerischen Handelsamtsblatt veröffentlichte Firma </w:t>
      </w:r>
      <w:r w:rsidRPr="005F15DA">
        <w:rPr>
          <w:spacing w:val="-3"/>
        </w:rPr>
        <w:t xml:space="preserve">steht dem Berechtigten zum ausschliesslichen Gebrauch zu. Der Geschäftsname muss der </w:t>
      </w:r>
      <w:r w:rsidRPr="005F15DA">
        <w:rPr>
          <w:spacing w:val="-1"/>
        </w:rPr>
        <w:t>Wahrheit en</w:t>
      </w:r>
      <w:r w:rsidRPr="005F15DA">
        <w:rPr>
          <w:spacing w:val="-1"/>
        </w:rPr>
        <w:t>t</w:t>
      </w:r>
      <w:r w:rsidRPr="005F15DA">
        <w:rPr>
          <w:spacing w:val="-1"/>
        </w:rPr>
        <w:t>sprechen und darf zu keinen Täuschungen Anlass geben oder öffentlichen Interessen zuwide</w:t>
      </w:r>
      <w:r w:rsidRPr="005F15DA">
        <w:rPr>
          <w:spacing w:val="-1"/>
        </w:rPr>
        <w:t>r</w:t>
      </w:r>
      <w:r w:rsidRPr="005F15DA">
        <w:rPr>
          <w:spacing w:val="-1"/>
        </w:rPr>
        <w:t xml:space="preserve">laufen. Wer beabsichtigt, nationale oder regionale Bezeichnungen in die </w:t>
      </w:r>
      <w:r w:rsidRPr="005F15DA">
        <w:t>Firma aufzunehmen, bedarf der Zustimmung des Eidg. Amtes für das Handelsregister.</w:t>
      </w:r>
    </w:p>
    <w:p w:rsidR="00184516" w:rsidRPr="005F15DA" w:rsidRDefault="00184516" w:rsidP="00184516">
      <w:pPr>
        <w:rPr>
          <w:spacing w:val="-2"/>
        </w:rPr>
      </w:pPr>
    </w:p>
    <w:p w:rsidR="005D70F9" w:rsidRPr="005F15DA" w:rsidRDefault="005D70F9" w:rsidP="00184516">
      <w:r w:rsidRPr="005F15DA">
        <w:rPr>
          <w:spacing w:val="-2"/>
        </w:rPr>
        <w:t>Die einzelnen Firmen müssen sich voneinander unterscheiden. Eine im Handelsregister eing</w:t>
      </w:r>
      <w:r w:rsidRPr="005F15DA">
        <w:rPr>
          <w:spacing w:val="-2"/>
        </w:rPr>
        <w:t>e</w:t>
      </w:r>
      <w:r w:rsidRPr="005F15DA">
        <w:rPr>
          <w:spacing w:val="-2"/>
        </w:rPr>
        <w:t xml:space="preserve">tragene Einzelfirma, Kollektiv- oder Kommanditgesellschaft darf am selben Ort von </w:t>
      </w:r>
      <w:r w:rsidRPr="005F15DA">
        <w:rPr>
          <w:spacing w:val="-3"/>
        </w:rPr>
        <w:t>keinem a</w:t>
      </w:r>
      <w:r w:rsidRPr="005F15DA">
        <w:rPr>
          <w:spacing w:val="-3"/>
        </w:rPr>
        <w:t>n</w:t>
      </w:r>
      <w:r w:rsidRPr="005F15DA">
        <w:rPr>
          <w:spacing w:val="-3"/>
        </w:rPr>
        <w:t xml:space="preserve">deren Geschäftsinhaber verwendet werden. Die Firmen der Aktiengesellschaften, der GmbH’s oder der Genossenschaften müssen sich sogar in der ganzen Schweiz von den bereits </w:t>
      </w:r>
      <w:r w:rsidRPr="005F15DA">
        <w:rPr>
          <w:spacing w:val="-2"/>
        </w:rPr>
        <w:t>eing</w:t>
      </w:r>
      <w:r w:rsidRPr="005F15DA">
        <w:rPr>
          <w:spacing w:val="-2"/>
        </w:rPr>
        <w:t>e</w:t>
      </w:r>
      <w:r w:rsidRPr="005F15DA">
        <w:rPr>
          <w:spacing w:val="-2"/>
        </w:rPr>
        <w:t>tragenen Firmen deutlich unterscheiden.</w:t>
      </w:r>
    </w:p>
    <w:p w:rsidR="00D8219C" w:rsidRPr="005F15DA" w:rsidRDefault="00D8219C" w:rsidP="00184516"/>
    <w:p w:rsidR="00184516" w:rsidRPr="005F15DA" w:rsidRDefault="00184516" w:rsidP="00184516"/>
    <w:p w:rsidR="00184516" w:rsidRPr="005F15DA" w:rsidRDefault="00184516" w:rsidP="00184516"/>
    <w:p w:rsidR="00D8219C" w:rsidRPr="005F15DA" w:rsidRDefault="00D8219C" w:rsidP="00184516"/>
    <w:p w:rsidR="00EE0A0C" w:rsidRDefault="00EE0A0C">
      <w:pPr>
        <w:spacing w:after="200"/>
        <w:rPr>
          <w:rFonts w:eastAsiaTheme="majorEastAsia" w:cstheme="majorBidi"/>
          <w:b/>
          <w:bCs/>
          <w:color w:val="000000" w:themeColor="text1"/>
          <w:sz w:val="32"/>
          <w:szCs w:val="26"/>
        </w:rPr>
      </w:pPr>
      <w:r>
        <w:br w:type="page"/>
      </w:r>
    </w:p>
    <w:p w:rsidR="005D70F9" w:rsidRPr="005F15DA" w:rsidRDefault="005D70F9" w:rsidP="00E36E8F">
      <w:pPr>
        <w:pStyle w:val="berschrift2"/>
      </w:pPr>
      <w:bookmarkStart w:id="106" w:name="_Toc432175627"/>
      <w:r w:rsidRPr="005F15DA">
        <w:lastRenderedPageBreak/>
        <w:t>X</w:t>
      </w:r>
      <w:r w:rsidR="00584BE9">
        <w:t>I</w:t>
      </w:r>
      <w:r w:rsidR="00161833">
        <w:t>I</w:t>
      </w:r>
      <w:r w:rsidRPr="005F15DA">
        <w:t>.</w:t>
      </w:r>
      <w:r w:rsidR="00906BEF" w:rsidRPr="005F15DA">
        <w:t xml:space="preserve"> </w:t>
      </w:r>
      <w:r w:rsidRPr="005F15DA">
        <w:t>Solidarbürgschaft</w:t>
      </w:r>
      <w:bookmarkEnd w:id="106"/>
    </w:p>
    <w:p w:rsidR="00EE0A0C" w:rsidRPr="005F15DA" w:rsidRDefault="00EE0A0C" w:rsidP="00EE0A0C">
      <w:r w:rsidRPr="005F15DA">
        <w:t>_________</w:t>
      </w:r>
      <w:r w:rsidR="00AB6DDD">
        <w:t>__________________</w:t>
      </w:r>
    </w:p>
    <w:p w:rsidR="00184516" w:rsidRPr="005F15DA" w:rsidRDefault="00184516" w:rsidP="00184516"/>
    <w:p w:rsidR="005D70F9" w:rsidRPr="005F15DA" w:rsidRDefault="00184516" w:rsidP="00184516">
      <w:pPr>
        <w:pStyle w:val="berschrift3"/>
        <w:rPr>
          <w:lang w:val="de-CH"/>
        </w:rPr>
      </w:pPr>
      <w:bookmarkStart w:id="107" w:name="_Toc432175628"/>
      <w:r w:rsidRPr="005F15DA">
        <w:rPr>
          <w:spacing w:val="-10"/>
          <w:sz w:val="26"/>
          <w:szCs w:val="26"/>
          <w:lang w:val="de-CH"/>
        </w:rPr>
        <w:t>A.</w:t>
      </w:r>
      <w:r w:rsidRPr="005F15DA">
        <w:rPr>
          <w:spacing w:val="-10"/>
          <w:sz w:val="26"/>
          <w:szCs w:val="26"/>
          <w:lang w:val="de-CH"/>
        </w:rPr>
        <w:tab/>
      </w:r>
      <w:r w:rsidR="005D70F9" w:rsidRPr="005F15DA">
        <w:rPr>
          <w:sz w:val="26"/>
          <w:szCs w:val="26"/>
          <w:lang w:val="de-CH"/>
        </w:rPr>
        <w:t>Begriff</w:t>
      </w:r>
      <w:bookmarkEnd w:id="107"/>
    </w:p>
    <w:p w:rsidR="00184516" w:rsidRPr="005F15DA" w:rsidRDefault="00184516" w:rsidP="00184516">
      <w:pPr>
        <w:tabs>
          <w:tab w:val="left" w:pos="426"/>
        </w:tabs>
      </w:pPr>
    </w:p>
    <w:p w:rsidR="00184516" w:rsidRPr="005F15DA" w:rsidRDefault="00184516" w:rsidP="00184516">
      <w:pPr>
        <w:tabs>
          <w:tab w:val="left" w:pos="426"/>
        </w:tabs>
      </w:pPr>
      <w:r w:rsidRPr="005F15DA">
        <w:t>Die Bürgschaft ist in den Art. 492 ff. 1020 ff. und 1114 OR geregelt.</w:t>
      </w:r>
    </w:p>
    <w:p w:rsidR="00184516" w:rsidRPr="005F15DA" w:rsidRDefault="00184516" w:rsidP="00184516">
      <w:pPr>
        <w:tabs>
          <w:tab w:val="left" w:pos="426"/>
        </w:tabs>
      </w:pPr>
    </w:p>
    <w:p w:rsidR="005D70F9" w:rsidRPr="005F15DA" w:rsidRDefault="005D70F9" w:rsidP="00184516">
      <w:pPr>
        <w:tabs>
          <w:tab w:val="left" w:pos="426"/>
        </w:tabs>
        <w:rPr>
          <w:spacing w:val="-2"/>
        </w:rPr>
      </w:pPr>
      <w:r w:rsidRPr="005F15DA">
        <w:t xml:space="preserve">Die Bürgschaft dient als Sicherungsmittel für Kredite, wenn der Schuldner einen Kredit nicht anderweitig (Faustpfand oder Grundpfand) sicherstellen kann. Neben dem Schuldner haftet dem Gläubiger dann nicht eine Sache, sondern das Vermögen einer Person. Der Bürge </w:t>
      </w:r>
      <w:r w:rsidRPr="005F15DA">
        <w:rPr>
          <w:spacing w:val="-2"/>
        </w:rPr>
        <w:t>ve</w:t>
      </w:r>
      <w:r w:rsidRPr="005F15DA">
        <w:rPr>
          <w:spacing w:val="-2"/>
        </w:rPr>
        <w:t>r</w:t>
      </w:r>
      <w:r w:rsidRPr="005F15DA">
        <w:rPr>
          <w:spacing w:val="-2"/>
        </w:rPr>
        <w:t>pflichtet sich gegenüber dem Gläubiger, für die Erfüllung der Schuld einzustehen, wenn der Kreditnehmer nicht mehr zahlen kann.</w:t>
      </w:r>
    </w:p>
    <w:p w:rsidR="00184516" w:rsidRPr="005F15DA" w:rsidRDefault="00184516" w:rsidP="00184516">
      <w:pPr>
        <w:tabs>
          <w:tab w:val="left" w:pos="426"/>
        </w:tabs>
        <w:rPr>
          <w:spacing w:val="-2"/>
        </w:rPr>
      </w:pPr>
    </w:p>
    <w:p w:rsidR="005D70F9" w:rsidRPr="005F15DA" w:rsidRDefault="005D70F9" w:rsidP="00184516">
      <w:pPr>
        <w:tabs>
          <w:tab w:val="left" w:pos="426"/>
        </w:tabs>
        <w:rPr>
          <w:spacing w:val="-2"/>
        </w:rPr>
      </w:pPr>
      <w:r w:rsidRPr="005F15DA">
        <w:rPr>
          <w:spacing w:val="-2"/>
        </w:rPr>
        <w:t>Es bestehen vier verschiedene Bürgschaftsarten, nämlich:</w:t>
      </w:r>
    </w:p>
    <w:p w:rsidR="005D70F9" w:rsidRPr="005F15DA" w:rsidRDefault="005D70F9" w:rsidP="00184516">
      <w:pPr>
        <w:tabs>
          <w:tab w:val="left" w:pos="426"/>
        </w:tabs>
        <w:rPr>
          <w:spacing w:val="-2"/>
        </w:rPr>
      </w:pPr>
      <w:r w:rsidRPr="005F15DA">
        <w:rPr>
          <w:spacing w:val="-2"/>
        </w:rPr>
        <w:t>-</w:t>
      </w:r>
      <w:r w:rsidRPr="005F15DA">
        <w:rPr>
          <w:spacing w:val="-2"/>
        </w:rPr>
        <w:tab/>
        <w:t>die einfache Bürgschaft (Art. 495 OR),</w:t>
      </w:r>
    </w:p>
    <w:p w:rsidR="005D70F9" w:rsidRPr="005F15DA" w:rsidRDefault="005D70F9" w:rsidP="00184516">
      <w:pPr>
        <w:tabs>
          <w:tab w:val="left" w:pos="426"/>
        </w:tabs>
        <w:rPr>
          <w:spacing w:val="-2"/>
        </w:rPr>
      </w:pPr>
      <w:r w:rsidRPr="005F15DA">
        <w:rPr>
          <w:spacing w:val="-2"/>
        </w:rPr>
        <w:t>-</w:t>
      </w:r>
      <w:r w:rsidRPr="005F15DA">
        <w:rPr>
          <w:spacing w:val="-2"/>
        </w:rPr>
        <w:tab/>
        <w:t>die Solidarbürgschaft (Art. 496 OR),</w:t>
      </w:r>
    </w:p>
    <w:p w:rsidR="005D70F9" w:rsidRPr="005F15DA" w:rsidRDefault="005D70F9" w:rsidP="00184516">
      <w:pPr>
        <w:tabs>
          <w:tab w:val="left" w:pos="426"/>
        </w:tabs>
        <w:rPr>
          <w:spacing w:val="-2"/>
        </w:rPr>
      </w:pPr>
      <w:r w:rsidRPr="005F15DA">
        <w:rPr>
          <w:spacing w:val="-2"/>
        </w:rPr>
        <w:t>-</w:t>
      </w:r>
      <w:r w:rsidRPr="005F15DA">
        <w:rPr>
          <w:spacing w:val="-2"/>
        </w:rPr>
        <w:tab/>
        <w:t>die Mitbürgschaft (Art. 497 OR) und</w:t>
      </w:r>
    </w:p>
    <w:p w:rsidR="005D70F9" w:rsidRPr="005F15DA" w:rsidRDefault="005D70F9" w:rsidP="00184516">
      <w:pPr>
        <w:tabs>
          <w:tab w:val="left" w:pos="426"/>
        </w:tabs>
        <w:rPr>
          <w:spacing w:val="-2"/>
        </w:rPr>
      </w:pPr>
      <w:r w:rsidRPr="005F15DA">
        <w:rPr>
          <w:spacing w:val="-2"/>
        </w:rPr>
        <w:t>-</w:t>
      </w:r>
      <w:r w:rsidRPr="005F15DA">
        <w:rPr>
          <w:spacing w:val="-2"/>
        </w:rPr>
        <w:tab/>
        <w:t>die Nachbürgschaft oder Rückbürgschaft (Art. 498 OR).</w:t>
      </w:r>
    </w:p>
    <w:p w:rsidR="00184516" w:rsidRPr="005F15DA" w:rsidRDefault="00184516" w:rsidP="00184516">
      <w:pPr>
        <w:tabs>
          <w:tab w:val="left" w:pos="426"/>
        </w:tabs>
        <w:rPr>
          <w:spacing w:val="-2"/>
        </w:rPr>
      </w:pPr>
    </w:p>
    <w:p w:rsidR="005D70F9" w:rsidRPr="005F15DA" w:rsidRDefault="005D70F9" w:rsidP="00184516">
      <w:pPr>
        <w:tabs>
          <w:tab w:val="left" w:pos="426"/>
        </w:tabs>
        <w:rPr>
          <w:spacing w:val="-2"/>
        </w:rPr>
      </w:pPr>
      <w:r w:rsidRPr="005F15DA">
        <w:rPr>
          <w:spacing w:val="-2"/>
        </w:rPr>
        <w:t>Die Solidarbürgschaft ist die häufigste von den Banken gewünschte Bürgschaftsart. Mittels di</w:t>
      </w:r>
      <w:r w:rsidRPr="005F15DA">
        <w:rPr>
          <w:spacing w:val="-2"/>
        </w:rPr>
        <w:t>e</w:t>
      </w:r>
      <w:r w:rsidRPr="005F15DA">
        <w:rPr>
          <w:spacing w:val="-2"/>
        </w:rPr>
        <w:t>ser kann der Bürge vor dem Hauptschuldner und vor der Verwertung der Grundpfänder belangt werden, wenn der Hauptschuldner mit seiner Leistung im Rückstand und erfolglos gemahnt worden oder seine Zahlungsunfähigkeit offenkundig ist.</w:t>
      </w:r>
    </w:p>
    <w:p w:rsidR="00184516" w:rsidRPr="005F15DA" w:rsidRDefault="00184516" w:rsidP="00184516">
      <w:pPr>
        <w:tabs>
          <w:tab w:val="left" w:pos="426"/>
        </w:tabs>
        <w:rPr>
          <w:spacing w:val="-2"/>
        </w:rPr>
      </w:pPr>
    </w:p>
    <w:p w:rsidR="005D70F9" w:rsidRPr="005F15DA" w:rsidRDefault="005D70F9" w:rsidP="00184516">
      <w:pPr>
        <w:tabs>
          <w:tab w:val="left" w:pos="426"/>
        </w:tabs>
      </w:pPr>
      <w:r w:rsidRPr="005F15DA">
        <w:rPr>
          <w:spacing w:val="-2"/>
        </w:rPr>
        <w:t xml:space="preserve">Der Bürge haftet nur bis zu dem in der Bürgschaftsurkunde angegebenen Höchstbetrag. </w:t>
      </w:r>
      <w:r w:rsidRPr="005F15DA">
        <w:rPr>
          <w:spacing w:val="-5"/>
        </w:rPr>
        <w:t xml:space="preserve">Ohne gegenteilige Vereinbarung sind darin insbesondere die Hauptschuld, ein verfallener und </w:t>
      </w:r>
      <w:r w:rsidRPr="005F15DA">
        <w:t>ein la</w:t>
      </w:r>
      <w:r w:rsidRPr="005F15DA">
        <w:t>u</w:t>
      </w:r>
      <w:r w:rsidRPr="005F15DA">
        <w:t>fender Jahreszins und die Betreibungskosten inbegriffen. Muss der Solidarbürge be</w:t>
      </w:r>
      <w:r w:rsidRPr="005F15DA">
        <w:rPr>
          <w:spacing w:val="3"/>
        </w:rPr>
        <w:t xml:space="preserve">zahlen, wird er nun Gläubiger des Kreditnehmers und er hat ein entsprechendes </w:t>
      </w:r>
      <w:r w:rsidRPr="005F15DA">
        <w:t>Rückgriffsrecht für den bezahlten Betrag.</w:t>
      </w:r>
    </w:p>
    <w:p w:rsidR="00184516" w:rsidRPr="005F15DA" w:rsidRDefault="00184516" w:rsidP="00184516">
      <w:pPr>
        <w:tabs>
          <w:tab w:val="left" w:pos="426"/>
        </w:tabs>
      </w:pPr>
    </w:p>
    <w:p w:rsidR="00184516" w:rsidRPr="005F15DA" w:rsidRDefault="00184516" w:rsidP="00184516">
      <w:pPr>
        <w:tabs>
          <w:tab w:val="left" w:pos="426"/>
        </w:tabs>
      </w:pPr>
    </w:p>
    <w:p w:rsidR="005D70F9" w:rsidRPr="005F15DA" w:rsidRDefault="00184516" w:rsidP="00184516">
      <w:pPr>
        <w:pStyle w:val="berschrift3"/>
        <w:rPr>
          <w:lang w:val="de-CH"/>
        </w:rPr>
      </w:pPr>
      <w:bookmarkStart w:id="108" w:name="_Toc432175629"/>
      <w:r w:rsidRPr="005F15DA">
        <w:rPr>
          <w:lang w:val="de-CH"/>
        </w:rPr>
        <w:t>B.</w:t>
      </w:r>
      <w:r w:rsidRPr="005F15DA">
        <w:rPr>
          <w:lang w:val="de-CH"/>
        </w:rPr>
        <w:tab/>
      </w:r>
      <w:r w:rsidR="005D70F9" w:rsidRPr="005F15DA">
        <w:rPr>
          <w:lang w:val="de-CH"/>
        </w:rPr>
        <w:t>Formvorschriften</w:t>
      </w:r>
      <w:bookmarkEnd w:id="108"/>
    </w:p>
    <w:p w:rsidR="00184516" w:rsidRPr="005F15DA" w:rsidRDefault="00184516" w:rsidP="00184516"/>
    <w:p w:rsidR="005D70F9" w:rsidRPr="005F15DA" w:rsidRDefault="005D70F9" w:rsidP="00184516">
      <w:r w:rsidRPr="005F15DA">
        <w:t xml:space="preserve">Die Bürgschaft bedarf zu ihrer Gültigkeit der schriftlichen Form (qualifizierte Schriftlichkeit). Übersteigt der Haftungsbetrag den Betrag von Fr. 2'000.- und ist der Bürge eine natürliche Person, muss die Bürgschaftserklärung öffentlich beurkundet werden (Art. 493 OR). </w:t>
      </w:r>
      <w:r w:rsidRPr="005F15DA">
        <w:rPr>
          <w:spacing w:val="-4"/>
        </w:rPr>
        <w:t>Jurist</w:t>
      </w:r>
      <w:r w:rsidRPr="005F15DA">
        <w:rPr>
          <w:spacing w:val="-4"/>
        </w:rPr>
        <w:t>i</w:t>
      </w:r>
      <w:r w:rsidRPr="005F15DA">
        <w:rPr>
          <w:spacing w:val="-4"/>
        </w:rPr>
        <w:t xml:space="preserve">sche Personen und alle </w:t>
      </w:r>
      <w:r w:rsidRPr="005F15DA">
        <w:t>Gesellschaften können sich mit einfacher Schriftlichkeit als Bürgen verpflichten.</w:t>
      </w:r>
    </w:p>
    <w:p w:rsidR="00184516" w:rsidRPr="005F15DA" w:rsidRDefault="00184516" w:rsidP="00184516"/>
    <w:p w:rsidR="005D70F9" w:rsidRPr="005F15DA" w:rsidRDefault="005D70F9" w:rsidP="00184516">
      <w:r w:rsidRPr="005F15DA">
        <w:t xml:space="preserve">Ist der Bürge verheiratet, muss der Ehegatte schriftlich zustimmen (Art. 494 OR). </w:t>
      </w:r>
    </w:p>
    <w:p w:rsidR="00184516" w:rsidRPr="005F15DA" w:rsidRDefault="00184516" w:rsidP="00184516">
      <w:pPr>
        <w:rPr>
          <w:spacing w:val="-5"/>
        </w:rPr>
      </w:pPr>
    </w:p>
    <w:p w:rsidR="005D70F9" w:rsidRPr="005F15DA" w:rsidRDefault="005D70F9" w:rsidP="00184516">
      <w:pPr>
        <w:rPr>
          <w:spacing w:val="-3"/>
        </w:rPr>
      </w:pPr>
      <w:r w:rsidRPr="005F15DA">
        <w:rPr>
          <w:spacing w:val="-5"/>
        </w:rPr>
        <w:t xml:space="preserve">Die Beurkundung einer Bürgschaftsverpflichtung ist ein ordentliches Verfahren (Selbstlesung, Art, 46 NV). Der Notar hat </w:t>
      </w:r>
      <w:r w:rsidRPr="005F15DA">
        <w:t>den Bürgen über die Folgen der Bürgschaft zu belehren. In der Regel wird die Urkunde ei</w:t>
      </w:r>
      <w:r w:rsidRPr="005F15DA">
        <w:rPr>
          <w:spacing w:val="-3"/>
        </w:rPr>
        <w:t>nem Bankenformular nachgetragen und die Urschrift wird herausgegeben (Unselbständige Urkunden, Art. 42 NV).</w:t>
      </w:r>
    </w:p>
    <w:p w:rsidR="00184516" w:rsidRPr="005F15DA" w:rsidRDefault="00184516" w:rsidP="00184516">
      <w:pPr>
        <w:rPr>
          <w:spacing w:val="-3"/>
        </w:rPr>
      </w:pPr>
    </w:p>
    <w:p w:rsidR="005D70F9" w:rsidRPr="005F15DA" w:rsidRDefault="00184516" w:rsidP="00184516">
      <w:pPr>
        <w:pStyle w:val="berschrift3"/>
        <w:rPr>
          <w:lang w:val="de-CH"/>
        </w:rPr>
      </w:pPr>
      <w:bookmarkStart w:id="109" w:name="_Toc432175630"/>
      <w:r w:rsidRPr="005F15DA">
        <w:rPr>
          <w:lang w:val="de-CH"/>
        </w:rPr>
        <w:lastRenderedPageBreak/>
        <w:t>C.</w:t>
      </w:r>
      <w:r w:rsidRPr="005F15DA">
        <w:rPr>
          <w:lang w:val="de-CH"/>
        </w:rPr>
        <w:tab/>
      </w:r>
      <w:r w:rsidR="005D70F9" w:rsidRPr="005F15DA">
        <w:rPr>
          <w:lang w:val="de-CH"/>
        </w:rPr>
        <w:t>Untergang</w:t>
      </w:r>
      <w:bookmarkEnd w:id="109"/>
    </w:p>
    <w:p w:rsidR="00184516" w:rsidRPr="005F15DA" w:rsidRDefault="00184516" w:rsidP="00184516"/>
    <w:p w:rsidR="005D70F9" w:rsidRPr="005F15DA" w:rsidRDefault="005D70F9" w:rsidP="00184516">
      <w:r w:rsidRPr="005F15DA">
        <w:t xml:space="preserve">Die Bürgschaft erlischt, wenn die Hauptschuld untergeht (Rückzahlung des Darlehens) und </w:t>
      </w:r>
      <w:r w:rsidRPr="005F15DA">
        <w:rPr>
          <w:spacing w:val="-2"/>
        </w:rPr>
        <w:t>bei natürlichen Personen von Gesetzes wegen nach 20 Jahren. Eine Bürgschaft ist grund</w:t>
      </w:r>
      <w:r w:rsidRPr="005F15DA">
        <w:t>sät</w:t>
      </w:r>
      <w:r w:rsidRPr="005F15DA">
        <w:t>z</w:t>
      </w:r>
      <w:r w:rsidRPr="005F15DA">
        <w:t xml:space="preserve">lich unkündbar. Der Bürge kann vom Kreditgeber lediglich verlangen, dass er das </w:t>
      </w:r>
      <w:r w:rsidRPr="005F15DA">
        <w:rPr>
          <w:spacing w:val="-1"/>
        </w:rPr>
        <w:t xml:space="preserve">Darlehen zur Rückzahlung kündigt. Er riskiert aber, dass er zahlen muss, wenn der </w:t>
      </w:r>
      <w:r w:rsidRPr="005F15DA">
        <w:t>Hauptschuldner in diesem Fall nicht zahlen kann.</w:t>
      </w:r>
    </w:p>
    <w:p w:rsidR="005D70F9" w:rsidRPr="005F15DA" w:rsidRDefault="005D70F9" w:rsidP="00184516"/>
    <w:p w:rsidR="005D70F9" w:rsidRPr="005F15DA" w:rsidRDefault="005D70F9" w:rsidP="00184516"/>
    <w:p w:rsidR="00AB6DDD" w:rsidRDefault="00AB6DDD">
      <w:pPr>
        <w:spacing w:after="200"/>
        <w:rPr>
          <w:rFonts w:eastAsiaTheme="majorEastAsia" w:cstheme="majorBidi"/>
          <w:b/>
          <w:bCs/>
          <w:color w:val="000000" w:themeColor="text1"/>
          <w:w w:val="114"/>
          <w:sz w:val="48"/>
          <w:szCs w:val="28"/>
        </w:rPr>
      </w:pPr>
      <w:r>
        <w:rPr>
          <w:w w:val="114"/>
        </w:rPr>
        <w:br w:type="page"/>
      </w:r>
    </w:p>
    <w:p w:rsidR="005D70F9" w:rsidRPr="005F15DA" w:rsidRDefault="005D70F9" w:rsidP="001F15CC">
      <w:pPr>
        <w:pStyle w:val="berschrift1"/>
        <w:spacing w:before="0"/>
        <w:rPr>
          <w:w w:val="114"/>
        </w:rPr>
      </w:pPr>
      <w:bookmarkStart w:id="110" w:name="_Toc432175631"/>
      <w:r w:rsidRPr="005F15DA">
        <w:rPr>
          <w:w w:val="114"/>
        </w:rPr>
        <w:lastRenderedPageBreak/>
        <w:t>Steuerrecht</w:t>
      </w:r>
      <w:bookmarkEnd w:id="110"/>
    </w:p>
    <w:p w:rsidR="00EE0A0C" w:rsidRPr="005F15DA" w:rsidRDefault="00EE0A0C" w:rsidP="00EE0A0C">
      <w:r w:rsidRPr="005F15DA">
        <w:t>______________________________________________</w:t>
      </w:r>
      <w:r>
        <w:t>____________</w:t>
      </w:r>
      <w:r w:rsidR="00AB6DDD">
        <w:t>________________</w:t>
      </w:r>
    </w:p>
    <w:p w:rsidR="00D8219C" w:rsidRPr="005F15DA" w:rsidRDefault="00D8219C" w:rsidP="00D8219C"/>
    <w:p w:rsidR="00D8219C" w:rsidRPr="005F15DA" w:rsidRDefault="00D8219C" w:rsidP="00D8219C"/>
    <w:p w:rsidR="005D70F9" w:rsidRPr="005F15DA" w:rsidRDefault="007F28BD" w:rsidP="00E36E8F">
      <w:pPr>
        <w:pStyle w:val="berschrift2"/>
      </w:pPr>
      <w:bookmarkStart w:id="111" w:name="_Toc432175632"/>
      <w:r w:rsidRPr="005F15DA">
        <w:t xml:space="preserve">I. </w:t>
      </w:r>
      <w:r w:rsidR="005D70F9" w:rsidRPr="005F15DA">
        <w:t>Einleitung</w:t>
      </w:r>
      <w:bookmarkEnd w:id="111"/>
    </w:p>
    <w:p w:rsidR="00EE0A0C" w:rsidRPr="005F15DA" w:rsidRDefault="00EE0A0C" w:rsidP="00EE0A0C">
      <w:r w:rsidRPr="005F15DA">
        <w:t>______________</w:t>
      </w:r>
      <w:r w:rsidR="00AB6DDD">
        <w:t>_</w:t>
      </w:r>
    </w:p>
    <w:p w:rsidR="00D8219C" w:rsidRPr="005F15DA" w:rsidRDefault="00D8219C" w:rsidP="006A4279">
      <w:pPr>
        <w:tabs>
          <w:tab w:val="left" w:pos="426"/>
          <w:tab w:val="left" w:pos="851"/>
        </w:tabs>
      </w:pPr>
    </w:p>
    <w:p w:rsidR="005D70F9" w:rsidRPr="005F15DA" w:rsidRDefault="005D70F9" w:rsidP="006A4279">
      <w:pPr>
        <w:tabs>
          <w:tab w:val="left" w:pos="426"/>
          <w:tab w:val="left" w:pos="851"/>
        </w:tabs>
      </w:pPr>
      <w:r w:rsidRPr="005F15DA">
        <w:t>-</w:t>
      </w:r>
      <w:r w:rsidRPr="005F15DA">
        <w:tab/>
        <w:t>Wer kann Steuern erheben?</w:t>
      </w:r>
    </w:p>
    <w:p w:rsidR="005D70F9" w:rsidRPr="005F15DA" w:rsidRDefault="005D70F9" w:rsidP="006A4279">
      <w:pPr>
        <w:tabs>
          <w:tab w:val="left" w:pos="426"/>
          <w:tab w:val="left" w:pos="851"/>
        </w:tabs>
      </w:pPr>
      <w:r w:rsidRPr="005F15DA">
        <w:rPr>
          <w:spacing w:val="-10"/>
        </w:rPr>
        <w:tab/>
        <w:t>-</w:t>
      </w:r>
      <w:r w:rsidRPr="005F15DA">
        <w:rPr>
          <w:spacing w:val="-10"/>
        </w:rPr>
        <w:tab/>
        <w:t>Bund</w:t>
      </w:r>
    </w:p>
    <w:p w:rsidR="005D70F9" w:rsidRPr="005F15DA" w:rsidRDefault="005D70F9" w:rsidP="006A4279">
      <w:pPr>
        <w:tabs>
          <w:tab w:val="left" w:pos="426"/>
          <w:tab w:val="left" w:pos="851"/>
        </w:tabs>
      </w:pPr>
      <w:r w:rsidRPr="005F15DA">
        <w:rPr>
          <w:spacing w:val="-9"/>
        </w:rPr>
        <w:tab/>
        <w:t>-</w:t>
      </w:r>
      <w:r w:rsidRPr="005F15DA">
        <w:rPr>
          <w:spacing w:val="-9"/>
        </w:rPr>
        <w:tab/>
        <w:t>Kantone</w:t>
      </w:r>
    </w:p>
    <w:p w:rsidR="005D70F9" w:rsidRPr="005F15DA" w:rsidRDefault="005D70F9" w:rsidP="006A4279">
      <w:pPr>
        <w:tabs>
          <w:tab w:val="left" w:pos="426"/>
          <w:tab w:val="left" w:pos="851"/>
        </w:tabs>
      </w:pPr>
      <w:r w:rsidRPr="005F15DA">
        <w:rPr>
          <w:spacing w:val="-6"/>
        </w:rPr>
        <w:tab/>
        <w:t>-</w:t>
      </w:r>
      <w:r w:rsidRPr="005F15DA">
        <w:rPr>
          <w:spacing w:val="-6"/>
        </w:rPr>
        <w:tab/>
        <w:t>Gemeinden</w:t>
      </w:r>
    </w:p>
    <w:p w:rsidR="005D70F9" w:rsidRPr="005F15DA" w:rsidRDefault="005D70F9" w:rsidP="006A4279">
      <w:pPr>
        <w:tabs>
          <w:tab w:val="left" w:pos="426"/>
          <w:tab w:val="left" w:pos="851"/>
        </w:tabs>
      </w:pPr>
      <w:r w:rsidRPr="005F15DA">
        <w:rPr>
          <w:spacing w:val="-6"/>
        </w:rPr>
        <w:tab/>
        <w:t>-</w:t>
      </w:r>
      <w:r w:rsidRPr="005F15DA">
        <w:rPr>
          <w:spacing w:val="-6"/>
        </w:rPr>
        <w:tab/>
        <w:t>Kirchgemeinden</w:t>
      </w:r>
    </w:p>
    <w:p w:rsidR="00D8219C" w:rsidRPr="005F15DA" w:rsidRDefault="00D8219C" w:rsidP="006A4279">
      <w:pPr>
        <w:tabs>
          <w:tab w:val="left" w:pos="426"/>
          <w:tab w:val="left" w:pos="851"/>
        </w:tabs>
      </w:pPr>
    </w:p>
    <w:p w:rsidR="005D70F9" w:rsidRPr="005F15DA" w:rsidRDefault="005D70F9" w:rsidP="006A4279">
      <w:r w:rsidRPr="005F15DA">
        <w:t>Eine der Einkommensquellen der öffentlichen Hand sind die Steuern. Steuern sind eine Gel</w:t>
      </w:r>
      <w:r w:rsidRPr="005F15DA">
        <w:t>d</w:t>
      </w:r>
      <w:r w:rsidRPr="005F15DA">
        <w:t xml:space="preserve">leistung, die der Bürger dem Staat voraussetzungslos schuldet. Der Steuerzahler als </w:t>
      </w:r>
      <w:r w:rsidRPr="005F15DA">
        <w:rPr>
          <w:spacing w:val="-1"/>
        </w:rPr>
        <w:t>steue</w:t>
      </w:r>
      <w:r w:rsidRPr="005F15DA">
        <w:rPr>
          <w:spacing w:val="-1"/>
        </w:rPr>
        <w:t>r</w:t>
      </w:r>
      <w:r w:rsidRPr="005F15DA">
        <w:rPr>
          <w:spacing w:val="-1"/>
        </w:rPr>
        <w:t xml:space="preserve">pflichtige Person ist nicht berechtigt, vom Gemeinwesen eine Gegenleistung oder </w:t>
      </w:r>
      <w:r w:rsidRPr="005F15DA">
        <w:rPr>
          <w:spacing w:val="-3"/>
        </w:rPr>
        <w:t>einen Vorteil für die Steuerentrichtung zu verlangen.</w:t>
      </w:r>
    </w:p>
    <w:p w:rsidR="006A4279" w:rsidRPr="005F15DA" w:rsidRDefault="006A4279" w:rsidP="006A4279"/>
    <w:p w:rsidR="005D70F9" w:rsidRPr="005F15DA" w:rsidRDefault="005D70F9" w:rsidP="006A4279">
      <w:r w:rsidRPr="005F15DA">
        <w:t xml:space="preserve">Die Steuern lassen sich in direkte und indirekte Steuern gliedern. Bei den </w:t>
      </w:r>
      <w:r w:rsidRPr="005F15DA">
        <w:rPr>
          <w:u w:val="single"/>
        </w:rPr>
        <w:t>direkten Steuern</w:t>
      </w:r>
      <w:r w:rsidRPr="005F15DA">
        <w:t xml:space="preserve"> wird die steuerpflichtige Person direkt belastet: Mit der Steuer wird z.B. das Einkommen </w:t>
      </w:r>
      <w:r w:rsidRPr="005F15DA">
        <w:rPr>
          <w:spacing w:val="-1"/>
        </w:rPr>
        <w:t xml:space="preserve">oder Vermögen des Steuerpflichtigen getroffen. Bei den </w:t>
      </w:r>
      <w:r w:rsidRPr="005F15DA">
        <w:rPr>
          <w:spacing w:val="-1"/>
          <w:u w:val="single"/>
        </w:rPr>
        <w:t>indirekten Steuern</w:t>
      </w:r>
      <w:r w:rsidRPr="005F15DA">
        <w:rPr>
          <w:spacing w:val="-1"/>
        </w:rPr>
        <w:t xml:space="preserve"> werden die </w:t>
      </w:r>
      <w:r w:rsidRPr="005F15DA">
        <w:rPr>
          <w:spacing w:val="-5"/>
        </w:rPr>
        <w:t>Steuern auf eine andere Person überwälzt, d.h. sie werden bei einem andern erhoben, als demje</w:t>
      </w:r>
      <w:r w:rsidRPr="005F15DA">
        <w:rPr>
          <w:spacing w:val="-1"/>
        </w:rPr>
        <w:t>nigen, den sie treffen sollen (z.B. Zölle, Mehrwertsteuer).</w:t>
      </w:r>
    </w:p>
    <w:p w:rsidR="006A4279" w:rsidRPr="005F15DA" w:rsidRDefault="006A4279" w:rsidP="006A4279"/>
    <w:p w:rsidR="005D70F9" w:rsidRPr="005F15DA" w:rsidRDefault="005D70F9" w:rsidP="006A4279">
      <w:r w:rsidRPr="005F15DA">
        <w:t xml:space="preserve">Das Recht, Steuern zu erheben, besitzen der Bund, die Kantone, die Gemeinden und die </w:t>
      </w:r>
      <w:r w:rsidRPr="005F15DA">
        <w:rPr>
          <w:spacing w:val="-7"/>
        </w:rPr>
        <w:t>Landeskirchen.</w:t>
      </w:r>
    </w:p>
    <w:p w:rsidR="00D8219C" w:rsidRPr="005F15DA" w:rsidRDefault="00D8219C" w:rsidP="006A4279"/>
    <w:p w:rsidR="006A4279" w:rsidRPr="005F15DA" w:rsidRDefault="006A4279" w:rsidP="006A4279"/>
    <w:p w:rsidR="006A4279" w:rsidRPr="005F15DA" w:rsidRDefault="006A4279" w:rsidP="006A4279"/>
    <w:p w:rsidR="00D8219C" w:rsidRPr="005F15DA" w:rsidRDefault="00D8219C" w:rsidP="006A4279"/>
    <w:p w:rsidR="005D70F9" w:rsidRPr="005F15DA" w:rsidRDefault="005D70F9" w:rsidP="00E36E8F">
      <w:pPr>
        <w:pStyle w:val="berschrift2"/>
      </w:pPr>
      <w:bookmarkStart w:id="112" w:name="_Toc432175633"/>
      <w:r w:rsidRPr="005F15DA">
        <w:t>II.</w:t>
      </w:r>
      <w:r w:rsidR="007F28BD" w:rsidRPr="005F15DA">
        <w:t xml:space="preserve"> </w:t>
      </w:r>
      <w:r w:rsidRPr="005F15DA">
        <w:t>Handänderungssteuern</w:t>
      </w:r>
      <w:bookmarkEnd w:id="112"/>
    </w:p>
    <w:p w:rsidR="00EE0A0C" w:rsidRPr="005F15DA" w:rsidRDefault="00EE0A0C" w:rsidP="00EE0A0C">
      <w:r w:rsidRPr="005F15DA">
        <w:t>______________</w:t>
      </w:r>
      <w:r w:rsidR="00AB6DDD">
        <w:t>__________________</w:t>
      </w:r>
    </w:p>
    <w:p w:rsidR="00694603" w:rsidRDefault="00694603" w:rsidP="001B5325"/>
    <w:p w:rsidR="003424E3" w:rsidRPr="005F15DA" w:rsidRDefault="003424E3" w:rsidP="001B5325"/>
    <w:p w:rsidR="00A81A8B" w:rsidRDefault="003E038E" w:rsidP="00A81A8B">
      <w:pPr>
        <w:pStyle w:val="berschrift3"/>
      </w:pPr>
      <w:bookmarkStart w:id="113" w:name="_Toc432175634"/>
      <w:r>
        <w:t>A.</w:t>
      </w:r>
      <w:r>
        <w:tab/>
      </w:r>
      <w:r w:rsidR="00A81A8B">
        <w:t>Allgemeines</w:t>
      </w:r>
      <w:bookmarkEnd w:id="113"/>
    </w:p>
    <w:p w:rsidR="003424E3" w:rsidRDefault="003424E3" w:rsidP="003424E3"/>
    <w:p w:rsidR="005D70F9" w:rsidRPr="005F15DA" w:rsidRDefault="005D70F9" w:rsidP="003424E3">
      <w:r w:rsidRPr="005F15DA">
        <w:t xml:space="preserve">Die Kantone sind zur Erhebung von </w:t>
      </w:r>
      <w:r w:rsidRPr="00A81A8B">
        <w:rPr>
          <w:b/>
        </w:rPr>
        <w:t>Handänderungssteuern</w:t>
      </w:r>
      <w:r w:rsidRPr="005F15DA">
        <w:t xml:space="preserve"> bei der Handänderung von Grundstücken befugt. Im </w:t>
      </w:r>
      <w:r w:rsidRPr="005F15DA">
        <w:rPr>
          <w:spacing w:val="-3"/>
        </w:rPr>
        <w:t>Kanton Bern richten sich die Veranlagungen nach dem Gesetz betre</w:t>
      </w:r>
      <w:r w:rsidRPr="005F15DA">
        <w:rPr>
          <w:spacing w:val="-3"/>
        </w:rPr>
        <w:t>f</w:t>
      </w:r>
      <w:r w:rsidRPr="005F15DA">
        <w:rPr>
          <w:spacing w:val="-3"/>
        </w:rPr>
        <w:t>fend die Handände</w:t>
      </w:r>
      <w:r w:rsidRPr="005F15DA">
        <w:t xml:space="preserve">rungssteuern </w:t>
      </w:r>
      <w:r w:rsidRPr="00A81A8B">
        <w:rPr>
          <w:b/>
        </w:rPr>
        <w:t>HG</w:t>
      </w:r>
      <w:r w:rsidRPr="005F15DA">
        <w:t xml:space="preserve"> (BSG Nr. 215.326.2).</w:t>
      </w:r>
    </w:p>
    <w:p w:rsidR="00694603" w:rsidRPr="005F15DA" w:rsidRDefault="00694603" w:rsidP="003424E3"/>
    <w:p w:rsidR="005D70F9" w:rsidRDefault="005D70F9" w:rsidP="003424E3">
      <w:r w:rsidRPr="005F15DA">
        <w:t>Per 1. Oktober 2009 wurde die bisherige Pfandrechtssteuer ersatzlos aufgehoben (Aufhebung Art. 13 – 15 des bisherigen HPG). Ebenfalls seit dem 1.10.2009 sind der andere Ehegatte, der andere eingetragene Partner, die Nachkommen sowie die Stief- und Pflegekinder von der Handänderungssteuer befreit (die Pflegekinder nur, wenn das Pflegeverhältnis mindestens zwei Jahre gedauert hat).</w:t>
      </w:r>
    </w:p>
    <w:p w:rsidR="00A81A8B" w:rsidRPr="005F15DA" w:rsidRDefault="00A81A8B" w:rsidP="003424E3">
      <w:r>
        <w:lastRenderedPageBreak/>
        <w:t>Per 1. Januar 2015 wurden die neuen Art. 11a und 11b HG eingefügt, wonach die Handänd</w:t>
      </w:r>
      <w:r>
        <w:t>e</w:t>
      </w:r>
      <w:r>
        <w:t>rungssteuer auf den ersten Fr. 800'000</w:t>
      </w:r>
      <w:proofErr w:type="gramStart"/>
      <w:r>
        <w:t>.—</w:t>
      </w:r>
      <w:proofErr w:type="gramEnd"/>
      <w:r>
        <w:t xml:space="preserve"> entfällt, wenn das Grundstück vom Erwerber als Hauptwohnsitz genutzt wird.</w:t>
      </w:r>
    </w:p>
    <w:p w:rsidR="00694603" w:rsidRPr="005F15DA" w:rsidRDefault="00694603" w:rsidP="003424E3"/>
    <w:p w:rsidR="005D70F9" w:rsidRDefault="005D70F9" w:rsidP="003424E3">
      <w:r w:rsidRPr="005F15DA">
        <w:t xml:space="preserve">Zusätzlich zur Handänderungssteuer bezieht das Grundbuchamt Gebühren und Auslagen gemäss der Verordnung über die Gebühren der Kantonsverwaltung (GebV, Anhang IV B, Gebührentarif der Kreisgrundbuchämter, in Kraft seit 1.11.2007). </w:t>
      </w:r>
    </w:p>
    <w:p w:rsidR="00A81A8B" w:rsidRPr="005F15DA" w:rsidRDefault="00A81A8B" w:rsidP="003424E3"/>
    <w:p w:rsidR="005D70F9" w:rsidRPr="005F15DA" w:rsidRDefault="005D70F9" w:rsidP="003424E3">
      <w:r w:rsidRPr="005F15DA">
        <w:t xml:space="preserve">Die Handänderungssteuern werden vom Grundbuchamt gestützt auf eine </w:t>
      </w:r>
      <w:r w:rsidRPr="00A81A8B">
        <w:rPr>
          <w:b/>
        </w:rPr>
        <w:t>Selbstdeklaration</w:t>
      </w:r>
      <w:r w:rsidRPr="005F15DA">
        <w:t xml:space="preserve"> veranlagt. Sie sind bei der Grundbuchanmeldung zu entrichten. Sofern die Steuern nicht in bar oder durch Bankcheck bezahlt werden, können sie vor der Grundbuchanmeldung </w:t>
      </w:r>
      <w:r w:rsidR="00A81A8B">
        <w:t xml:space="preserve">(oder spätestens innert 10 Tagen nach Grundbuchanmeldung) </w:t>
      </w:r>
      <w:r w:rsidRPr="005F15DA">
        <w:t xml:space="preserve">auf das Postkonto des </w:t>
      </w:r>
      <w:r w:rsidR="00A81A8B">
        <w:t xml:space="preserve">jeweiligen </w:t>
      </w:r>
      <w:r w:rsidRPr="005F15DA">
        <w:t xml:space="preserve">Grundbuchamtes </w:t>
      </w:r>
      <w:r w:rsidRPr="005F15DA">
        <w:rPr>
          <w:spacing w:val="-1"/>
        </w:rPr>
        <w:t>überwiesen werden.</w:t>
      </w:r>
    </w:p>
    <w:p w:rsidR="00694603" w:rsidRDefault="00694603" w:rsidP="003424E3"/>
    <w:p w:rsidR="00A81A8B" w:rsidRPr="003424E3" w:rsidRDefault="00A81A8B" w:rsidP="001B5325">
      <w:pPr>
        <w:rPr>
          <w:b/>
          <w:spacing w:val="-2"/>
        </w:rPr>
      </w:pPr>
      <w:r w:rsidRPr="003424E3">
        <w:rPr>
          <w:b/>
          <w:spacing w:val="-2"/>
        </w:rPr>
        <w:t>Steuerpflichtige Handänderungen:</w:t>
      </w:r>
    </w:p>
    <w:p w:rsidR="00A81A8B" w:rsidRDefault="005D70F9" w:rsidP="003424E3">
      <w:r w:rsidRPr="005F15DA">
        <w:t xml:space="preserve">Beim Erwerb </w:t>
      </w:r>
      <w:r w:rsidR="00A81A8B">
        <w:t>von Grundstücken ist eine Handänderungssteuer zu entrichten. Als Grundstücke gelten (Art. 4 HG):</w:t>
      </w:r>
    </w:p>
    <w:p w:rsidR="00A81A8B" w:rsidRPr="00A81A8B" w:rsidRDefault="00A81A8B" w:rsidP="009D34F3">
      <w:pPr>
        <w:pStyle w:val="Listenabsatz"/>
        <w:numPr>
          <w:ilvl w:val="0"/>
          <w:numId w:val="66"/>
        </w:numPr>
      </w:pPr>
      <w:r w:rsidRPr="00A81A8B">
        <w:t>Liegenschaften und Wasserkräfte</w:t>
      </w:r>
    </w:p>
    <w:p w:rsidR="00A81A8B" w:rsidRPr="003424E3" w:rsidRDefault="00A81A8B" w:rsidP="009D34F3">
      <w:pPr>
        <w:pStyle w:val="Listenabsatz"/>
        <w:numPr>
          <w:ilvl w:val="0"/>
          <w:numId w:val="66"/>
        </w:numPr>
        <w:rPr>
          <w:spacing w:val="-5"/>
        </w:rPr>
      </w:pPr>
      <w:r w:rsidRPr="00A81A8B">
        <w:t>im Grundbuch aufgenommene selbstständige</w:t>
      </w:r>
      <w:r w:rsidR="005D70F9" w:rsidRPr="00A81A8B">
        <w:t xml:space="preserve"> </w:t>
      </w:r>
      <w:r w:rsidRPr="003424E3">
        <w:rPr>
          <w:spacing w:val="-5"/>
        </w:rPr>
        <w:t>und dauernde Rechte</w:t>
      </w:r>
      <w:r w:rsidR="005D70F9" w:rsidRPr="003424E3">
        <w:rPr>
          <w:spacing w:val="-5"/>
        </w:rPr>
        <w:t xml:space="preserve"> </w:t>
      </w:r>
      <w:r w:rsidRPr="003424E3">
        <w:rPr>
          <w:spacing w:val="-5"/>
        </w:rPr>
        <w:t xml:space="preserve">wie </w:t>
      </w:r>
      <w:r w:rsidR="005D70F9" w:rsidRPr="003424E3">
        <w:rPr>
          <w:spacing w:val="-5"/>
        </w:rPr>
        <w:t>Baurecht</w:t>
      </w:r>
      <w:r w:rsidRPr="003424E3">
        <w:rPr>
          <w:spacing w:val="-5"/>
        </w:rPr>
        <w:t>, Que</w:t>
      </w:r>
      <w:r w:rsidRPr="003424E3">
        <w:rPr>
          <w:spacing w:val="-5"/>
        </w:rPr>
        <w:t>l</w:t>
      </w:r>
      <w:r w:rsidRPr="003424E3">
        <w:rPr>
          <w:spacing w:val="-5"/>
        </w:rPr>
        <w:t>lenrecht, Ausbeutungsrecht und Wasserrechtsverleihungen</w:t>
      </w:r>
    </w:p>
    <w:p w:rsidR="00A81A8B" w:rsidRPr="003424E3" w:rsidRDefault="00A81A8B" w:rsidP="009D34F3">
      <w:pPr>
        <w:pStyle w:val="Listenabsatz"/>
        <w:numPr>
          <w:ilvl w:val="0"/>
          <w:numId w:val="66"/>
        </w:numPr>
        <w:rPr>
          <w:spacing w:val="-5"/>
        </w:rPr>
      </w:pPr>
      <w:r w:rsidRPr="003424E3">
        <w:rPr>
          <w:spacing w:val="-5"/>
        </w:rPr>
        <w:t>Kuhrechte</w:t>
      </w:r>
    </w:p>
    <w:p w:rsidR="00A81A8B" w:rsidRPr="003424E3" w:rsidRDefault="00A81A8B" w:rsidP="009D34F3">
      <w:pPr>
        <w:pStyle w:val="Listenabsatz"/>
        <w:numPr>
          <w:ilvl w:val="0"/>
          <w:numId w:val="66"/>
        </w:numPr>
        <w:rPr>
          <w:spacing w:val="-5"/>
        </w:rPr>
      </w:pPr>
      <w:r w:rsidRPr="003424E3">
        <w:rPr>
          <w:spacing w:val="-5"/>
        </w:rPr>
        <w:t>Bauwerke, die aus einem anderen Grund einen besonderen Eigentümer haben</w:t>
      </w:r>
    </w:p>
    <w:p w:rsidR="00A81A8B" w:rsidRPr="003424E3" w:rsidRDefault="00A81A8B" w:rsidP="009D34F3">
      <w:pPr>
        <w:pStyle w:val="Listenabsatz"/>
        <w:numPr>
          <w:ilvl w:val="0"/>
          <w:numId w:val="66"/>
        </w:numPr>
        <w:rPr>
          <w:spacing w:val="-5"/>
        </w:rPr>
      </w:pPr>
      <w:r w:rsidRPr="003424E3">
        <w:rPr>
          <w:spacing w:val="-5"/>
        </w:rPr>
        <w:t>Bergwerke</w:t>
      </w:r>
    </w:p>
    <w:p w:rsidR="00A81A8B" w:rsidRPr="003424E3" w:rsidRDefault="00A81A8B" w:rsidP="009D34F3">
      <w:pPr>
        <w:pStyle w:val="Listenabsatz"/>
        <w:numPr>
          <w:ilvl w:val="0"/>
          <w:numId w:val="66"/>
        </w:numPr>
        <w:rPr>
          <w:spacing w:val="-5"/>
        </w:rPr>
      </w:pPr>
      <w:r w:rsidRPr="003424E3">
        <w:rPr>
          <w:spacing w:val="-5"/>
        </w:rPr>
        <w:t xml:space="preserve">Miteigentumsanteile </w:t>
      </w:r>
      <w:r w:rsidR="005D70F9" w:rsidRPr="003424E3">
        <w:rPr>
          <w:spacing w:val="-5"/>
        </w:rPr>
        <w:t>an Grundstücken</w:t>
      </w:r>
      <w:r w:rsidRPr="003424E3">
        <w:rPr>
          <w:spacing w:val="-5"/>
        </w:rPr>
        <w:t>.</w:t>
      </w:r>
    </w:p>
    <w:p w:rsidR="00A81A8B" w:rsidRDefault="00A81A8B" w:rsidP="003424E3">
      <w:pPr>
        <w:rPr>
          <w:spacing w:val="-5"/>
        </w:rPr>
      </w:pPr>
    </w:p>
    <w:p w:rsidR="00A81A8B" w:rsidRDefault="00A81A8B" w:rsidP="003424E3">
      <w:r>
        <w:t>S</w:t>
      </w:r>
      <w:r w:rsidR="005D70F9" w:rsidRPr="005F15DA">
        <w:t>teuerpflichtig ist der Erwerber</w:t>
      </w:r>
      <w:r>
        <w:t xml:space="preserve"> (Art. 2 HG)</w:t>
      </w:r>
      <w:r w:rsidR="005D70F9" w:rsidRPr="005F15DA">
        <w:t xml:space="preserve">. </w:t>
      </w:r>
    </w:p>
    <w:p w:rsidR="00A81A8B" w:rsidRDefault="00A81A8B" w:rsidP="003424E3"/>
    <w:p w:rsidR="005D70F9" w:rsidRPr="005F15DA" w:rsidRDefault="005D70F9" w:rsidP="003424E3">
      <w:pPr>
        <w:rPr>
          <w:spacing w:val="-3"/>
        </w:rPr>
      </w:pPr>
      <w:r w:rsidRPr="005F15DA">
        <w:t xml:space="preserve">Als Handänderungen </w:t>
      </w:r>
      <w:r w:rsidRPr="005F15DA">
        <w:rPr>
          <w:spacing w:val="-3"/>
        </w:rPr>
        <w:t>bezeichnet das Gesetz namentlich jeden Eigentumsübergang, die Erric</w:t>
      </w:r>
      <w:r w:rsidRPr="005F15DA">
        <w:rPr>
          <w:spacing w:val="-3"/>
        </w:rPr>
        <w:t>h</w:t>
      </w:r>
      <w:r w:rsidRPr="005F15DA">
        <w:rPr>
          <w:spacing w:val="-3"/>
        </w:rPr>
        <w:t>tung von selbstständigen und dauernden Rechten</w:t>
      </w:r>
      <w:r w:rsidR="00A81A8B">
        <w:rPr>
          <w:spacing w:val="-3"/>
        </w:rPr>
        <w:t xml:space="preserve"> zugunsten von Drittpersonen</w:t>
      </w:r>
      <w:r w:rsidRPr="005F15DA">
        <w:rPr>
          <w:spacing w:val="-3"/>
        </w:rPr>
        <w:t>, die Übertragung von Kauf</w:t>
      </w:r>
      <w:r w:rsidR="00A81A8B">
        <w:rPr>
          <w:spacing w:val="-3"/>
        </w:rPr>
        <w:t>s</w:t>
      </w:r>
      <w:r w:rsidRPr="005F15DA">
        <w:rPr>
          <w:spacing w:val="-3"/>
        </w:rPr>
        <w:t>rech</w:t>
      </w:r>
      <w:r w:rsidR="00A81A8B">
        <w:rPr>
          <w:spacing w:val="-3"/>
        </w:rPr>
        <w:t>ten usw. (Art. 5 HG).</w:t>
      </w:r>
    </w:p>
    <w:p w:rsidR="00694603" w:rsidRPr="005F15DA" w:rsidRDefault="00694603" w:rsidP="003424E3">
      <w:pPr>
        <w:rPr>
          <w:spacing w:val="-1"/>
        </w:rPr>
      </w:pPr>
    </w:p>
    <w:p w:rsidR="005D70F9" w:rsidRPr="005F15DA" w:rsidRDefault="005D70F9" w:rsidP="003424E3">
      <w:r w:rsidRPr="005F15DA">
        <w:rPr>
          <w:spacing w:val="-1"/>
        </w:rPr>
        <w:t xml:space="preserve">Die Steuer wird aufgrund der gesamten Gegenleistung für den Erwerb des Grundstückes </w:t>
      </w:r>
      <w:r w:rsidRPr="005F15DA">
        <w:t>b</w:t>
      </w:r>
      <w:r w:rsidRPr="005F15DA">
        <w:t>e</w:t>
      </w:r>
      <w:r w:rsidRPr="005F15DA">
        <w:t>messen</w:t>
      </w:r>
      <w:r w:rsidR="00A81A8B">
        <w:t xml:space="preserve"> (Art. 6 – 10 HG)</w:t>
      </w:r>
      <w:r w:rsidRPr="005F15DA">
        <w:t>. Sind zeitlich wiederkehrende Beträge vereinbart, so gilt als Gege</w:t>
      </w:r>
      <w:r w:rsidRPr="005F15DA">
        <w:t>n</w:t>
      </w:r>
      <w:r w:rsidRPr="005F15DA">
        <w:t>leistung die Summe aller während der ersten 20 Vertragsjahre zu erbringenden Leistungen.</w:t>
      </w:r>
    </w:p>
    <w:p w:rsidR="00694603" w:rsidRPr="005F15DA" w:rsidRDefault="00694603" w:rsidP="003424E3">
      <w:pPr>
        <w:rPr>
          <w:spacing w:val="-3"/>
        </w:rPr>
      </w:pPr>
    </w:p>
    <w:p w:rsidR="005D70F9" w:rsidRPr="005F15DA" w:rsidRDefault="005D70F9" w:rsidP="003424E3">
      <w:r w:rsidRPr="005F15DA">
        <w:rPr>
          <w:spacing w:val="-3"/>
        </w:rPr>
        <w:t>Die Handänderungssteuer beträgt 1,8 Prozent; Steuern unter Fr. 100</w:t>
      </w:r>
      <w:proofErr w:type="gramStart"/>
      <w:r w:rsidRPr="005F15DA">
        <w:rPr>
          <w:spacing w:val="-3"/>
        </w:rPr>
        <w:t>.—</w:t>
      </w:r>
      <w:proofErr w:type="gramEnd"/>
      <w:r w:rsidRPr="005F15DA">
        <w:rPr>
          <w:spacing w:val="-3"/>
        </w:rPr>
        <w:t xml:space="preserve"> werden nicht erhoben. </w:t>
      </w:r>
    </w:p>
    <w:p w:rsidR="00694603" w:rsidRDefault="00694603" w:rsidP="003424E3"/>
    <w:p w:rsidR="00A81A8B" w:rsidRPr="003424E3" w:rsidRDefault="00A81A8B" w:rsidP="001B5325">
      <w:pPr>
        <w:rPr>
          <w:b/>
          <w:spacing w:val="-2"/>
        </w:rPr>
      </w:pPr>
      <w:r w:rsidRPr="003424E3">
        <w:rPr>
          <w:b/>
          <w:spacing w:val="-2"/>
        </w:rPr>
        <w:t>Ausnahmen von der Steuerpflicht:</w:t>
      </w:r>
    </w:p>
    <w:p w:rsidR="003424E3" w:rsidRDefault="005D70F9" w:rsidP="003424E3">
      <w:r w:rsidRPr="005F15DA">
        <w:t>Grundsätzlich keine Handänderungssteuer ist zu entrichten</w:t>
      </w:r>
      <w:r w:rsidR="003424E3">
        <w:t xml:space="preserve"> (Art. 12 HG):</w:t>
      </w:r>
    </w:p>
    <w:p w:rsidR="003424E3" w:rsidRDefault="003424E3" w:rsidP="009D34F3">
      <w:pPr>
        <w:pStyle w:val="Listenabsatz"/>
        <w:numPr>
          <w:ilvl w:val="0"/>
          <w:numId w:val="67"/>
        </w:numPr>
      </w:pPr>
      <w:r>
        <w:t>beim Erbgang,</w:t>
      </w:r>
    </w:p>
    <w:p w:rsidR="003424E3" w:rsidRDefault="003424E3" w:rsidP="009D34F3">
      <w:pPr>
        <w:pStyle w:val="Listenabsatz"/>
        <w:numPr>
          <w:ilvl w:val="0"/>
          <w:numId w:val="67"/>
        </w:numPr>
      </w:pPr>
      <w:r>
        <w:t>bei der güterrechtlichen Auseinandersetzung,</w:t>
      </w:r>
    </w:p>
    <w:p w:rsidR="003424E3" w:rsidRDefault="003424E3" w:rsidP="009D34F3">
      <w:pPr>
        <w:pStyle w:val="Listenabsatz"/>
        <w:numPr>
          <w:ilvl w:val="0"/>
          <w:numId w:val="67"/>
        </w:numPr>
      </w:pPr>
      <w:r>
        <w:t>bei der Schenkung,</w:t>
      </w:r>
    </w:p>
    <w:p w:rsidR="003424E3" w:rsidRDefault="003424E3" w:rsidP="009D34F3">
      <w:pPr>
        <w:pStyle w:val="Listenabsatz"/>
        <w:numPr>
          <w:ilvl w:val="0"/>
          <w:numId w:val="67"/>
        </w:numPr>
      </w:pPr>
      <w:r>
        <w:t>beim Erwerb durch den anderen Ehegatten / eingetragenen Partner,</w:t>
      </w:r>
    </w:p>
    <w:p w:rsidR="003424E3" w:rsidRDefault="003424E3" w:rsidP="009D34F3">
      <w:pPr>
        <w:pStyle w:val="Listenabsatz"/>
        <w:numPr>
          <w:ilvl w:val="0"/>
          <w:numId w:val="67"/>
        </w:numPr>
      </w:pPr>
      <w:r>
        <w:t xml:space="preserve">beim Erwerb durch </w:t>
      </w:r>
      <w:r w:rsidR="005D70F9" w:rsidRPr="003424E3">
        <w:t>Nachkommen, Stief- und Pflegekinder</w:t>
      </w:r>
      <w:r>
        <w:t xml:space="preserve"> (das Pflegeverhältnis muss aber mindestens 2 Jahre gedauert haben),</w:t>
      </w:r>
    </w:p>
    <w:p w:rsidR="003424E3" w:rsidRDefault="003424E3" w:rsidP="009D34F3">
      <w:pPr>
        <w:pStyle w:val="Listenabsatz"/>
        <w:numPr>
          <w:ilvl w:val="0"/>
          <w:numId w:val="67"/>
        </w:numPr>
      </w:pPr>
      <w:r>
        <w:lastRenderedPageBreak/>
        <w:t>teilweise bei der Erbteilung (hier ist das Verhältnis zwischen Erwerber und Erblasser massgebend),</w:t>
      </w:r>
    </w:p>
    <w:p w:rsidR="003424E3" w:rsidRDefault="003424E3" w:rsidP="009D34F3">
      <w:pPr>
        <w:pStyle w:val="Listenabsatz"/>
        <w:numPr>
          <w:ilvl w:val="0"/>
          <w:numId w:val="67"/>
        </w:numPr>
      </w:pPr>
      <w:r>
        <w:t>beim Erbvorbezug, wenn ausschliesslich Grundpfandschulden zugunsten von Dritten übernommen werden, und/oder wenn Wohnrecht/Nutzniessung/Verpfründung verei</w:t>
      </w:r>
      <w:r>
        <w:t>n</w:t>
      </w:r>
      <w:r>
        <w:t>bart werden, und/oder wenn Ausgleichszahlungen an Miterben geleistet werden,</w:t>
      </w:r>
    </w:p>
    <w:p w:rsidR="003424E3" w:rsidRDefault="003424E3" w:rsidP="009D34F3">
      <w:pPr>
        <w:pStyle w:val="Listenabsatz"/>
        <w:numPr>
          <w:ilvl w:val="0"/>
          <w:numId w:val="67"/>
        </w:numPr>
      </w:pPr>
      <w:r>
        <w:t>bei Wohnrecht und Nutzniessung ist zu beachten, dass diese Dienstbarkeiten im Grundbuch eingetragen werden müssen,</w:t>
      </w:r>
    </w:p>
    <w:p w:rsidR="003424E3" w:rsidRDefault="003424E3" w:rsidP="009D34F3">
      <w:pPr>
        <w:pStyle w:val="Listenabsatz"/>
        <w:numPr>
          <w:ilvl w:val="0"/>
          <w:numId w:val="67"/>
        </w:numPr>
      </w:pPr>
      <w:r>
        <w:t>usw.</w:t>
      </w:r>
    </w:p>
    <w:p w:rsidR="00D8219C" w:rsidRDefault="00D8219C" w:rsidP="003424E3"/>
    <w:p w:rsidR="003424E3" w:rsidRPr="005F15DA" w:rsidRDefault="003424E3" w:rsidP="003424E3"/>
    <w:p w:rsidR="003424E3" w:rsidRDefault="003424E3" w:rsidP="003424E3">
      <w:pPr>
        <w:pStyle w:val="berschrift3"/>
      </w:pPr>
      <w:bookmarkStart w:id="114" w:name="_Toc432175635"/>
      <w:r>
        <w:t>B.</w:t>
      </w:r>
      <w:r w:rsidR="003E038E">
        <w:tab/>
      </w:r>
      <w:r>
        <w:t>Handänderungssteuer</w:t>
      </w:r>
      <w:r w:rsidR="003E038E">
        <w:t>n</w:t>
      </w:r>
      <w:r>
        <w:t xml:space="preserve"> Normalfall (Art. 11 HG)</w:t>
      </w:r>
      <w:bookmarkEnd w:id="114"/>
    </w:p>
    <w:p w:rsidR="003424E3" w:rsidRDefault="003424E3" w:rsidP="003424E3"/>
    <w:p w:rsidR="003424E3" w:rsidRPr="005F15DA" w:rsidRDefault="003424E3" w:rsidP="003424E3">
      <w:r w:rsidRPr="005F15DA">
        <w:t>Die Handänderungssteuer beträgt 1,8 Prozent; Steuern unter Fr. 100</w:t>
      </w:r>
      <w:proofErr w:type="gramStart"/>
      <w:r w:rsidRPr="005F15DA">
        <w:t>.—</w:t>
      </w:r>
      <w:proofErr w:type="gramEnd"/>
      <w:r w:rsidRPr="005F15DA">
        <w:t xml:space="preserve"> werden nicht erh</w:t>
      </w:r>
      <w:r w:rsidRPr="005F15DA">
        <w:t>o</w:t>
      </w:r>
      <w:r w:rsidRPr="005F15DA">
        <w:t xml:space="preserve">ben. </w:t>
      </w:r>
    </w:p>
    <w:p w:rsidR="003424E3" w:rsidRPr="005F15DA" w:rsidRDefault="003424E3" w:rsidP="003424E3">
      <w:pPr>
        <w:rPr>
          <w:spacing w:val="-1"/>
        </w:rPr>
      </w:pPr>
    </w:p>
    <w:p w:rsidR="003424E3" w:rsidRPr="005F15DA" w:rsidRDefault="003424E3" w:rsidP="003424E3">
      <w:r w:rsidRPr="005F15DA">
        <w:rPr>
          <w:spacing w:val="-1"/>
        </w:rPr>
        <w:t xml:space="preserve">Die Steuer wird aufgrund der gesamten Gegenleistung für den Erwerb des Grundstückes </w:t>
      </w:r>
      <w:r w:rsidRPr="005F15DA">
        <w:rPr>
          <w:spacing w:val="-2"/>
        </w:rPr>
        <w:t>b</w:t>
      </w:r>
      <w:r w:rsidRPr="005F15DA">
        <w:rPr>
          <w:spacing w:val="-2"/>
        </w:rPr>
        <w:t>e</w:t>
      </w:r>
      <w:r w:rsidRPr="005F15DA">
        <w:rPr>
          <w:spacing w:val="-2"/>
        </w:rPr>
        <w:t>messen</w:t>
      </w:r>
      <w:r>
        <w:rPr>
          <w:spacing w:val="-2"/>
        </w:rPr>
        <w:t xml:space="preserve"> (Art. 6 – 10 HG)</w:t>
      </w:r>
      <w:r w:rsidRPr="005F15DA">
        <w:rPr>
          <w:spacing w:val="-2"/>
        </w:rPr>
        <w:t>. Sind zeitlich wiederkehrende Beträge vereinbart, so gilt als Gegenlei</w:t>
      </w:r>
      <w:r w:rsidRPr="005F15DA">
        <w:rPr>
          <w:spacing w:val="-2"/>
        </w:rPr>
        <w:t>s</w:t>
      </w:r>
      <w:r w:rsidRPr="005F15DA">
        <w:rPr>
          <w:spacing w:val="-2"/>
        </w:rPr>
        <w:t>tung die Summe aller während der ersten 20 Vertragsjahre zu erbringenden Leistungen.</w:t>
      </w:r>
    </w:p>
    <w:p w:rsidR="003424E3" w:rsidRDefault="003424E3" w:rsidP="003424E3">
      <w:pPr>
        <w:rPr>
          <w:spacing w:val="-2"/>
        </w:rPr>
      </w:pPr>
    </w:p>
    <w:p w:rsidR="00D8219C" w:rsidRPr="005F15DA" w:rsidRDefault="00D8219C" w:rsidP="003424E3"/>
    <w:p w:rsidR="005D70F9" w:rsidRPr="005F15DA" w:rsidRDefault="005D70F9" w:rsidP="009B4F39">
      <w:pPr>
        <w:tabs>
          <w:tab w:val="left" w:pos="426"/>
          <w:tab w:val="left" w:pos="5812"/>
          <w:tab w:val="decimal" w:pos="7088"/>
          <w:tab w:val="left" w:pos="7655"/>
          <w:tab w:val="decimal" w:pos="8647"/>
        </w:tabs>
      </w:pPr>
      <w:r w:rsidRPr="00597A21">
        <w:rPr>
          <w:b/>
        </w:rPr>
        <w:t>Beispiele</w:t>
      </w:r>
      <w:r w:rsidRPr="005F15DA">
        <w:t>:</w:t>
      </w:r>
      <w:r w:rsidRPr="005F15DA">
        <w:tab/>
      </w:r>
      <w:r w:rsidRPr="005F15DA">
        <w:rPr>
          <w:u w:val="single"/>
        </w:rPr>
        <w:t>Gegenleistung</w:t>
      </w:r>
      <w:r w:rsidRPr="005F15DA">
        <w:t>:</w:t>
      </w:r>
      <w:r w:rsidRPr="005F15DA">
        <w:tab/>
      </w:r>
      <w:r w:rsidRPr="005F15DA">
        <w:rPr>
          <w:u w:val="single"/>
        </w:rPr>
        <w:t>Steuer</w:t>
      </w:r>
      <w:r w:rsidRPr="005F15DA">
        <w:t>:</w:t>
      </w:r>
    </w:p>
    <w:p w:rsidR="005D70F9" w:rsidRPr="005F15DA" w:rsidRDefault="005D70F9" w:rsidP="009B4F39">
      <w:pPr>
        <w:tabs>
          <w:tab w:val="left" w:pos="426"/>
          <w:tab w:val="left" w:pos="5812"/>
          <w:tab w:val="decimal" w:pos="7088"/>
          <w:tab w:val="left" w:pos="7655"/>
          <w:tab w:val="decimal" w:pos="8647"/>
        </w:tabs>
      </w:pPr>
      <w:r w:rsidRPr="005F15DA">
        <w:t>1.</w:t>
      </w:r>
      <w:r w:rsidRPr="005F15DA">
        <w:tab/>
        <w:t xml:space="preserve">A verkauft dem B ein Grundstück für </w:t>
      </w:r>
      <w:r w:rsidRPr="005F15DA">
        <w:tab/>
        <w:t>Fr.</w:t>
      </w:r>
      <w:r w:rsidRPr="005F15DA">
        <w:tab/>
        <w:t>400'000</w:t>
      </w:r>
      <w:proofErr w:type="gramStart"/>
      <w:r w:rsidRPr="005F15DA">
        <w:t>.—</w:t>
      </w:r>
      <w:proofErr w:type="gramEnd"/>
    </w:p>
    <w:p w:rsidR="005D70F9" w:rsidRPr="005F15DA" w:rsidRDefault="005D70F9" w:rsidP="009B4F39">
      <w:pPr>
        <w:tabs>
          <w:tab w:val="left" w:pos="426"/>
          <w:tab w:val="left" w:pos="5812"/>
          <w:tab w:val="decimal" w:pos="7088"/>
          <w:tab w:val="left" w:pos="7655"/>
          <w:tab w:val="decimal" w:pos="8647"/>
        </w:tabs>
      </w:pPr>
      <w:r w:rsidRPr="005F15DA">
        <w:tab/>
        <w:t>Steuer 1,8% von Fr. 400'000.— =</w:t>
      </w:r>
      <w:r w:rsidRPr="005F15DA">
        <w:tab/>
      </w:r>
      <w:r w:rsidRPr="005F15DA">
        <w:tab/>
      </w:r>
      <w:r w:rsidRPr="005F15DA">
        <w:tab/>
        <w:t>Fr.</w:t>
      </w:r>
      <w:r w:rsidRPr="005F15DA">
        <w:tab/>
        <w:t>7'200.—</w:t>
      </w:r>
    </w:p>
    <w:p w:rsidR="001B5325" w:rsidRPr="005F15DA" w:rsidRDefault="001B5325" w:rsidP="009B4F39">
      <w:pPr>
        <w:tabs>
          <w:tab w:val="left" w:pos="426"/>
          <w:tab w:val="left" w:pos="5812"/>
          <w:tab w:val="decimal" w:pos="7088"/>
          <w:tab w:val="left" w:pos="7655"/>
          <w:tab w:val="decimal" w:pos="8647"/>
        </w:tabs>
      </w:pPr>
    </w:p>
    <w:p w:rsidR="005D70F9" w:rsidRPr="005F15DA" w:rsidRDefault="005D70F9" w:rsidP="009B4F39">
      <w:pPr>
        <w:tabs>
          <w:tab w:val="left" w:pos="426"/>
          <w:tab w:val="left" w:pos="5812"/>
          <w:tab w:val="decimal" w:pos="7088"/>
          <w:tab w:val="left" w:pos="7655"/>
          <w:tab w:val="decimal" w:pos="8647"/>
        </w:tabs>
      </w:pPr>
      <w:r w:rsidRPr="005F15DA">
        <w:t>2.</w:t>
      </w:r>
      <w:r w:rsidRPr="005F15DA">
        <w:tab/>
        <w:t xml:space="preserve">A verkauft dem B ein Grundstück für </w:t>
      </w:r>
      <w:r w:rsidRPr="005F15DA">
        <w:tab/>
        <w:t>Fr.</w:t>
      </w:r>
      <w:r w:rsidRPr="005F15DA">
        <w:tab/>
        <w:t>2'500</w:t>
      </w:r>
      <w:proofErr w:type="gramStart"/>
      <w:r w:rsidRPr="005F15DA">
        <w:t>.—</w:t>
      </w:r>
      <w:proofErr w:type="gramEnd"/>
    </w:p>
    <w:p w:rsidR="005D70F9" w:rsidRPr="005F15DA" w:rsidRDefault="005D70F9" w:rsidP="009B4F39">
      <w:pPr>
        <w:tabs>
          <w:tab w:val="left" w:pos="426"/>
          <w:tab w:val="left" w:pos="5812"/>
          <w:tab w:val="decimal" w:pos="7088"/>
          <w:tab w:val="left" w:pos="7655"/>
          <w:tab w:val="decimal" w:pos="8647"/>
        </w:tabs>
        <w:ind w:left="426"/>
      </w:pPr>
      <w:r w:rsidRPr="005F15DA">
        <w:t>Steuer 1,8% von Fr. 2’500.— = Fr. 45.—,</w:t>
      </w:r>
    </w:p>
    <w:p w:rsidR="009B4F39" w:rsidRPr="005F15DA" w:rsidRDefault="005D70F9" w:rsidP="009B4F39">
      <w:pPr>
        <w:tabs>
          <w:tab w:val="left" w:pos="426"/>
          <w:tab w:val="left" w:pos="5812"/>
          <w:tab w:val="decimal" w:pos="7088"/>
          <w:tab w:val="left" w:pos="7655"/>
          <w:tab w:val="decimal" w:pos="8647"/>
        </w:tabs>
        <w:ind w:left="426"/>
      </w:pPr>
      <w:r w:rsidRPr="005F15DA">
        <w:t>Handänderungssteuern unter Fr. 100</w:t>
      </w:r>
      <w:proofErr w:type="gramStart"/>
      <w:r w:rsidRPr="005F15DA">
        <w:t>.—</w:t>
      </w:r>
      <w:proofErr w:type="gramEnd"/>
      <w:r w:rsidRPr="005F15DA">
        <w:t xml:space="preserve"> werden nicht </w:t>
      </w:r>
    </w:p>
    <w:p w:rsidR="005D70F9" w:rsidRPr="005F15DA" w:rsidRDefault="005D70F9" w:rsidP="009B4F39">
      <w:pPr>
        <w:tabs>
          <w:tab w:val="left" w:pos="426"/>
          <w:tab w:val="left" w:pos="5812"/>
          <w:tab w:val="decimal" w:pos="7088"/>
          <w:tab w:val="left" w:pos="7655"/>
          <w:tab w:val="decimal" w:pos="8647"/>
        </w:tabs>
        <w:ind w:left="426"/>
      </w:pPr>
      <w:r w:rsidRPr="005F15DA">
        <w:t>erhoben, also</w:t>
      </w:r>
      <w:r w:rsidRPr="005F15DA">
        <w:tab/>
      </w:r>
      <w:r w:rsidR="009B4F39" w:rsidRPr="005F15DA">
        <w:tab/>
      </w:r>
      <w:r w:rsidR="009B4F39" w:rsidRPr="005F15DA">
        <w:tab/>
      </w:r>
      <w:r w:rsidRPr="005F15DA">
        <w:t>Fr.</w:t>
      </w:r>
      <w:r w:rsidRPr="005F15DA">
        <w:tab/>
        <w:t>0</w:t>
      </w:r>
      <w:proofErr w:type="gramStart"/>
      <w:r w:rsidRPr="005F15DA">
        <w:t>.—</w:t>
      </w:r>
      <w:proofErr w:type="gramEnd"/>
    </w:p>
    <w:p w:rsidR="001B5325" w:rsidRPr="005F15DA" w:rsidRDefault="001B5325" w:rsidP="009B4F39">
      <w:pPr>
        <w:tabs>
          <w:tab w:val="left" w:pos="426"/>
          <w:tab w:val="left" w:pos="5812"/>
          <w:tab w:val="decimal" w:pos="7088"/>
          <w:tab w:val="left" w:pos="7655"/>
          <w:tab w:val="decimal" w:pos="8647"/>
        </w:tabs>
      </w:pPr>
    </w:p>
    <w:p w:rsidR="005D70F9" w:rsidRPr="005F15DA" w:rsidRDefault="005D70F9" w:rsidP="009B4F39">
      <w:pPr>
        <w:tabs>
          <w:tab w:val="left" w:pos="426"/>
          <w:tab w:val="left" w:pos="5812"/>
          <w:tab w:val="decimal" w:pos="7088"/>
          <w:tab w:val="left" w:pos="7655"/>
          <w:tab w:val="decimal" w:pos="8647"/>
        </w:tabs>
      </w:pPr>
      <w:r w:rsidRPr="005F15DA">
        <w:t>3.</w:t>
      </w:r>
      <w:r w:rsidRPr="005F15DA">
        <w:tab/>
        <w:t xml:space="preserve">A verkauft dem B ein Grundstück für </w:t>
      </w:r>
      <w:r w:rsidRPr="005F15DA">
        <w:tab/>
        <w:t>Fr.</w:t>
      </w:r>
      <w:r w:rsidRPr="005F15DA">
        <w:tab/>
        <w:t>400'000</w:t>
      </w:r>
      <w:proofErr w:type="gramStart"/>
      <w:r w:rsidRPr="005F15DA">
        <w:t>.—</w:t>
      </w:r>
      <w:proofErr w:type="gramEnd"/>
    </w:p>
    <w:p w:rsidR="005D70F9" w:rsidRPr="005F15DA" w:rsidRDefault="005D70F9" w:rsidP="009B4F39">
      <w:pPr>
        <w:tabs>
          <w:tab w:val="left" w:pos="426"/>
          <w:tab w:val="left" w:pos="5812"/>
          <w:tab w:val="decimal" w:pos="7088"/>
          <w:tab w:val="left" w:pos="7655"/>
          <w:tab w:val="decimal" w:pos="8647"/>
        </w:tabs>
        <w:ind w:left="426"/>
      </w:pPr>
      <w:r w:rsidRPr="005F15DA">
        <w:t>und Inventar (Zugehör) für</w:t>
      </w:r>
      <w:r w:rsidRPr="005F15DA">
        <w:tab/>
      </w:r>
      <w:r w:rsidRPr="005F15DA">
        <w:rPr>
          <w:u w:val="single"/>
        </w:rPr>
        <w:t>Fr.</w:t>
      </w:r>
      <w:r w:rsidRPr="005F15DA">
        <w:rPr>
          <w:u w:val="single"/>
        </w:rPr>
        <w:tab/>
        <w:t>20'000.—</w:t>
      </w:r>
    </w:p>
    <w:p w:rsidR="005D70F9" w:rsidRPr="005F15DA" w:rsidRDefault="005D70F9" w:rsidP="009B4F39">
      <w:pPr>
        <w:tabs>
          <w:tab w:val="left" w:pos="426"/>
          <w:tab w:val="left" w:pos="5812"/>
          <w:tab w:val="decimal" w:pos="7088"/>
          <w:tab w:val="left" w:pos="7655"/>
          <w:tab w:val="decimal" w:pos="8647"/>
        </w:tabs>
        <w:ind w:left="426"/>
      </w:pPr>
      <w:r w:rsidRPr="005F15DA">
        <w:t>Total Kaufpreis</w:t>
      </w:r>
      <w:r w:rsidRPr="005F15DA">
        <w:tab/>
        <w:t>Fr.</w:t>
      </w:r>
      <w:r w:rsidRPr="005F15DA">
        <w:tab/>
        <w:t>420'000.—</w:t>
      </w:r>
    </w:p>
    <w:p w:rsidR="005D70F9" w:rsidRPr="005F15DA" w:rsidRDefault="005D70F9" w:rsidP="009B4F39">
      <w:pPr>
        <w:tabs>
          <w:tab w:val="left" w:pos="426"/>
          <w:tab w:val="left" w:pos="5812"/>
          <w:tab w:val="decimal" w:pos="7088"/>
          <w:tab w:val="left" w:pos="7655"/>
          <w:tab w:val="decimal" w:pos="8647"/>
        </w:tabs>
        <w:ind w:left="426"/>
      </w:pPr>
      <w:r w:rsidRPr="005F15DA">
        <w:t xml:space="preserve">Steuer 1,8% von Fr. 400'000.— = </w:t>
      </w:r>
      <w:r w:rsidRPr="005F15DA">
        <w:tab/>
      </w:r>
      <w:r w:rsidRPr="005F15DA">
        <w:tab/>
      </w:r>
      <w:r w:rsidRPr="005F15DA">
        <w:tab/>
        <w:t>Fr.</w:t>
      </w:r>
      <w:r w:rsidRPr="005F15DA">
        <w:tab/>
        <w:t>7'200.—</w:t>
      </w:r>
    </w:p>
    <w:p w:rsidR="005D70F9" w:rsidRPr="005F15DA" w:rsidRDefault="005D70F9" w:rsidP="009B4F39">
      <w:pPr>
        <w:tabs>
          <w:tab w:val="left" w:pos="426"/>
          <w:tab w:val="left" w:pos="5812"/>
          <w:tab w:val="decimal" w:pos="7088"/>
          <w:tab w:val="left" w:pos="7655"/>
          <w:tab w:val="decimal" w:pos="8647"/>
        </w:tabs>
        <w:ind w:left="426"/>
      </w:pPr>
      <w:r w:rsidRPr="005F15DA">
        <w:t>Auf „Zugehör“ wird keine Steuer erhoben.</w:t>
      </w:r>
    </w:p>
    <w:p w:rsidR="00597A21" w:rsidRDefault="00597A21" w:rsidP="009B4F39">
      <w:pPr>
        <w:tabs>
          <w:tab w:val="left" w:pos="426"/>
          <w:tab w:val="left" w:pos="5812"/>
          <w:tab w:val="decimal" w:pos="7088"/>
          <w:tab w:val="left" w:pos="7655"/>
          <w:tab w:val="decimal" w:pos="8647"/>
        </w:tabs>
      </w:pPr>
    </w:p>
    <w:p w:rsidR="005D70F9" w:rsidRPr="005F15DA" w:rsidRDefault="005D70F9" w:rsidP="009B4F39">
      <w:pPr>
        <w:tabs>
          <w:tab w:val="left" w:pos="426"/>
          <w:tab w:val="left" w:pos="5812"/>
          <w:tab w:val="decimal" w:pos="7088"/>
          <w:tab w:val="left" w:pos="7655"/>
          <w:tab w:val="decimal" w:pos="8647"/>
        </w:tabs>
      </w:pPr>
      <w:r w:rsidRPr="005F15DA">
        <w:t>4.</w:t>
      </w:r>
      <w:r w:rsidRPr="005F15DA">
        <w:tab/>
        <w:t xml:space="preserve">Der Vater verkauft seinem Sohn </w:t>
      </w:r>
    </w:p>
    <w:p w:rsidR="005D70F9" w:rsidRPr="005F15DA" w:rsidRDefault="005D70F9" w:rsidP="009B4F39">
      <w:pPr>
        <w:tabs>
          <w:tab w:val="left" w:pos="426"/>
          <w:tab w:val="left" w:pos="5812"/>
          <w:tab w:val="decimal" w:pos="7088"/>
          <w:tab w:val="left" w:pos="7655"/>
          <w:tab w:val="decimal" w:pos="8647"/>
        </w:tabs>
        <w:ind w:left="426"/>
      </w:pPr>
      <w:r w:rsidRPr="005F15DA">
        <w:t xml:space="preserve">ein Grundstück für </w:t>
      </w:r>
      <w:r w:rsidRPr="005F15DA">
        <w:tab/>
        <w:t>Fr.</w:t>
      </w:r>
      <w:r w:rsidRPr="005F15DA">
        <w:tab/>
        <w:t>400'000.—</w:t>
      </w:r>
    </w:p>
    <w:p w:rsidR="005D70F9" w:rsidRPr="005F15DA" w:rsidRDefault="005D70F9" w:rsidP="009B4F39">
      <w:pPr>
        <w:tabs>
          <w:tab w:val="left" w:pos="426"/>
          <w:tab w:val="left" w:pos="5812"/>
          <w:tab w:val="decimal" w:pos="7088"/>
          <w:tab w:val="left" w:pos="7655"/>
          <w:tab w:val="decimal" w:pos="8647"/>
        </w:tabs>
        <w:ind w:left="426"/>
      </w:pPr>
      <w:r w:rsidRPr="005F15DA">
        <w:t>Steuerfrei =</w:t>
      </w:r>
      <w:r w:rsidRPr="005F15DA">
        <w:tab/>
      </w:r>
      <w:r w:rsidRPr="005F15DA">
        <w:tab/>
      </w:r>
      <w:r w:rsidRPr="005F15DA">
        <w:tab/>
        <w:t>Fr.</w:t>
      </w:r>
      <w:r w:rsidRPr="005F15DA">
        <w:tab/>
        <w:t>0.—</w:t>
      </w:r>
    </w:p>
    <w:p w:rsidR="001B5325" w:rsidRPr="005F15DA" w:rsidRDefault="001B5325" w:rsidP="009B4F39">
      <w:pPr>
        <w:tabs>
          <w:tab w:val="left" w:pos="426"/>
          <w:tab w:val="left" w:pos="5812"/>
          <w:tab w:val="decimal" w:pos="7088"/>
          <w:tab w:val="left" w:pos="7655"/>
          <w:tab w:val="decimal" w:pos="8647"/>
        </w:tabs>
      </w:pPr>
    </w:p>
    <w:p w:rsidR="005D70F9" w:rsidRPr="005F15DA" w:rsidRDefault="005D70F9" w:rsidP="009B4F39">
      <w:pPr>
        <w:tabs>
          <w:tab w:val="left" w:pos="426"/>
          <w:tab w:val="left" w:pos="5812"/>
          <w:tab w:val="decimal" w:pos="7088"/>
          <w:tab w:val="left" w:pos="7655"/>
          <w:tab w:val="decimal" w:pos="8647"/>
        </w:tabs>
      </w:pPr>
      <w:r w:rsidRPr="005F15DA">
        <w:t>5.</w:t>
      </w:r>
      <w:r w:rsidRPr="005F15DA">
        <w:tab/>
        <w:t xml:space="preserve">Der Sohn verkauft seinem Vater </w:t>
      </w:r>
    </w:p>
    <w:p w:rsidR="005D70F9" w:rsidRPr="005F15DA" w:rsidRDefault="005D70F9" w:rsidP="009B4F39">
      <w:pPr>
        <w:tabs>
          <w:tab w:val="left" w:pos="426"/>
          <w:tab w:val="left" w:pos="5812"/>
          <w:tab w:val="decimal" w:pos="7088"/>
          <w:tab w:val="left" w:pos="7655"/>
          <w:tab w:val="decimal" w:pos="8647"/>
        </w:tabs>
        <w:ind w:left="426"/>
      </w:pPr>
      <w:r w:rsidRPr="005F15DA">
        <w:t xml:space="preserve">ein Grundstück für </w:t>
      </w:r>
      <w:r w:rsidRPr="005F15DA">
        <w:tab/>
        <w:t>Fr.</w:t>
      </w:r>
      <w:r w:rsidRPr="005F15DA">
        <w:tab/>
        <w:t>400'000.—</w:t>
      </w:r>
    </w:p>
    <w:p w:rsidR="005D70F9" w:rsidRPr="005F15DA" w:rsidRDefault="005D70F9" w:rsidP="009B4F39">
      <w:pPr>
        <w:tabs>
          <w:tab w:val="left" w:pos="426"/>
          <w:tab w:val="left" w:pos="5812"/>
          <w:tab w:val="decimal" w:pos="7088"/>
          <w:tab w:val="left" w:pos="7655"/>
          <w:tab w:val="decimal" w:pos="8647"/>
        </w:tabs>
        <w:ind w:left="426"/>
      </w:pPr>
      <w:r w:rsidRPr="005F15DA">
        <w:t>Steuer 1,8% von Fr. 400'000.— =</w:t>
      </w:r>
      <w:r w:rsidRPr="005F15DA">
        <w:tab/>
      </w:r>
      <w:r w:rsidRPr="005F15DA">
        <w:tab/>
      </w:r>
      <w:r w:rsidRPr="005F15DA">
        <w:tab/>
        <w:t>Fr.</w:t>
      </w:r>
      <w:r w:rsidRPr="005F15DA">
        <w:tab/>
        <w:t>7'200.—</w:t>
      </w:r>
    </w:p>
    <w:p w:rsidR="005D70F9" w:rsidRPr="005F15DA" w:rsidRDefault="005D70F9" w:rsidP="009B4F39">
      <w:pPr>
        <w:tabs>
          <w:tab w:val="left" w:pos="426"/>
          <w:tab w:val="left" w:pos="5812"/>
          <w:tab w:val="decimal" w:pos="7088"/>
          <w:tab w:val="left" w:pos="7655"/>
          <w:tab w:val="decimal" w:pos="8647"/>
        </w:tabs>
        <w:ind w:left="426"/>
      </w:pPr>
      <w:r w:rsidRPr="005F15DA">
        <w:t>Die Steuerprivilegierung gilt nur gegenüber Nachkommen!</w:t>
      </w:r>
    </w:p>
    <w:p w:rsidR="001B5325" w:rsidRPr="005F15DA" w:rsidRDefault="001B5325" w:rsidP="009B4F39">
      <w:pPr>
        <w:tabs>
          <w:tab w:val="left" w:pos="426"/>
          <w:tab w:val="left" w:pos="5812"/>
          <w:tab w:val="decimal" w:pos="7088"/>
          <w:tab w:val="left" w:pos="7655"/>
          <w:tab w:val="decimal" w:pos="8647"/>
        </w:tabs>
      </w:pPr>
    </w:p>
    <w:p w:rsidR="00AB6DDD" w:rsidRDefault="00AB6DDD">
      <w:pPr>
        <w:spacing w:after="200"/>
      </w:pPr>
      <w:r>
        <w:br w:type="page"/>
      </w:r>
    </w:p>
    <w:p w:rsidR="005D70F9" w:rsidRPr="005F15DA" w:rsidRDefault="005D70F9" w:rsidP="009B4F39">
      <w:pPr>
        <w:tabs>
          <w:tab w:val="left" w:pos="426"/>
          <w:tab w:val="left" w:pos="5812"/>
          <w:tab w:val="decimal" w:pos="7088"/>
          <w:tab w:val="left" w:pos="7655"/>
          <w:tab w:val="decimal" w:pos="8647"/>
        </w:tabs>
      </w:pPr>
      <w:r w:rsidRPr="005F15DA">
        <w:lastRenderedPageBreak/>
        <w:t>6.</w:t>
      </w:r>
      <w:r w:rsidRPr="005F15DA">
        <w:tab/>
        <w:t>A verkauft der Einwohnergemeinde X</w:t>
      </w:r>
    </w:p>
    <w:p w:rsidR="005D70F9" w:rsidRPr="005F15DA" w:rsidRDefault="005D70F9" w:rsidP="009B4F39">
      <w:pPr>
        <w:tabs>
          <w:tab w:val="left" w:pos="426"/>
          <w:tab w:val="left" w:pos="5812"/>
          <w:tab w:val="decimal" w:pos="7088"/>
          <w:tab w:val="left" w:pos="7655"/>
          <w:tab w:val="decimal" w:pos="8647"/>
        </w:tabs>
        <w:ind w:left="426"/>
      </w:pPr>
      <w:r w:rsidRPr="005F15DA">
        <w:t>ein Grundstück für</w:t>
      </w:r>
      <w:r w:rsidRPr="005F15DA">
        <w:tab/>
        <w:t>Fr.</w:t>
      </w:r>
      <w:r w:rsidRPr="005F15DA">
        <w:tab/>
        <w:t>400'000.—</w:t>
      </w:r>
    </w:p>
    <w:p w:rsidR="005D70F9" w:rsidRPr="005F15DA" w:rsidRDefault="005D70F9" w:rsidP="009B4F39">
      <w:pPr>
        <w:tabs>
          <w:tab w:val="left" w:pos="426"/>
          <w:tab w:val="left" w:pos="5812"/>
          <w:tab w:val="decimal" w:pos="7088"/>
          <w:tab w:val="left" w:pos="7655"/>
          <w:tab w:val="decimal" w:pos="8647"/>
        </w:tabs>
        <w:ind w:left="426"/>
      </w:pPr>
      <w:r w:rsidRPr="005F15DA">
        <w:t xml:space="preserve">Steuer </w:t>
      </w:r>
      <w:r w:rsidRPr="005F15DA">
        <w:tab/>
      </w:r>
      <w:r w:rsidRPr="005F15DA">
        <w:tab/>
      </w:r>
      <w:r w:rsidRPr="005F15DA">
        <w:tab/>
        <w:t>Fr.</w:t>
      </w:r>
      <w:r w:rsidRPr="005F15DA">
        <w:tab/>
        <w:t>0.—</w:t>
      </w:r>
    </w:p>
    <w:p w:rsidR="005D70F9" w:rsidRPr="005F15DA" w:rsidRDefault="005D70F9" w:rsidP="009B4F39">
      <w:pPr>
        <w:tabs>
          <w:tab w:val="left" w:pos="426"/>
          <w:tab w:val="left" w:pos="5812"/>
          <w:tab w:val="decimal" w:pos="7088"/>
          <w:tab w:val="left" w:pos="7655"/>
          <w:tab w:val="decimal" w:pos="8647"/>
        </w:tabs>
        <w:ind w:left="426"/>
      </w:pPr>
      <w:r w:rsidRPr="005F15DA">
        <w:t>der Erwerb durch das Gemeinwesen unterliegt nicht der</w:t>
      </w:r>
    </w:p>
    <w:p w:rsidR="005D70F9" w:rsidRPr="005F15DA" w:rsidRDefault="005D70F9" w:rsidP="009B4F39">
      <w:pPr>
        <w:tabs>
          <w:tab w:val="left" w:pos="426"/>
          <w:tab w:val="left" w:pos="5812"/>
          <w:tab w:val="decimal" w:pos="7088"/>
          <w:tab w:val="left" w:pos="7655"/>
          <w:tab w:val="decimal" w:pos="8647"/>
        </w:tabs>
        <w:ind w:left="426"/>
      </w:pPr>
      <w:r w:rsidRPr="005F15DA">
        <w:t xml:space="preserve">Handänderungssteuer. </w:t>
      </w:r>
    </w:p>
    <w:p w:rsidR="001B5325" w:rsidRPr="005F15DA" w:rsidRDefault="001B5325" w:rsidP="009B4F39">
      <w:pPr>
        <w:tabs>
          <w:tab w:val="left" w:pos="426"/>
          <w:tab w:val="left" w:pos="5812"/>
          <w:tab w:val="decimal" w:pos="7088"/>
          <w:tab w:val="left" w:pos="7655"/>
          <w:tab w:val="decimal" w:pos="8647"/>
        </w:tabs>
      </w:pPr>
    </w:p>
    <w:p w:rsidR="005D70F9" w:rsidRPr="005F15DA" w:rsidRDefault="005D70F9" w:rsidP="009B4F39">
      <w:pPr>
        <w:tabs>
          <w:tab w:val="left" w:pos="426"/>
          <w:tab w:val="left" w:pos="5812"/>
          <w:tab w:val="decimal" w:pos="7088"/>
          <w:tab w:val="left" w:pos="7655"/>
          <w:tab w:val="decimal" w:pos="8647"/>
        </w:tabs>
        <w:ind w:left="426" w:right="3492" w:hanging="426"/>
      </w:pPr>
      <w:r w:rsidRPr="005F15DA">
        <w:t>7.</w:t>
      </w:r>
      <w:r w:rsidRPr="005F15DA">
        <w:tab/>
        <w:t>A verkauft dem B Bauland und verpflichtet sich, auf diesem</w:t>
      </w:r>
      <w:r w:rsidR="009B4F39" w:rsidRPr="005F15DA">
        <w:t xml:space="preserve"> </w:t>
      </w:r>
      <w:r w:rsidRPr="005F15DA">
        <w:t>Grundstück ein Einfamilienhaus zu erstellen und dieses dem B</w:t>
      </w:r>
      <w:r w:rsidR="009B4F39" w:rsidRPr="005F15DA">
        <w:t xml:space="preserve"> </w:t>
      </w:r>
      <w:r w:rsidRPr="005F15DA">
        <w:t>schlüsselfertig zu übergeben (</w:t>
      </w:r>
      <w:r w:rsidR="009B4F39" w:rsidRPr="005F15DA">
        <w:t>Kauf- und Werkvertrag). Im Zeit</w:t>
      </w:r>
      <w:r w:rsidRPr="005F15DA">
        <w:t>punkt des Eige</w:t>
      </w:r>
      <w:r w:rsidRPr="005F15DA">
        <w:t>n</w:t>
      </w:r>
      <w:r w:rsidRPr="005F15DA">
        <w:t>tumsüberganges ist das Grundstück unüberbaut.</w:t>
      </w:r>
    </w:p>
    <w:p w:rsidR="005D70F9" w:rsidRPr="005F15DA" w:rsidRDefault="005D70F9" w:rsidP="009B4F39">
      <w:pPr>
        <w:tabs>
          <w:tab w:val="left" w:pos="426"/>
          <w:tab w:val="left" w:pos="5812"/>
          <w:tab w:val="decimal" w:pos="7088"/>
          <w:tab w:val="left" w:pos="7655"/>
          <w:tab w:val="decimal" w:pos="8647"/>
        </w:tabs>
        <w:ind w:left="426"/>
      </w:pPr>
      <w:r w:rsidRPr="005F15DA">
        <w:t>Kaufpreis Bauland</w:t>
      </w:r>
      <w:r w:rsidRPr="005F15DA">
        <w:tab/>
        <w:t>Fr.</w:t>
      </w:r>
      <w:r w:rsidRPr="005F15DA">
        <w:tab/>
        <w:t>200'000.—</w:t>
      </w:r>
    </w:p>
    <w:p w:rsidR="005D70F9" w:rsidRPr="005F15DA" w:rsidRDefault="005D70F9" w:rsidP="009B4F39">
      <w:pPr>
        <w:tabs>
          <w:tab w:val="left" w:pos="426"/>
          <w:tab w:val="left" w:pos="5812"/>
          <w:tab w:val="decimal" w:pos="7088"/>
          <w:tab w:val="left" w:pos="7655"/>
          <w:tab w:val="decimal" w:pos="8647"/>
        </w:tabs>
        <w:ind w:left="426"/>
      </w:pPr>
      <w:r w:rsidRPr="005F15DA">
        <w:t>Werkpreis Einfamilienhaus</w:t>
      </w:r>
      <w:r w:rsidRPr="005F15DA">
        <w:tab/>
        <w:t>Fr.</w:t>
      </w:r>
      <w:r w:rsidRPr="005F15DA">
        <w:tab/>
        <w:t>600'000.—</w:t>
      </w:r>
    </w:p>
    <w:p w:rsidR="005D70F9" w:rsidRPr="005F15DA" w:rsidRDefault="005D70F9" w:rsidP="009B4F39">
      <w:pPr>
        <w:tabs>
          <w:tab w:val="left" w:pos="426"/>
          <w:tab w:val="left" w:pos="5812"/>
          <w:tab w:val="decimal" w:pos="7088"/>
          <w:tab w:val="left" w:pos="7655"/>
          <w:tab w:val="decimal" w:pos="8647"/>
        </w:tabs>
        <w:ind w:left="426"/>
      </w:pPr>
      <w:r w:rsidRPr="005F15DA">
        <w:t>Wert angefangene Baute</w:t>
      </w:r>
      <w:r w:rsidRPr="005F15DA">
        <w:tab/>
        <w:t>Fr.</w:t>
      </w:r>
      <w:r w:rsidRPr="005F15DA">
        <w:tab/>
        <w:t>0.—</w:t>
      </w:r>
    </w:p>
    <w:p w:rsidR="005D70F9" w:rsidRPr="005F15DA" w:rsidRDefault="005D70F9" w:rsidP="009B4F39">
      <w:pPr>
        <w:tabs>
          <w:tab w:val="left" w:pos="426"/>
          <w:tab w:val="left" w:pos="5812"/>
          <w:tab w:val="decimal" w:pos="7088"/>
          <w:tab w:val="left" w:pos="7655"/>
          <w:tab w:val="decimal" w:pos="8647"/>
        </w:tabs>
        <w:ind w:left="426"/>
      </w:pPr>
      <w:r w:rsidRPr="005F15DA">
        <w:t>Steuer 1,8% von Fr. 800'000.— =</w:t>
      </w:r>
      <w:r w:rsidRPr="005F15DA">
        <w:tab/>
      </w:r>
      <w:r w:rsidRPr="005F15DA">
        <w:tab/>
      </w:r>
      <w:r w:rsidRPr="005F15DA">
        <w:tab/>
        <w:t>Fr.</w:t>
      </w:r>
      <w:r w:rsidRPr="005F15DA">
        <w:tab/>
        <w:t>14'400.—</w:t>
      </w:r>
    </w:p>
    <w:p w:rsidR="005D70F9" w:rsidRPr="005F15DA" w:rsidRDefault="005D70F9" w:rsidP="009B4F39">
      <w:pPr>
        <w:tabs>
          <w:tab w:val="left" w:pos="426"/>
          <w:tab w:val="left" w:pos="5812"/>
          <w:tab w:val="decimal" w:pos="7088"/>
          <w:tab w:val="left" w:pos="7655"/>
          <w:tab w:val="decimal" w:pos="8647"/>
        </w:tabs>
        <w:ind w:left="426"/>
      </w:pPr>
      <w:r w:rsidRPr="005F15DA">
        <w:t>Beim Kauf- und Werkvertrag ist die Handänderungssteuer auf</w:t>
      </w:r>
    </w:p>
    <w:p w:rsidR="005D70F9" w:rsidRPr="005F15DA" w:rsidRDefault="005D70F9" w:rsidP="009B4F39">
      <w:pPr>
        <w:tabs>
          <w:tab w:val="left" w:pos="426"/>
          <w:tab w:val="left" w:pos="5812"/>
          <w:tab w:val="decimal" w:pos="7088"/>
          <w:tab w:val="left" w:pos="7655"/>
          <w:tab w:val="decimal" w:pos="8647"/>
        </w:tabs>
        <w:ind w:left="426"/>
      </w:pPr>
      <w:r w:rsidRPr="005F15DA">
        <w:t>dem gesamten Kauf- und Werkpreis geschuldet.</w:t>
      </w:r>
    </w:p>
    <w:p w:rsidR="001B5325" w:rsidRPr="005F15DA" w:rsidRDefault="001B5325" w:rsidP="009B4F39">
      <w:pPr>
        <w:tabs>
          <w:tab w:val="left" w:pos="426"/>
          <w:tab w:val="left" w:pos="5812"/>
          <w:tab w:val="decimal" w:pos="7088"/>
          <w:tab w:val="left" w:pos="7655"/>
          <w:tab w:val="decimal" w:pos="8647"/>
        </w:tabs>
      </w:pPr>
    </w:p>
    <w:p w:rsidR="005D70F9" w:rsidRPr="005F15DA" w:rsidRDefault="005D70F9" w:rsidP="009B4F39">
      <w:pPr>
        <w:tabs>
          <w:tab w:val="left" w:pos="426"/>
          <w:tab w:val="left" w:pos="5812"/>
          <w:tab w:val="decimal" w:pos="7088"/>
          <w:tab w:val="left" w:pos="7655"/>
          <w:tab w:val="decimal" w:pos="8647"/>
        </w:tabs>
      </w:pPr>
      <w:r w:rsidRPr="005F15DA">
        <w:t>8.</w:t>
      </w:r>
      <w:r w:rsidRPr="005F15DA">
        <w:tab/>
        <w:t>A verkauft dem B Bauland für</w:t>
      </w:r>
      <w:r w:rsidRPr="005F15DA">
        <w:tab/>
        <w:t>Fr.</w:t>
      </w:r>
      <w:r w:rsidRPr="005F15DA">
        <w:tab/>
        <w:t>200'000</w:t>
      </w:r>
      <w:proofErr w:type="gramStart"/>
      <w:r w:rsidRPr="005F15DA">
        <w:t>.—</w:t>
      </w:r>
      <w:proofErr w:type="gramEnd"/>
    </w:p>
    <w:p w:rsidR="005D70F9" w:rsidRPr="005F15DA" w:rsidRDefault="005D70F9" w:rsidP="009B4F39">
      <w:pPr>
        <w:tabs>
          <w:tab w:val="left" w:pos="426"/>
          <w:tab w:val="left" w:pos="5812"/>
          <w:tab w:val="decimal" w:pos="7088"/>
          <w:tab w:val="left" w:pos="7655"/>
          <w:tab w:val="decimal" w:pos="8647"/>
        </w:tabs>
        <w:ind w:left="426" w:right="3492"/>
      </w:pPr>
      <w:r w:rsidRPr="005F15DA">
        <w:t>B hat bereits vor dem Eigentumsübergang mit Z</w:t>
      </w:r>
      <w:r w:rsidRPr="005F15DA">
        <w:t>u</w:t>
      </w:r>
      <w:r w:rsidRPr="005F15DA">
        <w:t>stimmung des A</w:t>
      </w:r>
      <w:r w:rsidR="009B4F39" w:rsidRPr="005F15DA">
        <w:t xml:space="preserve"> </w:t>
      </w:r>
      <w:r w:rsidRPr="005F15DA">
        <w:t>mit dem Bau eines Wohnhauses b</w:t>
      </w:r>
      <w:r w:rsidRPr="005F15DA">
        <w:t>e</w:t>
      </w:r>
      <w:r w:rsidRPr="005F15DA">
        <w:t>gonnen, das er nachweisbar</w:t>
      </w:r>
      <w:r w:rsidR="009B4F39" w:rsidRPr="005F15DA">
        <w:t xml:space="preserve"> </w:t>
      </w:r>
      <w:r w:rsidRPr="005F15DA">
        <w:t>aus eigenen Mitteln f</w:t>
      </w:r>
      <w:r w:rsidRPr="005F15DA">
        <w:t>i</w:t>
      </w:r>
      <w:r w:rsidRPr="005F15DA">
        <w:t>nanziert hat.</w:t>
      </w:r>
    </w:p>
    <w:p w:rsidR="005D70F9" w:rsidRPr="005F15DA" w:rsidRDefault="005D70F9" w:rsidP="009B4F39">
      <w:pPr>
        <w:tabs>
          <w:tab w:val="left" w:pos="426"/>
          <w:tab w:val="left" w:pos="5812"/>
          <w:tab w:val="decimal" w:pos="7088"/>
          <w:tab w:val="left" w:pos="7655"/>
          <w:tab w:val="decimal" w:pos="8647"/>
        </w:tabs>
        <w:ind w:left="426"/>
      </w:pPr>
      <w:r w:rsidRPr="005F15DA">
        <w:t>Steuer = 1,8% vom Baulandpreis,</w:t>
      </w:r>
      <w:r w:rsidRPr="005F15DA">
        <w:tab/>
      </w:r>
      <w:r w:rsidRPr="005F15DA">
        <w:tab/>
      </w:r>
      <w:r w:rsidRPr="005F15DA">
        <w:tab/>
        <w:t>Fr.</w:t>
      </w:r>
      <w:r w:rsidRPr="005F15DA">
        <w:tab/>
        <w:t>3'600.—</w:t>
      </w:r>
    </w:p>
    <w:p w:rsidR="001B5325" w:rsidRPr="005F15DA" w:rsidRDefault="001B5325" w:rsidP="009B4F39">
      <w:pPr>
        <w:tabs>
          <w:tab w:val="left" w:pos="426"/>
          <w:tab w:val="left" w:pos="5812"/>
          <w:tab w:val="decimal" w:pos="7088"/>
          <w:tab w:val="left" w:pos="7655"/>
          <w:tab w:val="decimal" w:pos="8647"/>
        </w:tabs>
      </w:pPr>
    </w:p>
    <w:p w:rsidR="005D70F9" w:rsidRPr="005F15DA" w:rsidRDefault="005D70F9" w:rsidP="009B4F39">
      <w:pPr>
        <w:tabs>
          <w:tab w:val="left" w:pos="426"/>
          <w:tab w:val="left" w:pos="5812"/>
          <w:tab w:val="decimal" w:pos="7088"/>
          <w:tab w:val="left" w:pos="7655"/>
          <w:tab w:val="decimal" w:pos="8647"/>
        </w:tabs>
      </w:pPr>
      <w:r w:rsidRPr="005F15DA">
        <w:t>9.</w:t>
      </w:r>
      <w:r w:rsidRPr="005F15DA">
        <w:tab/>
        <w:t xml:space="preserve">A verkauft dem B Bauland für </w:t>
      </w:r>
      <w:r w:rsidRPr="005F15DA">
        <w:tab/>
        <w:t>Fr.</w:t>
      </w:r>
      <w:r w:rsidRPr="005F15DA">
        <w:tab/>
        <w:t>250'000</w:t>
      </w:r>
      <w:proofErr w:type="gramStart"/>
      <w:r w:rsidRPr="005F15DA">
        <w:t>.—</w:t>
      </w:r>
      <w:proofErr w:type="gramEnd"/>
    </w:p>
    <w:p w:rsidR="005D70F9" w:rsidRPr="005F15DA" w:rsidRDefault="005D70F9" w:rsidP="009B4F39">
      <w:pPr>
        <w:tabs>
          <w:tab w:val="left" w:pos="426"/>
          <w:tab w:val="left" w:pos="5812"/>
          <w:tab w:val="decimal" w:pos="7088"/>
          <w:tab w:val="left" w:pos="7655"/>
          <w:tab w:val="decimal" w:pos="8647"/>
        </w:tabs>
        <w:ind w:left="426" w:right="3492"/>
      </w:pPr>
      <w:r w:rsidRPr="005F15DA">
        <w:t>(B will als Bauherr das Grundstück selber</w:t>
      </w:r>
      <w:r w:rsidR="009B4F39" w:rsidRPr="005F15DA">
        <w:t xml:space="preserve"> </w:t>
      </w:r>
      <w:r w:rsidRPr="005F15DA">
        <w:t>überbauen; kein Kauf- und Werkvertrag.)</w:t>
      </w:r>
    </w:p>
    <w:p w:rsidR="005D70F9" w:rsidRPr="005F15DA" w:rsidRDefault="005D70F9" w:rsidP="009B4F39">
      <w:pPr>
        <w:tabs>
          <w:tab w:val="left" w:pos="426"/>
          <w:tab w:val="left" w:pos="5812"/>
          <w:tab w:val="decimal" w:pos="7088"/>
          <w:tab w:val="left" w:pos="7655"/>
          <w:tab w:val="decimal" w:pos="8647"/>
        </w:tabs>
        <w:ind w:left="426" w:right="3492"/>
      </w:pPr>
      <w:r w:rsidRPr="005F15DA">
        <w:t>+ Erschliessungskosten</w:t>
      </w:r>
      <w:r w:rsidRPr="005F15DA">
        <w:tab/>
      </w:r>
      <w:r w:rsidRPr="005F15DA">
        <w:rPr>
          <w:u w:val="single"/>
        </w:rPr>
        <w:t>Fr.</w:t>
      </w:r>
      <w:r w:rsidRPr="005F15DA">
        <w:rPr>
          <w:u w:val="single"/>
        </w:rPr>
        <w:tab/>
        <w:t>30'000.—</w:t>
      </w:r>
    </w:p>
    <w:p w:rsidR="005D70F9" w:rsidRPr="005F15DA" w:rsidRDefault="005D70F9" w:rsidP="009B4F39">
      <w:pPr>
        <w:tabs>
          <w:tab w:val="left" w:pos="426"/>
          <w:tab w:val="left" w:pos="5812"/>
          <w:tab w:val="decimal" w:pos="7088"/>
          <w:tab w:val="left" w:pos="7655"/>
          <w:tab w:val="decimal" w:pos="8647"/>
        </w:tabs>
        <w:ind w:left="426" w:right="3492"/>
      </w:pPr>
      <w:r w:rsidRPr="005F15DA">
        <w:t>Total Kaufpreis somit</w:t>
      </w:r>
      <w:r w:rsidRPr="005F15DA">
        <w:tab/>
        <w:t>Fr.</w:t>
      </w:r>
      <w:r w:rsidRPr="005F15DA">
        <w:tab/>
        <w:t>280'000.—</w:t>
      </w:r>
    </w:p>
    <w:p w:rsidR="005D70F9" w:rsidRPr="005F15DA" w:rsidRDefault="005D70F9" w:rsidP="009B4F39">
      <w:pPr>
        <w:tabs>
          <w:tab w:val="left" w:pos="426"/>
          <w:tab w:val="left" w:pos="5812"/>
          <w:tab w:val="decimal" w:pos="7088"/>
          <w:tab w:val="left" w:pos="7655"/>
          <w:tab w:val="decimal" w:pos="8647"/>
        </w:tabs>
        <w:ind w:left="426" w:right="3492"/>
      </w:pPr>
      <w:r w:rsidRPr="005F15DA">
        <w:t>Steuer 1,8% von Fr. 280’000.— =</w:t>
      </w:r>
      <w:r w:rsidRPr="005F15DA">
        <w:tab/>
      </w:r>
      <w:r w:rsidRPr="005F15DA">
        <w:tab/>
      </w:r>
      <w:r w:rsidRPr="005F15DA">
        <w:tab/>
        <w:t>Fr.</w:t>
      </w:r>
      <w:r w:rsidRPr="005F15DA">
        <w:tab/>
        <w:t>5'040.—</w:t>
      </w:r>
    </w:p>
    <w:p w:rsidR="005D70F9" w:rsidRPr="005F15DA" w:rsidRDefault="005D70F9" w:rsidP="009B4F39">
      <w:pPr>
        <w:tabs>
          <w:tab w:val="left" w:pos="426"/>
          <w:tab w:val="left" w:pos="5812"/>
          <w:tab w:val="decimal" w:pos="7088"/>
          <w:tab w:val="left" w:pos="7655"/>
          <w:tab w:val="decimal" w:pos="8647"/>
        </w:tabs>
        <w:ind w:left="426" w:right="3492"/>
      </w:pPr>
      <w:r w:rsidRPr="005F15DA">
        <w:t>Die Erschliessungskosten sind steuer</w:t>
      </w:r>
      <w:r w:rsidR="009B4F39" w:rsidRPr="005F15DA">
        <w:t>pflichtig, sofern die Erschlies</w:t>
      </w:r>
      <w:r w:rsidRPr="005F15DA">
        <w:t>sungsanlagen bereits erstellt oder zum wesentlichen Teil vollendet</w:t>
      </w:r>
      <w:r w:rsidR="009B4F39" w:rsidRPr="005F15DA">
        <w:t xml:space="preserve"> </w:t>
      </w:r>
      <w:r w:rsidRPr="005F15DA">
        <w:t>sind.</w:t>
      </w:r>
    </w:p>
    <w:p w:rsidR="00597A21" w:rsidRDefault="00597A21" w:rsidP="009B4F39">
      <w:pPr>
        <w:tabs>
          <w:tab w:val="left" w:pos="426"/>
          <w:tab w:val="left" w:pos="5812"/>
          <w:tab w:val="decimal" w:pos="7088"/>
          <w:tab w:val="left" w:pos="7655"/>
          <w:tab w:val="decimal" w:pos="8647"/>
        </w:tabs>
        <w:ind w:left="426" w:right="3492" w:hanging="426"/>
      </w:pPr>
    </w:p>
    <w:p w:rsidR="009B4F39" w:rsidRPr="005F15DA" w:rsidRDefault="005D70F9" w:rsidP="009B4F39">
      <w:pPr>
        <w:tabs>
          <w:tab w:val="left" w:pos="426"/>
          <w:tab w:val="left" w:pos="5812"/>
          <w:tab w:val="decimal" w:pos="7088"/>
          <w:tab w:val="left" w:pos="7655"/>
          <w:tab w:val="decimal" w:pos="8647"/>
        </w:tabs>
        <w:ind w:left="426" w:right="3492" w:hanging="426"/>
      </w:pPr>
      <w:r w:rsidRPr="005F15DA">
        <w:t>10.</w:t>
      </w:r>
      <w:r w:rsidRPr="005F15DA">
        <w:tab/>
        <w:t>A, B und C als einfache Gesellschafter zu gleichen Teilen sind Eigentümer eines Grundstückes, das in Stockwerkeigen</w:t>
      </w:r>
      <w:r w:rsidR="009B4F39" w:rsidRPr="005F15DA">
        <w:t>tum aufge</w:t>
      </w:r>
      <w:r w:rsidRPr="005F15DA">
        <w:t>teilt wird, wobei jeder G</w:t>
      </w:r>
      <w:r w:rsidRPr="005F15DA">
        <w:t>e</w:t>
      </w:r>
      <w:r w:rsidRPr="005F15DA">
        <w:t>sellschafter eine Stockwerkeinheit zu</w:t>
      </w:r>
      <w:r w:rsidR="009B4F39" w:rsidRPr="005F15DA">
        <w:t xml:space="preserve"> </w:t>
      </w:r>
      <w:r w:rsidRPr="005F15DA">
        <w:t>Alleineigentum übernimmt (Realteilung).</w:t>
      </w:r>
    </w:p>
    <w:p w:rsidR="009B4F39" w:rsidRPr="005F15DA" w:rsidRDefault="009B4F39" w:rsidP="001B0D90">
      <w:pPr>
        <w:tabs>
          <w:tab w:val="left" w:pos="2268"/>
          <w:tab w:val="left" w:pos="3828"/>
          <w:tab w:val="decimal" w:pos="5103"/>
        </w:tabs>
        <w:ind w:left="425" w:right="3493"/>
      </w:pPr>
      <w:r w:rsidRPr="005F15DA">
        <w:tab/>
        <w:t>Eigentümer:</w:t>
      </w:r>
      <w:r w:rsidRPr="005F15DA">
        <w:tab/>
        <w:t>Preis:</w:t>
      </w:r>
    </w:p>
    <w:p w:rsidR="005D70F9" w:rsidRPr="005F15DA" w:rsidRDefault="001B0D90" w:rsidP="001B0D90">
      <w:pPr>
        <w:tabs>
          <w:tab w:val="left" w:pos="2268"/>
          <w:tab w:val="left" w:pos="3828"/>
          <w:tab w:val="decimal" w:pos="5103"/>
        </w:tabs>
        <w:ind w:left="425" w:right="3493"/>
      </w:pPr>
      <w:r w:rsidRPr="005F15DA">
        <w:t xml:space="preserve">Einheit Nr. </w:t>
      </w:r>
      <w:r w:rsidR="005D70F9" w:rsidRPr="005F15DA">
        <w:t>1</w:t>
      </w:r>
      <w:r w:rsidR="005D70F9" w:rsidRPr="005F15DA">
        <w:tab/>
        <w:t>A</w:t>
      </w:r>
      <w:r w:rsidR="005D70F9" w:rsidRPr="005F15DA">
        <w:tab/>
        <w:t>Fr.</w:t>
      </w:r>
      <w:r w:rsidR="005D70F9" w:rsidRPr="005F15DA">
        <w:tab/>
        <w:t>480'000.—</w:t>
      </w:r>
    </w:p>
    <w:p w:rsidR="005D70F9" w:rsidRPr="005F15DA" w:rsidRDefault="001B0D90" w:rsidP="001B0D90">
      <w:pPr>
        <w:tabs>
          <w:tab w:val="left" w:pos="2268"/>
          <w:tab w:val="left" w:pos="3828"/>
          <w:tab w:val="decimal" w:pos="5103"/>
        </w:tabs>
        <w:ind w:left="425" w:right="3493"/>
      </w:pPr>
      <w:r w:rsidRPr="005F15DA">
        <w:t>Einheit Nr. 2</w:t>
      </w:r>
      <w:r w:rsidR="005D70F9" w:rsidRPr="005F15DA">
        <w:tab/>
        <w:t>B</w:t>
      </w:r>
      <w:r w:rsidR="005D70F9" w:rsidRPr="005F15DA">
        <w:tab/>
        <w:t>Fr.</w:t>
      </w:r>
      <w:r w:rsidR="005D70F9" w:rsidRPr="005F15DA">
        <w:tab/>
        <w:t>500'000.—</w:t>
      </w:r>
    </w:p>
    <w:p w:rsidR="005D70F9" w:rsidRPr="005F15DA" w:rsidRDefault="001B0D90" w:rsidP="001B0D90">
      <w:pPr>
        <w:tabs>
          <w:tab w:val="left" w:pos="2268"/>
          <w:tab w:val="left" w:pos="3828"/>
          <w:tab w:val="decimal" w:pos="5103"/>
        </w:tabs>
        <w:ind w:left="425" w:right="3493"/>
      </w:pPr>
      <w:r w:rsidRPr="005F15DA">
        <w:t xml:space="preserve">Einheit Nr. </w:t>
      </w:r>
      <w:r w:rsidR="005D70F9" w:rsidRPr="005F15DA">
        <w:t>3</w:t>
      </w:r>
      <w:r w:rsidR="005D70F9" w:rsidRPr="005F15DA">
        <w:tab/>
        <w:t>C</w:t>
      </w:r>
      <w:r w:rsidR="005D70F9" w:rsidRPr="005F15DA">
        <w:tab/>
      </w:r>
      <w:r w:rsidR="005D70F9" w:rsidRPr="005F15DA">
        <w:rPr>
          <w:u w:val="single"/>
        </w:rPr>
        <w:t>Fr.</w:t>
      </w:r>
      <w:r w:rsidR="005D70F9" w:rsidRPr="005F15DA">
        <w:rPr>
          <w:u w:val="single"/>
        </w:rPr>
        <w:tab/>
        <w:t>520'000.—</w:t>
      </w:r>
    </w:p>
    <w:p w:rsidR="005D70F9" w:rsidRPr="005F15DA" w:rsidRDefault="009B4F39" w:rsidP="001B0D90">
      <w:pPr>
        <w:tabs>
          <w:tab w:val="left" w:pos="2268"/>
          <w:tab w:val="left" w:pos="3828"/>
          <w:tab w:val="decimal" w:pos="5103"/>
        </w:tabs>
        <w:ind w:left="425" w:right="3493"/>
      </w:pPr>
      <w:r w:rsidRPr="005F15DA">
        <w:t>Total</w:t>
      </w:r>
      <w:r w:rsidRPr="005F15DA">
        <w:tab/>
      </w:r>
      <w:r w:rsidR="001B0D90" w:rsidRPr="005F15DA">
        <w:tab/>
      </w:r>
      <w:r w:rsidR="005D70F9" w:rsidRPr="005F15DA">
        <w:t>Fr.</w:t>
      </w:r>
      <w:r w:rsidRPr="005F15DA">
        <w:tab/>
      </w:r>
      <w:r w:rsidR="005D70F9" w:rsidRPr="005F15DA">
        <w:t>1'500'000.—</w:t>
      </w:r>
    </w:p>
    <w:p w:rsidR="005D70F9" w:rsidRPr="005F15DA" w:rsidRDefault="001B0D90" w:rsidP="009B4F39">
      <w:pPr>
        <w:tabs>
          <w:tab w:val="left" w:pos="426"/>
          <w:tab w:val="left" w:pos="5812"/>
          <w:tab w:val="decimal" w:pos="7088"/>
          <w:tab w:val="left" w:pos="7655"/>
          <w:tab w:val="decimal" w:pos="8647"/>
        </w:tabs>
        <w:ind w:left="426" w:right="3492" w:hanging="426"/>
      </w:pPr>
      <w:r w:rsidRPr="005F15DA">
        <w:tab/>
      </w:r>
      <w:r w:rsidR="005D70F9" w:rsidRPr="005F15DA">
        <w:t xml:space="preserve">Realteilungsanspruch je </w:t>
      </w:r>
      <w:r w:rsidRPr="005F15DA">
        <w:t xml:space="preserve">davon </w:t>
      </w:r>
      <w:r w:rsidR="005D70F9" w:rsidRPr="005F15DA">
        <w:t>1/3 oder je Fr. 500'000.--,</w:t>
      </w:r>
    </w:p>
    <w:p w:rsidR="005D70F9" w:rsidRPr="005F15DA" w:rsidRDefault="005D70F9" w:rsidP="001B0D90">
      <w:pPr>
        <w:tabs>
          <w:tab w:val="left" w:pos="426"/>
          <w:tab w:val="left" w:pos="1418"/>
          <w:tab w:val="left" w:pos="2694"/>
          <w:tab w:val="left" w:pos="3969"/>
          <w:tab w:val="decimal" w:pos="5245"/>
          <w:tab w:val="left" w:pos="5812"/>
          <w:tab w:val="decimal" w:pos="7088"/>
          <w:tab w:val="left" w:pos="7655"/>
          <w:tab w:val="decimal" w:pos="8647"/>
        </w:tabs>
        <w:ind w:left="426" w:right="3492"/>
      </w:pPr>
      <w:proofErr w:type="spellStart"/>
      <w:r w:rsidRPr="005F15DA">
        <w:lastRenderedPageBreak/>
        <w:t>Eigent</w:t>
      </w:r>
      <w:proofErr w:type="spellEnd"/>
      <w:r w:rsidRPr="005F15DA">
        <w:t>.</w:t>
      </w:r>
      <w:r w:rsidRPr="005F15DA">
        <w:tab/>
        <w:t>Anspruch</w:t>
      </w:r>
      <w:r w:rsidRPr="005F15DA">
        <w:tab/>
        <w:t>Zuteilung</w:t>
      </w:r>
      <w:r w:rsidRPr="005F15DA">
        <w:tab/>
        <w:t>Differenz</w:t>
      </w:r>
    </w:p>
    <w:p w:rsidR="005D70F9" w:rsidRPr="005F15DA" w:rsidRDefault="005D70F9" w:rsidP="001B0D90">
      <w:pPr>
        <w:tabs>
          <w:tab w:val="left" w:pos="426"/>
          <w:tab w:val="left" w:pos="1418"/>
          <w:tab w:val="left" w:pos="2694"/>
          <w:tab w:val="left" w:pos="3969"/>
          <w:tab w:val="decimal" w:pos="5245"/>
          <w:tab w:val="left" w:pos="5812"/>
          <w:tab w:val="decimal" w:pos="7088"/>
          <w:tab w:val="left" w:pos="7655"/>
          <w:tab w:val="decimal" w:pos="8647"/>
        </w:tabs>
        <w:ind w:left="426" w:right="3492"/>
      </w:pPr>
      <w:r w:rsidRPr="005F15DA">
        <w:t>A</w:t>
      </w:r>
      <w:r w:rsidRPr="005F15DA">
        <w:tab/>
        <w:t>500'000</w:t>
      </w:r>
      <w:r w:rsidRPr="005F15DA">
        <w:tab/>
        <w:t>480'000</w:t>
      </w:r>
      <w:r w:rsidRPr="005F15DA">
        <w:tab/>
        <w:t>Fr.</w:t>
      </w:r>
      <w:r w:rsidRPr="005F15DA">
        <w:tab/>
        <w:t>- 20'000.—</w:t>
      </w:r>
    </w:p>
    <w:p w:rsidR="005D70F9" w:rsidRPr="005F15DA" w:rsidRDefault="005D70F9" w:rsidP="001B0D90">
      <w:pPr>
        <w:tabs>
          <w:tab w:val="left" w:pos="426"/>
          <w:tab w:val="left" w:pos="1418"/>
          <w:tab w:val="left" w:pos="2694"/>
          <w:tab w:val="left" w:pos="3969"/>
          <w:tab w:val="decimal" w:pos="5245"/>
          <w:tab w:val="left" w:pos="5812"/>
          <w:tab w:val="decimal" w:pos="7088"/>
          <w:tab w:val="left" w:pos="7655"/>
          <w:tab w:val="decimal" w:pos="8647"/>
        </w:tabs>
        <w:ind w:left="426" w:right="3492"/>
      </w:pPr>
      <w:r w:rsidRPr="005F15DA">
        <w:t>B</w:t>
      </w:r>
      <w:r w:rsidRPr="005F15DA">
        <w:tab/>
        <w:t>500'000</w:t>
      </w:r>
      <w:r w:rsidRPr="005F15DA">
        <w:tab/>
        <w:t>500'000</w:t>
      </w:r>
      <w:r w:rsidRPr="005F15DA">
        <w:tab/>
        <w:t>Fr.</w:t>
      </w:r>
      <w:r w:rsidRPr="005F15DA">
        <w:tab/>
        <w:t>0.—</w:t>
      </w:r>
    </w:p>
    <w:p w:rsidR="005D70F9" w:rsidRPr="005F15DA" w:rsidRDefault="005D70F9" w:rsidP="001B0D90">
      <w:pPr>
        <w:tabs>
          <w:tab w:val="left" w:pos="426"/>
          <w:tab w:val="left" w:pos="1418"/>
          <w:tab w:val="left" w:pos="2694"/>
          <w:tab w:val="left" w:pos="3969"/>
          <w:tab w:val="decimal" w:pos="5245"/>
          <w:tab w:val="left" w:pos="5812"/>
          <w:tab w:val="decimal" w:pos="7088"/>
          <w:tab w:val="left" w:pos="7655"/>
          <w:tab w:val="decimal" w:pos="8647"/>
        </w:tabs>
        <w:ind w:left="426" w:right="3492"/>
      </w:pPr>
      <w:r w:rsidRPr="005F15DA">
        <w:t>C</w:t>
      </w:r>
      <w:r w:rsidRPr="005F15DA">
        <w:tab/>
        <w:t>500'000</w:t>
      </w:r>
      <w:r w:rsidRPr="005F15DA">
        <w:tab/>
        <w:t>520'000</w:t>
      </w:r>
      <w:r w:rsidRPr="005F15DA">
        <w:tab/>
        <w:t>Fr.</w:t>
      </w:r>
      <w:r w:rsidRPr="005F15DA">
        <w:tab/>
        <w:t>+ 20'000.—</w:t>
      </w:r>
    </w:p>
    <w:p w:rsidR="005D70F9" w:rsidRPr="005F15DA" w:rsidRDefault="005D70F9" w:rsidP="001B0D90">
      <w:pPr>
        <w:tabs>
          <w:tab w:val="left" w:pos="426"/>
          <w:tab w:val="left" w:pos="1418"/>
          <w:tab w:val="left" w:pos="2694"/>
          <w:tab w:val="left" w:pos="3969"/>
          <w:tab w:val="decimal" w:pos="5245"/>
          <w:tab w:val="left" w:pos="5812"/>
          <w:tab w:val="decimal" w:pos="7088"/>
          <w:tab w:val="left" w:pos="7655"/>
          <w:tab w:val="decimal" w:pos="8647"/>
        </w:tabs>
        <w:ind w:left="426" w:right="3492"/>
      </w:pPr>
      <w:r w:rsidRPr="005F15DA">
        <w:t>Steuer 1,8% von Fr. 20’000.— (Mehrzuteilung C) =</w:t>
      </w:r>
      <w:r w:rsidRPr="005F15DA">
        <w:tab/>
      </w:r>
      <w:r w:rsidR="001B0D90" w:rsidRPr="005F15DA">
        <w:tab/>
      </w:r>
      <w:r w:rsidRPr="005F15DA">
        <w:tab/>
        <w:t>Fr.</w:t>
      </w:r>
      <w:r w:rsidRPr="005F15DA">
        <w:tab/>
        <w:t>360.—</w:t>
      </w:r>
    </w:p>
    <w:p w:rsidR="005D70F9" w:rsidRPr="005F15DA" w:rsidRDefault="005D70F9" w:rsidP="001B0D90">
      <w:pPr>
        <w:tabs>
          <w:tab w:val="left" w:pos="426"/>
          <w:tab w:val="left" w:pos="5812"/>
          <w:tab w:val="decimal" w:pos="7088"/>
          <w:tab w:val="left" w:pos="7655"/>
          <w:tab w:val="decimal" w:pos="8647"/>
        </w:tabs>
        <w:ind w:left="426" w:right="3492"/>
      </w:pPr>
      <w:r w:rsidRPr="005F15DA">
        <w:t>(Nur Mehrzuteilungen werden besteuert; keine Ve</w:t>
      </w:r>
      <w:r w:rsidRPr="005F15DA">
        <w:t>r</w:t>
      </w:r>
      <w:r w:rsidRPr="005F15DA">
        <w:t>rechnungen</w:t>
      </w:r>
      <w:r w:rsidR="001B0D90" w:rsidRPr="005F15DA">
        <w:t xml:space="preserve"> </w:t>
      </w:r>
      <w:r w:rsidRPr="005F15DA">
        <w:t>mit Minderzuteilungen)</w:t>
      </w:r>
    </w:p>
    <w:p w:rsidR="001B5325" w:rsidRPr="005F15DA" w:rsidRDefault="001B5325" w:rsidP="009B4F39">
      <w:pPr>
        <w:tabs>
          <w:tab w:val="left" w:pos="426"/>
          <w:tab w:val="left" w:pos="5812"/>
          <w:tab w:val="decimal" w:pos="7088"/>
          <w:tab w:val="left" w:pos="7655"/>
          <w:tab w:val="decimal" w:pos="8647"/>
        </w:tabs>
      </w:pPr>
    </w:p>
    <w:p w:rsidR="005D70F9" w:rsidRPr="005F15DA" w:rsidRDefault="005D70F9" w:rsidP="009B4F39">
      <w:pPr>
        <w:tabs>
          <w:tab w:val="left" w:pos="426"/>
          <w:tab w:val="left" w:pos="5812"/>
          <w:tab w:val="decimal" w:pos="7088"/>
          <w:tab w:val="left" w:pos="7655"/>
          <w:tab w:val="decimal" w:pos="8647"/>
        </w:tabs>
      </w:pPr>
      <w:r w:rsidRPr="005F15DA">
        <w:t>11.</w:t>
      </w:r>
      <w:r w:rsidRPr="005F15DA">
        <w:tab/>
        <w:t>A und B tauschen ihre Grundstücke.</w:t>
      </w:r>
    </w:p>
    <w:p w:rsidR="005D70F9" w:rsidRPr="005F15DA" w:rsidRDefault="005D70F9" w:rsidP="001B0D90">
      <w:pPr>
        <w:tabs>
          <w:tab w:val="left" w:pos="426"/>
          <w:tab w:val="left" w:pos="2552"/>
          <w:tab w:val="decimal" w:pos="3969"/>
          <w:tab w:val="left" w:pos="5812"/>
          <w:tab w:val="decimal" w:pos="7088"/>
          <w:tab w:val="left" w:pos="7655"/>
          <w:tab w:val="decimal" w:pos="8647"/>
        </w:tabs>
        <w:ind w:left="426"/>
      </w:pPr>
      <w:r w:rsidRPr="005F15DA">
        <w:t>Die amtlichen Werte betragen:</w:t>
      </w:r>
    </w:p>
    <w:p w:rsidR="005D70F9" w:rsidRPr="005F15DA" w:rsidRDefault="005D70F9" w:rsidP="001B0D90">
      <w:pPr>
        <w:tabs>
          <w:tab w:val="left" w:pos="426"/>
          <w:tab w:val="left" w:pos="2552"/>
          <w:tab w:val="decimal" w:pos="3969"/>
          <w:tab w:val="left" w:pos="5812"/>
          <w:tab w:val="decimal" w:pos="7088"/>
          <w:tab w:val="left" w:pos="7655"/>
          <w:tab w:val="decimal" w:pos="8647"/>
        </w:tabs>
        <w:ind w:left="426"/>
      </w:pPr>
      <w:r w:rsidRPr="005F15DA">
        <w:t>Grundstück A</w:t>
      </w:r>
      <w:r w:rsidRPr="005F15DA">
        <w:tab/>
        <w:t>Fr.</w:t>
      </w:r>
      <w:r w:rsidRPr="005F15DA">
        <w:tab/>
        <w:t>150'000.—</w:t>
      </w:r>
    </w:p>
    <w:p w:rsidR="005D70F9" w:rsidRPr="005F15DA" w:rsidRDefault="005D70F9" w:rsidP="001B0D90">
      <w:pPr>
        <w:tabs>
          <w:tab w:val="left" w:pos="426"/>
          <w:tab w:val="left" w:pos="2552"/>
          <w:tab w:val="decimal" w:pos="3969"/>
          <w:tab w:val="left" w:pos="5812"/>
          <w:tab w:val="decimal" w:pos="7088"/>
          <w:tab w:val="left" w:pos="7655"/>
          <w:tab w:val="decimal" w:pos="8647"/>
        </w:tabs>
        <w:ind w:left="426"/>
      </w:pPr>
      <w:r w:rsidRPr="005F15DA">
        <w:t>Grundstück B</w:t>
      </w:r>
      <w:r w:rsidRPr="005F15DA">
        <w:tab/>
        <w:t>Fr.</w:t>
      </w:r>
      <w:r w:rsidRPr="005F15DA">
        <w:tab/>
        <w:t>200'000.—</w:t>
      </w:r>
    </w:p>
    <w:p w:rsidR="005D70F9" w:rsidRPr="005F15DA" w:rsidRDefault="005D70F9" w:rsidP="001B0D90">
      <w:pPr>
        <w:tabs>
          <w:tab w:val="left" w:pos="426"/>
          <w:tab w:val="left" w:pos="2552"/>
          <w:tab w:val="decimal" w:pos="3969"/>
          <w:tab w:val="left" w:pos="5812"/>
          <w:tab w:val="decimal" w:pos="7088"/>
          <w:tab w:val="left" w:pos="7655"/>
          <w:tab w:val="decimal" w:pos="8647"/>
        </w:tabs>
        <w:ind w:left="426" w:right="3492"/>
      </w:pPr>
      <w:r w:rsidRPr="005F15DA">
        <w:t>Die beiden Grundstücke werden als gleichwertig b</w:t>
      </w:r>
      <w:r w:rsidRPr="005F15DA">
        <w:t>e</w:t>
      </w:r>
      <w:r w:rsidRPr="005F15DA">
        <w:t>trachtet;</w:t>
      </w:r>
      <w:r w:rsidR="001B0D90" w:rsidRPr="005F15DA">
        <w:t xml:space="preserve"> </w:t>
      </w:r>
      <w:r w:rsidRPr="005F15DA">
        <w:t>also keine Ausgleichszahlungen.</w:t>
      </w:r>
    </w:p>
    <w:p w:rsidR="005D70F9" w:rsidRPr="005F15DA" w:rsidRDefault="005D70F9" w:rsidP="001B0D90">
      <w:pPr>
        <w:tabs>
          <w:tab w:val="left" w:pos="426"/>
          <w:tab w:val="left" w:pos="2552"/>
          <w:tab w:val="decimal" w:pos="3969"/>
          <w:tab w:val="left" w:pos="5812"/>
          <w:tab w:val="decimal" w:pos="7088"/>
          <w:tab w:val="left" w:pos="7655"/>
          <w:tab w:val="decimal" w:pos="8647"/>
        </w:tabs>
        <w:ind w:left="426"/>
      </w:pPr>
      <w:r w:rsidRPr="005F15DA">
        <w:t>Steuer 1,8% vom doppelten höheren amtlichen Wert,</w:t>
      </w:r>
    </w:p>
    <w:p w:rsidR="005D70F9" w:rsidRPr="005F15DA" w:rsidRDefault="005D70F9" w:rsidP="001B0D90">
      <w:pPr>
        <w:tabs>
          <w:tab w:val="left" w:pos="426"/>
          <w:tab w:val="left" w:pos="2552"/>
          <w:tab w:val="decimal" w:pos="3969"/>
          <w:tab w:val="left" w:pos="5812"/>
          <w:tab w:val="decimal" w:pos="7088"/>
          <w:tab w:val="left" w:pos="7655"/>
          <w:tab w:val="decimal" w:pos="8647"/>
        </w:tabs>
        <w:ind w:left="426"/>
      </w:pPr>
      <w:r w:rsidRPr="005F15DA">
        <w:t>also 1,8% von Fr. 400'000.— =</w:t>
      </w:r>
      <w:r w:rsidRPr="005F15DA">
        <w:tab/>
      </w:r>
      <w:r w:rsidRPr="005F15DA">
        <w:tab/>
      </w:r>
      <w:r w:rsidRPr="005F15DA">
        <w:tab/>
      </w:r>
      <w:r w:rsidR="001B0D90" w:rsidRPr="005F15DA">
        <w:tab/>
      </w:r>
      <w:r w:rsidRPr="005F15DA">
        <w:t>Fr.</w:t>
      </w:r>
      <w:r w:rsidRPr="005F15DA">
        <w:tab/>
        <w:t>7'200.—</w:t>
      </w:r>
    </w:p>
    <w:p w:rsidR="001B5325" w:rsidRPr="005F15DA" w:rsidRDefault="001B5325" w:rsidP="001B0D90">
      <w:pPr>
        <w:tabs>
          <w:tab w:val="left" w:pos="426"/>
          <w:tab w:val="left" w:pos="5812"/>
          <w:tab w:val="decimal" w:pos="7088"/>
          <w:tab w:val="left" w:pos="7655"/>
          <w:tab w:val="decimal" w:pos="8647"/>
        </w:tabs>
        <w:ind w:left="426" w:right="3492" w:hanging="426"/>
      </w:pPr>
    </w:p>
    <w:p w:rsidR="005D70F9" w:rsidRPr="005F15DA" w:rsidRDefault="005D70F9" w:rsidP="001B0D90">
      <w:pPr>
        <w:tabs>
          <w:tab w:val="left" w:pos="426"/>
          <w:tab w:val="left" w:pos="5812"/>
          <w:tab w:val="decimal" w:pos="7088"/>
          <w:tab w:val="left" w:pos="7655"/>
          <w:tab w:val="decimal" w:pos="8647"/>
        </w:tabs>
        <w:ind w:left="426" w:right="3492" w:hanging="426"/>
      </w:pPr>
      <w:r w:rsidRPr="005F15DA">
        <w:t>12.</w:t>
      </w:r>
      <w:r w:rsidRPr="005F15DA">
        <w:tab/>
        <w:t>A schenkt dem B ein Grundstüc</w:t>
      </w:r>
      <w:r w:rsidR="001B0D90" w:rsidRPr="005F15DA">
        <w:t>k. Es bestehen keine Grundpfand</w:t>
      </w:r>
      <w:r w:rsidRPr="005F15DA">
        <w:t>schulden. In diesem Fall ist keine Steuer geschuldet.</w:t>
      </w:r>
      <w:r w:rsidRPr="005F15DA">
        <w:tab/>
      </w:r>
      <w:r w:rsidRPr="005F15DA">
        <w:tab/>
      </w:r>
      <w:r w:rsidR="001B0D90" w:rsidRPr="005F15DA">
        <w:tab/>
      </w:r>
      <w:r w:rsidRPr="005F15DA">
        <w:t>Fr.</w:t>
      </w:r>
      <w:r w:rsidRPr="005F15DA">
        <w:tab/>
        <w:t>0.—</w:t>
      </w:r>
    </w:p>
    <w:p w:rsidR="001B5325" w:rsidRPr="005F15DA" w:rsidRDefault="001B5325" w:rsidP="001B0D90">
      <w:pPr>
        <w:tabs>
          <w:tab w:val="left" w:pos="426"/>
          <w:tab w:val="left" w:pos="5812"/>
          <w:tab w:val="decimal" w:pos="7088"/>
          <w:tab w:val="left" w:pos="7655"/>
          <w:tab w:val="decimal" w:pos="8647"/>
        </w:tabs>
        <w:ind w:left="426" w:right="3492" w:hanging="426"/>
      </w:pPr>
    </w:p>
    <w:p w:rsidR="005D70F9" w:rsidRPr="005F15DA" w:rsidRDefault="005D70F9" w:rsidP="001B0D90">
      <w:pPr>
        <w:tabs>
          <w:tab w:val="left" w:pos="426"/>
          <w:tab w:val="left" w:pos="5812"/>
          <w:tab w:val="decimal" w:pos="7088"/>
          <w:tab w:val="left" w:pos="7655"/>
          <w:tab w:val="decimal" w:pos="8647"/>
        </w:tabs>
        <w:ind w:left="426" w:right="3492" w:hanging="426"/>
      </w:pPr>
      <w:r w:rsidRPr="005F15DA">
        <w:t>13.</w:t>
      </w:r>
      <w:r w:rsidRPr="005F15DA">
        <w:tab/>
        <w:t>A schenkt dem B ein Grundstück. Darauf lasten Grundpfandrechte</w:t>
      </w:r>
      <w:r w:rsidR="001B0D90" w:rsidRPr="005F15DA">
        <w:t xml:space="preserve"> </w:t>
      </w:r>
      <w:r w:rsidRPr="005F15DA">
        <w:t>von nominell Fr. 200'000</w:t>
      </w:r>
      <w:proofErr w:type="gramStart"/>
      <w:r w:rsidRPr="005F15DA">
        <w:t>.—</w:t>
      </w:r>
      <w:proofErr w:type="gramEnd"/>
      <w:r w:rsidRPr="005F15DA">
        <w:t>. Der Beschenkte über</w:t>
      </w:r>
      <w:r w:rsidR="001B0D90" w:rsidRPr="005F15DA">
        <w:t>nimmt die be</w:t>
      </w:r>
      <w:r w:rsidRPr="005F15DA">
        <w:t>stehende Hypothek von Fr. 100'000</w:t>
      </w:r>
      <w:proofErr w:type="gramStart"/>
      <w:r w:rsidRPr="005F15DA">
        <w:t>.—</w:t>
      </w:r>
      <w:proofErr w:type="gramEnd"/>
      <w:r w:rsidRPr="005F15DA">
        <w:t>.</w:t>
      </w:r>
    </w:p>
    <w:p w:rsidR="005D70F9" w:rsidRPr="005F15DA" w:rsidRDefault="001B0D90" w:rsidP="001B0D90">
      <w:pPr>
        <w:tabs>
          <w:tab w:val="left" w:pos="426"/>
          <w:tab w:val="left" w:pos="5812"/>
          <w:tab w:val="decimal" w:pos="7088"/>
          <w:tab w:val="left" w:pos="7655"/>
          <w:tab w:val="decimal" w:pos="8647"/>
        </w:tabs>
        <w:ind w:left="426" w:right="3492" w:hanging="426"/>
      </w:pPr>
      <w:r w:rsidRPr="005F15DA">
        <w:tab/>
      </w:r>
      <w:r w:rsidR="005D70F9" w:rsidRPr="005F15DA">
        <w:t>Steuer 1,8% von Fr. 100'000.— =</w:t>
      </w:r>
      <w:r w:rsidR="005D70F9" w:rsidRPr="005F15DA">
        <w:tab/>
      </w:r>
      <w:r w:rsidR="005D70F9" w:rsidRPr="005F15DA">
        <w:tab/>
      </w:r>
      <w:r w:rsidR="005D70F9" w:rsidRPr="005F15DA">
        <w:tab/>
        <w:t>Fr.</w:t>
      </w:r>
      <w:r w:rsidR="005D70F9" w:rsidRPr="005F15DA">
        <w:tab/>
        <w:t>1'800.—</w:t>
      </w:r>
    </w:p>
    <w:p w:rsidR="005D70F9" w:rsidRPr="005F15DA" w:rsidRDefault="001B0D90" w:rsidP="001B0D90">
      <w:pPr>
        <w:tabs>
          <w:tab w:val="left" w:pos="426"/>
          <w:tab w:val="left" w:pos="5812"/>
          <w:tab w:val="decimal" w:pos="7088"/>
          <w:tab w:val="left" w:pos="7655"/>
          <w:tab w:val="decimal" w:pos="8647"/>
        </w:tabs>
        <w:ind w:left="426" w:right="3492" w:hanging="426"/>
      </w:pPr>
      <w:r w:rsidRPr="005F15DA">
        <w:tab/>
      </w:r>
      <w:r w:rsidR="005D70F9" w:rsidRPr="005F15DA">
        <w:t xml:space="preserve">(Sofern B ein </w:t>
      </w:r>
      <w:r w:rsidR="00597A21">
        <w:t xml:space="preserve">Nachkomme </w:t>
      </w:r>
      <w:r w:rsidR="005D70F9" w:rsidRPr="005F15DA">
        <w:t>des A ist, ist keine</w:t>
      </w:r>
      <w:r w:rsidRPr="005F15DA">
        <w:t xml:space="preserve"> </w:t>
      </w:r>
      <w:r w:rsidR="005D70F9" w:rsidRPr="005F15DA">
        <w:t>Steuer geschuldet.)</w:t>
      </w:r>
    </w:p>
    <w:p w:rsidR="001B5325" w:rsidRPr="005F15DA" w:rsidRDefault="001B5325" w:rsidP="001B0D90">
      <w:pPr>
        <w:tabs>
          <w:tab w:val="left" w:pos="426"/>
          <w:tab w:val="left" w:pos="5812"/>
          <w:tab w:val="decimal" w:pos="7088"/>
          <w:tab w:val="left" w:pos="7655"/>
          <w:tab w:val="decimal" w:pos="8647"/>
        </w:tabs>
        <w:ind w:left="426" w:right="3492" w:hanging="426"/>
      </w:pPr>
    </w:p>
    <w:p w:rsidR="005D70F9" w:rsidRPr="005F15DA" w:rsidRDefault="005D70F9" w:rsidP="001B0D90">
      <w:pPr>
        <w:tabs>
          <w:tab w:val="left" w:pos="426"/>
          <w:tab w:val="left" w:pos="5812"/>
          <w:tab w:val="decimal" w:pos="7088"/>
          <w:tab w:val="left" w:pos="7655"/>
          <w:tab w:val="decimal" w:pos="8647"/>
        </w:tabs>
        <w:ind w:left="426" w:right="3492" w:hanging="426"/>
      </w:pPr>
      <w:r w:rsidRPr="005F15DA">
        <w:t>14.</w:t>
      </w:r>
      <w:r w:rsidRPr="005F15DA">
        <w:tab/>
        <w:t>Errichtung eines selbständigen und dauernden Ba</w:t>
      </w:r>
      <w:r w:rsidRPr="005F15DA">
        <w:t>u</w:t>
      </w:r>
      <w:r w:rsidRPr="005F15DA">
        <w:t>rechtes.</w:t>
      </w:r>
    </w:p>
    <w:p w:rsidR="005D70F9" w:rsidRPr="005F15DA" w:rsidRDefault="005D70F9" w:rsidP="001B0D90">
      <w:pPr>
        <w:tabs>
          <w:tab w:val="left" w:pos="426"/>
          <w:tab w:val="left" w:pos="5812"/>
          <w:tab w:val="decimal" w:pos="7088"/>
          <w:tab w:val="left" w:pos="7655"/>
          <w:tab w:val="decimal" w:pos="8647"/>
        </w:tabs>
        <w:ind w:left="426" w:right="3492"/>
      </w:pPr>
      <w:r w:rsidRPr="005F15DA">
        <w:t>Jährlicher Baurechtszins Fr. 20'000.—.</w:t>
      </w:r>
    </w:p>
    <w:p w:rsidR="005D70F9" w:rsidRPr="005F15DA" w:rsidRDefault="005D70F9" w:rsidP="001B0D90">
      <w:pPr>
        <w:tabs>
          <w:tab w:val="left" w:pos="426"/>
          <w:tab w:val="left" w:pos="5812"/>
          <w:tab w:val="decimal" w:pos="7088"/>
          <w:tab w:val="left" w:pos="7655"/>
          <w:tab w:val="decimal" w:pos="8647"/>
        </w:tabs>
        <w:ind w:left="426" w:right="3492"/>
      </w:pPr>
      <w:r w:rsidRPr="005F15DA">
        <w:t>Steuer 1,8% von der 20-fachen Jahresleistung (Fr. 400'000.—) =</w:t>
      </w:r>
      <w:r w:rsidRPr="005F15DA">
        <w:tab/>
      </w:r>
      <w:r w:rsidR="001B0D90" w:rsidRPr="005F15DA">
        <w:tab/>
      </w:r>
      <w:r w:rsidR="001B0D90" w:rsidRPr="005F15DA">
        <w:tab/>
      </w:r>
      <w:r w:rsidRPr="005F15DA">
        <w:t>Fr.</w:t>
      </w:r>
      <w:r w:rsidRPr="005F15DA">
        <w:tab/>
        <w:t>7'200.—</w:t>
      </w:r>
    </w:p>
    <w:p w:rsidR="001B5325" w:rsidRPr="005F15DA" w:rsidRDefault="001B5325" w:rsidP="001B0D90">
      <w:pPr>
        <w:tabs>
          <w:tab w:val="left" w:pos="426"/>
          <w:tab w:val="left" w:pos="5812"/>
          <w:tab w:val="decimal" w:pos="7088"/>
          <w:tab w:val="left" w:pos="7655"/>
          <w:tab w:val="decimal" w:pos="8647"/>
        </w:tabs>
        <w:ind w:left="426" w:right="3492" w:hanging="426"/>
      </w:pPr>
    </w:p>
    <w:p w:rsidR="005D70F9" w:rsidRPr="005F15DA" w:rsidRDefault="005D70F9" w:rsidP="001B0D90">
      <w:pPr>
        <w:tabs>
          <w:tab w:val="left" w:pos="426"/>
          <w:tab w:val="left" w:pos="5812"/>
          <w:tab w:val="decimal" w:pos="7088"/>
          <w:tab w:val="left" w:pos="7655"/>
          <w:tab w:val="decimal" w:pos="8647"/>
        </w:tabs>
        <w:ind w:left="426" w:right="3492" w:hanging="426"/>
      </w:pPr>
      <w:r w:rsidRPr="005F15DA">
        <w:t>15.</w:t>
      </w:r>
      <w:r w:rsidRPr="005F15DA">
        <w:tab/>
        <w:t>Erbgang: Zum Nachlass eines Erblassers gehört ein Grundstück.</w:t>
      </w:r>
    </w:p>
    <w:p w:rsidR="005D70F9" w:rsidRPr="005F15DA" w:rsidRDefault="005D70F9" w:rsidP="001B0D90">
      <w:pPr>
        <w:tabs>
          <w:tab w:val="left" w:pos="426"/>
          <w:tab w:val="left" w:pos="5812"/>
          <w:tab w:val="decimal" w:pos="7088"/>
          <w:tab w:val="left" w:pos="7655"/>
          <w:tab w:val="decimal" w:pos="8647"/>
        </w:tabs>
        <w:ind w:left="426" w:right="3492"/>
      </w:pPr>
      <w:r w:rsidRPr="005F15DA">
        <w:t>Der Erbgang (Universalsukzessio</w:t>
      </w:r>
      <w:r w:rsidR="001B0D90" w:rsidRPr="005F15DA">
        <w:t>n) ist steuerfrei. Das Verwandt</w:t>
      </w:r>
      <w:r w:rsidRPr="005F15DA">
        <w:t>schaftsverhältnis zwischen Erblasser und Erben spielt keine Rolle.</w:t>
      </w:r>
    </w:p>
    <w:p w:rsidR="001B5325" w:rsidRPr="005F15DA" w:rsidRDefault="001B5325" w:rsidP="001B0D90">
      <w:pPr>
        <w:tabs>
          <w:tab w:val="left" w:pos="426"/>
          <w:tab w:val="left" w:pos="5812"/>
          <w:tab w:val="decimal" w:pos="7088"/>
          <w:tab w:val="left" w:pos="7655"/>
          <w:tab w:val="decimal" w:pos="8647"/>
        </w:tabs>
        <w:ind w:left="426" w:right="3492" w:hanging="426"/>
      </w:pPr>
    </w:p>
    <w:p w:rsidR="005D70F9" w:rsidRPr="005F15DA" w:rsidRDefault="005D70F9" w:rsidP="001B0D90">
      <w:pPr>
        <w:tabs>
          <w:tab w:val="left" w:pos="426"/>
          <w:tab w:val="left" w:pos="5812"/>
          <w:tab w:val="decimal" w:pos="7088"/>
          <w:tab w:val="left" w:pos="7655"/>
          <w:tab w:val="decimal" w:pos="8647"/>
        </w:tabs>
        <w:ind w:left="426" w:right="3492" w:hanging="426"/>
      </w:pPr>
      <w:r w:rsidRPr="005F15DA">
        <w:t>16.</w:t>
      </w:r>
      <w:r w:rsidRPr="005F15DA">
        <w:tab/>
        <w:t>Erbteilung: Der Ehemann hinterlässt seine Ehefrau und zwei Kinder;</w:t>
      </w:r>
    </w:p>
    <w:p w:rsidR="005D70F9" w:rsidRPr="005F15DA" w:rsidRDefault="005D70F9" w:rsidP="001B0D90">
      <w:pPr>
        <w:tabs>
          <w:tab w:val="left" w:pos="426"/>
          <w:tab w:val="left" w:pos="5812"/>
          <w:tab w:val="decimal" w:pos="7088"/>
          <w:tab w:val="left" w:pos="7655"/>
          <w:tab w:val="decimal" w:pos="8647"/>
        </w:tabs>
        <w:ind w:left="426" w:right="3492"/>
      </w:pPr>
      <w:r w:rsidRPr="005F15DA">
        <w:t>die Erbteile betragen ½ für die Ehefrau und je ¼ für die Kinder.</w:t>
      </w:r>
    </w:p>
    <w:p w:rsidR="005D70F9" w:rsidRPr="005F15DA" w:rsidRDefault="005D70F9" w:rsidP="001B0D90">
      <w:pPr>
        <w:tabs>
          <w:tab w:val="left" w:pos="851"/>
          <w:tab w:val="left" w:pos="5812"/>
          <w:tab w:val="decimal" w:pos="7088"/>
          <w:tab w:val="left" w:pos="7655"/>
          <w:tab w:val="decimal" w:pos="8647"/>
        </w:tabs>
        <w:ind w:left="851" w:right="3492" w:hanging="425"/>
      </w:pPr>
      <w:r w:rsidRPr="005F15DA">
        <w:t>a.</w:t>
      </w:r>
      <w:r w:rsidRPr="005F15DA">
        <w:tab/>
        <w:t>Die Liegenschaft wird, auf Rechnung ihrer güter- und erbrechtlichen</w:t>
      </w:r>
    </w:p>
    <w:p w:rsidR="005D70F9" w:rsidRPr="005F15DA" w:rsidRDefault="005D70F9" w:rsidP="001B0D90">
      <w:pPr>
        <w:tabs>
          <w:tab w:val="left" w:pos="851"/>
          <w:tab w:val="left" w:pos="5812"/>
          <w:tab w:val="decimal" w:pos="7088"/>
          <w:tab w:val="left" w:pos="7655"/>
          <w:tab w:val="decimal" w:pos="8647"/>
        </w:tabs>
        <w:ind w:left="851" w:right="3492" w:hanging="425"/>
      </w:pPr>
      <w:r w:rsidRPr="005F15DA">
        <w:lastRenderedPageBreak/>
        <w:tab/>
        <w:t>Ansprüche, auf die Ehefrau übertragen.</w:t>
      </w:r>
    </w:p>
    <w:p w:rsidR="005D70F9" w:rsidRPr="005F15DA" w:rsidRDefault="005D70F9" w:rsidP="001B0D90">
      <w:pPr>
        <w:tabs>
          <w:tab w:val="left" w:pos="851"/>
          <w:tab w:val="left" w:pos="5812"/>
          <w:tab w:val="decimal" w:pos="7088"/>
          <w:tab w:val="left" w:pos="7655"/>
          <w:tab w:val="decimal" w:pos="8647"/>
        </w:tabs>
        <w:ind w:left="851" w:right="3492" w:hanging="425"/>
      </w:pPr>
      <w:r w:rsidRPr="005F15DA">
        <w:tab/>
        <w:t>Steuer</w:t>
      </w:r>
      <w:r w:rsidRPr="005F15DA">
        <w:tab/>
      </w:r>
      <w:r w:rsidRPr="005F15DA">
        <w:tab/>
      </w:r>
      <w:r w:rsidRPr="005F15DA">
        <w:tab/>
        <w:t>Fr.</w:t>
      </w:r>
      <w:r w:rsidRPr="005F15DA">
        <w:tab/>
        <w:t>0.—</w:t>
      </w:r>
    </w:p>
    <w:p w:rsidR="005D70F9" w:rsidRPr="005F15DA" w:rsidRDefault="005D70F9" w:rsidP="001B0D90">
      <w:pPr>
        <w:tabs>
          <w:tab w:val="left" w:pos="851"/>
          <w:tab w:val="left" w:pos="5812"/>
          <w:tab w:val="decimal" w:pos="7088"/>
          <w:tab w:val="left" w:pos="7655"/>
          <w:tab w:val="decimal" w:pos="8647"/>
        </w:tabs>
        <w:ind w:left="851" w:right="3492" w:hanging="425"/>
      </w:pPr>
      <w:r w:rsidRPr="005F15DA">
        <w:tab/>
        <w:t>(der überlegende Ehegatte ist von der Steuer b</w:t>
      </w:r>
      <w:r w:rsidRPr="005F15DA">
        <w:t>e</w:t>
      </w:r>
      <w:r w:rsidRPr="005F15DA">
        <w:t>freit).</w:t>
      </w:r>
    </w:p>
    <w:p w:rsidR="005D70F9" w:rsidRPr="005F15DA" w:rsidRDefault="005D70F9" w:rsidP="001B0D90">
      <w:pPr>
        <w:tabs>
          <w:tab w:val="left" w:pos="851"/>
          <w:tab w:val="left" w:pos="5812"/>
          <w:tab w:val="decimal" w:pos="7088"/>
          <w:tab w:val="left" w:pos="7655"/>
          <w:tab w:val="decimal" w:pos="8647"/>
        </w:tabs>
        <w:ind w:left="851" w:right="3492" w:hanging="425"/>
      </w:pPr>
      <w:r w:rsidRPr="005F15DA">
        <w:t>b.</w:t>
      </w:r>
      <w:r w:rsidRPr="005F15DA">
        <w:tab/>
        <w:t>Die Liegenschaft wird auf Rechnung der er</w:t>
      </w:r>
      <w:r w:rsidRPr="005F15DA">
        <w:t>b</w:t>
      </w:r>
      <w:r w:rsidRPr="005F15DA">
        <w:t>rechtlichen Ansprüche</w:t>
      </w:r>
      <w:r w:rsidR="001B0D90" w:rsidRPr="005F15DA">
        <w:t xml:space="preserve"> </w:t>
      </w:r>
      <w:r w:rsidRPr="005F15DA">
        <w:t>auf eines der Kinder zum Preis von Fr. 400'000</w:t>
      </w:r>
      <w:proofErr w:type="gramStart"/>
      <w:r w:rsidRPr="005F15DA">
        <w:t>.—</w:t>
      </w:r>
      <w:proofErr w:type="gramEnd"/>
      <w:r w:rsidRPr="005F15DA">
        <w:t xml:space="preserve"> übertragen.</w:t>
      </w:r>
    </w:p>
    <w:p w:rsidR="00597A21" w:rsidRDefault="005D70F9" w:rsidP="001B0D90">
      <w:pPr>
        <w:tabs>
          <w:tab w:val="left" w:pos="851"/>
          <w:tab w:val="left" w:pos="5812"/>
          <w:tab w:val="decimal" w:pos="7088"/>
          <w:tab w:val="left" w:pos="7655"/>
          <w:tab w:val="decimal" w:pos="8647"/>
        </w:tabs>
        <w:ind w:left="851" w:right="3492" w:hanging="425"/>
      </w:pPr>
      <w:r w:rsidRPr="005F15DA">
        <w:tab/>
      </w:r>
      <w:r w:rsidR="00597A21">
        <w:t xml:space="preserve">Art. </w:t>
      </w:r>
      <w:proofErr w:type="spellStart"/>
      <w:r w:rsidR="00597A21">
        <w:t>12.d</w:t>
      </w:r>
      <w:proofErr w:type="spellEnd"/>
      <w:r w:rsidR="00597A21">
        <w:t>: Verhältnis Erblasser (Vater) zu Erwe</w:t>
      </w:r>
      <w:r w:rsidR="00597A21">
        <w:t>r</w:t>
      </w:r>
      <w:r w:rsidR="00597A21">
        <w:t>ber (Nachkomme), d.h. steuerfrei</w:t>
      </w:r>
      <w:r w:rsidR="00597A21">
        <w:tab/>
      </w:r>
      <w:r w:rsidR="00597A21">
        <w:tab/>
      </w:r>
      <w:r w:rsidR="00597A21">
        <w:tab/>
        <w:t>Fr.</w:t>
      </w:r>
      <w:r w:rsidR="00597A21">
        <w:tab/>
        <w:t>0.—</w:t>
      </w:r>
    </w:p>
    <w:p w:rsidR="001B5325" w:rsidRPr="005F15DA" w:rsidRDefault="001B5325" w:rsidP="001B0D90">
      <w:pPr>
        <w:tabs>
          <w:tab w:val="left" w:pos="426"/>
          <w:tab w:val="left" w:pos="5812"/>
          <w:tab w:val="decimal" w:pos="7088"/>
          <w:tab w:val="left" w:pos="7655"/>
          <w:tab w:val="decimal" w:pos="8647"/>
        </w:tabs>
        <w:ind w:left="426" w:right="3492" w:hanging="426"/>
      </w:pPr>
    </w:p>
    <w:p w:rsidR="005D70F9" w:rsidRPr="005F15DA" w:rsidRDefault="005D70F9" w:rsidP="001B0D90">
      <w:pPr>
        <w:tabs>
          <w:tab w:val="left" w:pos="426"/>
          <w:tab w:val="left" w:pos="5812"/>
          <w:tab w:val="decimal" w:pos="7088"/>
          <w:tab w:val="left" w:pos="7655"/>
          <w:tab w:val="decimal" w:pos="8647"/>
        </w:tabs>
        <w:ind w:left="426" w:right="3492" w:hanging="426"/>
      </w:pPr>
      <w:r w:rsidRPr="005F15DA">
        <w:t>17.</w:t>
      </w:r>
      <w:r w:rsidRPr="005F15DA">
        <w:tab/>
        <w:t>Der Vater tritt seiner Tochter auf Rechnung künftiger Erbschaft die</w:t>
      </w:r>
      <w:r w:rsidR="00AB759E" w:rsidRPr="005F15DA">
        <w:t xml:space="preserve"> </w:t>
      </w:r>
      <w:r w:rsidRPr="005F15DA">
        <w:t>Liegenschaft ab.</w:t>
      </w:r>
    </w:p>
    <w:p w:rsidR="005D70F9" w:rsidRPr="005F15DA" w:rsidRDefault="005D70F9" w:rsidP="001B0D90">
      <w:pPr>
        <w:tabs>
          <w:tab w:val="left" w:pos="426"/>
          <w:tab w:val="left" w:pos="5812"/>
          <w:tab w:val="decimal" w:pos="7088"/>
          <w:tab w:val="left" w:pos="7655"/>
          <w:tab w:val="decimal" w:pos="8647"/>
        </w:tabs>
        <w:ind w:left="426" w:right="3492" w:hanging="426"/>
      </w:pPr>
      <w:r w:rsidRPr="005F15DA">
        <w:t>a.</w:t>
      </w:r>
      <w:r w:rsidRPr="005F15DA">
        <w:tab/>
        <w:t>Bei unentgeltlicher Abtretung (Übernahme von au</w:t>
      </w:r>
      <w:r w:rsidRPr="005F15DA">
        <w:t>f</w:t>
      </w:r>
      <w:r w:rsidRPr="005F15DA">
        <w:t>haftenden</w:t>
      </w:r>
      <w:r w:rsidR="00AB759E" w:rsidRPr="005F15DA">
        <w:t xml:space="preserve"> </w:t>
      </w:r>
      <w:r w:rsidRPr="005F15DA">
        <w:t>Grundpfandschulden zu G</w:t>
      </w:r>
      <w:r w:rsidR="00AB759E" w:rsidRPr="005F15DA">
        <w:t>unsten Dritter, Einräumung Wohn</w:t>
      </w:r>
      <w:r w:rsidRPr="005F15DA">
        <w:t>recht oder Nutzniessung, Ve</w:t>
      </w:r>
      <w:r w:rsidRPr="005F15DA">
        <w:t>r</w:t>
      </w:r>
      <w:r w:rsidRPr="005F15DA">
        <w:t>pfründung) ist die Handänderung</w:t>
      </w:r>
      <w:r w:rsidR="00AB759E" w:rsidRPr="005F15DA">
        <w:t xml:space="preserve"> </w:t>
      </w:r>
      <w:r w:rsidRPr="005F15DA">
        <w:t>steuerfrei.</w:t>
      </w:r>
    </w:p>
    <w:p w:rsidR="005D70F9" w:rsidRPr="005F15DA" w:rsidRDefault="005D70F9" w:rsidP="001B0D90">
      <w:pPr>
        <w:tabs>
          <w:tab w:val="left" w:pos="426"/>
          <w:tab w:val="left" w:pos="5812"/>
          <w:tab w:val="decimal" w:pos="7088"/>
          <w:tab w:val="left" w:pos="7655"/>
          <w:tab w:val="decimal" w:pos="8647"/>
        </w:tabs>
        <w:ind w:left="426" w:right="3492" w:hanging="426"/>
      </w:pPr>
      <w:r w:rsidRPr="005F15DA">
        <w:t>b.</w:t>
      </w:r>
      <w:r w:rsidRPr="005F15DA">
        <w:tab/>
        <w:t>Bei einer entgeltlichen Abtretung (Ausnahmefall) ist diese</w:t>
      </w:r>
      <w:r w:rsidR="00AB759E" w:rsidRPr="005F15DA">
        <w:t xml:space="preserve"> </w:t>
      </w:r>
      <w:r w:rsidRPr="005F15DA">
        <w:t xml:space="preserve">seit 1.10.2009 </w:t>
      </w:r>
      <w:r w:rsidR="00597A21">
        <w:t xml:space="preserve">ebenfalls </w:t>
      </w:r>
      <w:r w:rsidRPr="005F15DA">
        <w:t>steuerfrei.</w:t>
      </w:r>
    </w:p>
    <w:p w:rsidR="00B11D0F" w:rsidRDefault="00B11D0F" w:rsidP="00597A21"/>
    <w:p w:rsidR="00B87953" w:rsidRDefault="00B87953" w:rsidP="00597A21"/>
    <w:p w:rsidR="00B87953" w:rsidRPr="003415AA" w:rsidRDefault="00B87953" w:rsidP="003E038E">
      <w:pPr>
        <w:pStyle w:val="berschrift3"/>
        <w:ind w:left="426" w:hanging="426"/>
      </w:pPr>
      <w:bookmarkStart w:id="115" w:name="_Toc430340125"/>
      <w:bookmarkStart w:id="116" w:name="_Toc432175636"/>
      <w:r>
        <w:t>C</w:t>
      </w:r>
      <w:r w:rsidRPr="003415AA">
        <w:t>.</w:t>
      </w:r>
      <w:r>
        <w:tab/>
      </w:r>
      <w:r w:rsidRPr="003415AA">
        <w:t xml:space="preserve">Handänderungssteuern </w:t>
      </w:r>
      <w:r>
        <w:t xml:space="preserve">Erwerb als Hauptwohnsitz </w:t>
      </w:r>
      <w:r w:rsidR="003E038E">
        <w:t>(</w:t>
      </w:r>
      <w:r>
        <w:t>Art. 11a und 11b HG)</w:t>
      </w:r>
      <w:bookmarkEnd w:id="115"/>
      <w:bookmarkEnd w:id="116"/>
    </w:p>
    <w:p w:rsidR="00B87953" w:rsidRDefault="00B87953" w:rsidP="00B87953"/>
    <w:p w:rsidR="00B87953" w:rsidRDefault="00CB7320" w:rsidP="00B87953">
      <w:r>
        <w:t>Seit dem</w:t>
      </w:r>
      <w:r w:rsidR="00B87953">
        <w:t xml:space="preserve"> 1.</w:t>
      </w:r>
      <w:r>
        <w:t xml:space="preserve"> Januar </w:t>
      </w:r>
      <w:r w:rsidR="00B87953">
        <w:t>2015 entfällt die Handänderungssteuer auf den ersten Fr. 800'000</w:t>
      </w:r>
      <w:proofErr w:type="gramStart"/>
      <w:r w:rsidR="00B87953">
        <w:t>.—</w:t>
      </w:r>
      <w:proofErr w:type="gramEnd"/>
      <w:r w:rsidR="00B87953">
        <w:t xml:space="preserve">, sofern das </w:t>
      </w:r>
      <w:proofErr w:type="spellStart"/>
      <w:r>
        <w:t>Kaufso</w:t>
      </w:r>
      <w:r w:rsidR="00B87953">
        <w:t>bjekt</w:t>
      </w:r>
      <w:proofErr w:type="spellEnd"/>
      <w:r w:rsidR="00B87953">
        <w:t xml:space="preserve"> </w:t>
      </w:r>
      <w:r w:rsidR="00B87953" w:rsidRPr="005F003C">
        <w:rPr>
          <w:u w:val="single"/>
        </w:rPr>
        <w:t xml:space="preserve">durch den Erwerber </w:t>
      </w:r>
      <w:r w:rsidR="00B87953" w:rsidRPr="005F003C">
        <w:t>während</w:t>
      </w:r>
      <w:r w:rsidR="00B87953">
        <w:t xml:space="preserve"> </w:t>
      </w:r>
      <w:r w:rsidR="00B87953" w:rsidRPr="005F003C">
        <w:rPr>
          <w:u w:val="single"/>
        </w:rPr>
        <w:t>mindestens während 2 Jahren ununte</w:t>
      </w:r>
      <w:r w:rsidR="00B87953" w:rsidRPr="005F003C">
        <w:rPr>
          <w:u w:val="single"/>
        </w:rPr>
        <w:t>r</w:t>
      </w:r>
      <w:r w:rsidR="00B87953" w:rsidRPr="005F003C">
        <w:rPr>
          <w:u w:val="single"/>
        </w:rPr>
        <w:t>brochen als Hauptwohnsitz</w:t>
      </w:r>
      <w:r w:rsidR="00B87953">
        <w:t xml:space="preserve"> genutzt wird. Beträgt die Gegenleistung mehr als Fr. 800'000</w:t>
      </w:r>
      <w:proofErr w:type="gramStart"/>
      <w:r w:rsidR="00B87953">
        <w:t>.—</w:t>
      </w:r>
      <w:proofErr w:type="gramEnd"/>
      <w:r w:rsidR="00B87953">
        <w:t xml:space="preserve"> beträgt die Handänderungssteuer 1,8% auf dem diesen Freibetrag übersteigenden Betrag (Beispiel: Kaufpreis Fr. 1'000'000.—, Handänderungssteuer 1,8% auf Fr. 200'000.—). </w:t>
      </w:r>
    </w:p>
    <w:p w:rsidR="00B87953" w:rsidRDefault="00B87953" w:rsidP="00B87953"/>
    <w:p w:rsidR="00B87953" w:rsidRDefault="00B87953" w:rsidP="00B87953">
      <w:r>
        <w:t xml:space="preserve">Die Frist für die </w:t>
      </w:r>
      <w:r w:rsidRPr="005F003C">
        <w:rPr>
          <w:u w:val="single"/>
        </w:rPr>
        <w:t>Begründung des Hauptwohnsitzes</w:t>
      </w:r>
      <w:r>
        <w:t xml:space="preserve"> beträgt </w:t>
      </w:r>
      <w:r w:rsidRPr="005F003C">
        <w:rPr>
          <w:u w:val="single"/>
        </w:rPr>
        <w:t>maximal 1 Jahr beim Kauf einer fertigen Baute</w:t>
      </w:r>
      <w:r>
        <w:t xml:space="preserve"> bzw. </w:t>
      </w:r>
      <w:r w:rsidRPr="005F003C">
        <w:rPr>
          <w:u w:val="single"/>
        </w:rPr>
        <w:t>maximal 2 Jahre, wenn die Baute noch erstellt werden muss</w:t>
      </w:r>
      <w:r>
        <w:t>.</w:t>
      </w:r>
    </w:p>
    <w:p w:rsidR="00B87953" w:rsidRDefault="00B87953" w:rsidP="00B87953"/>
    <w:p w:rsidR="00B87953" w:rsidRDefault="00B87953" w:rsidP="00B87953">
      <w:r>
        <w:t>Während der Frist von 2 Jahren wird die Handänderungssteuer gestundet und mit einem g</w:t>
      </w:r>
      <w:r>
        <w:t>e</w:t>
      </w:r>
      <w:r>
        <w:t>setzlichen Grundpfandrecht sichergestellt (Eintrag im Grundbuch). Sofern der Nachweis der 2-jährigen ununterbrochenen Wohnsitznahme nachträglich dem Grundbuchamt eingereicht wird, wird die Stundung der Handänderungssteuer in eine Steuerbefreiung umgewandelt und das gesetzliche Grundpfandrecht im Grundbuch gelöscht. Kann der Nachweis nicht erbracht werden, muss die Handänderungssteuer nachträglich bezahlt werden.</w:t>
      </w:r>
    </w:p>
    <w:p w:rsidR="00B87953" w:rsidRDefault="00B87953" w:rsidP="00B87953"/>
    <w:p w:rsidR="00B87953" w:rsidRDefault="00B87953" w:rsidP="00B87953">
      <w:r>
        <w:t>Die Gebühr des Grundbuchamtes für das Steuerbefreiungs- und Stundungsgesuch beträgt Fr. 350</w:t>
      </w:r>
      <w:proofErr w:type="gramStart"/>
      <w:r>
        <w:t>.—</w:t>
      </w:r>
      <w:proofErr w:type="gramEnd"/>
      <w:r>
        <w:t>.</w:t>
      </w:r>
    </w:p>
    <w:p w:rsidR="00B87953" w:rsidRDefault="00B87953" w:rsidP="00B87953">
      <w:pPr>
        <w:rPr>
          <w:u w:val="single"/>
        </w:rPr>
      </w:pPr>
    </w:p>
    <w:p w:rsidR="00B87953" w:rsidRDefault="00B87953" w:rsidP="00B87953">
      <w:r w:rsidRPr="00B87953">
        <w:rPr>
          <w:b/>
        </w:rPr>
        <w:t>Beispiele</w:t>
      </w:r>
      <w:r>
        <w:t xml:space="preserve"> (Auszug aus "Weiterbildungstag Grundbuchverwalter 13.11.2014, Fälle zum neuen HG):</w:t>
      </w:r>
    </w:p>
    <w:p w:rsidR="00565934" w:rsidRPr="006E6A15" w:rsidRDefault="00565934" w:rsidP="00565934">
      <w:pPr>
        <w:tabs>
          <w:tab w:val="left" w:pos="426"/>
          <w:tab w:val="left" w:pos="6521"/>
          <w:tab w:val="left" w:pos="7371"/>
          <w:tab w:val="decimal" w:pos="8505"/>
        </w:tabs>
      </w:pPr>
      <w:r w:rsidRPr="006E6A15">
        <w:t>1.</w:t>
      </w:r>
      <w:r w:rsidRPr="006E6A15">
        <w:tab/>
      </w:r>
      <w:r w:rsidRPr="00565934">
        <w:rPr>
          <w:b/>
        </w:rPr>
        <w:t>A erwirbt einen Hauptwohnsitz als Alleineigentümer</w:t>
      </w:r>
    </w:p>
    <w:p w:rsidR="00565934" w:rsidRDefault="00565934" w:rsidP="00565934">
      <w:pPr>
        <w:tabs>
          <w:tab w:val="left" w:pos="426"/>
          <w:tab w:val="left" w:pos="6521"/>
          <w:tab w:val="left" w:pos="7371"/>
          <w:tab w:val="decimal" w:pos="8505"/>
        </w:tabs>
        <w:ind w:left="426"/>
      </w:pPr>
      <w:r>
        <w:t>A kauft als Alleineigentümer eine Liegenschaft mit Einfamilienhaus für Fr. 2 Mio. Er e</w:t>
      </w:r>
      <w:r>
        <w:t>r</w:t>
      </w:r>
      <w:r>
        <w:t>klärt, dieses Grundstück als Hauptwohnsitz nutzen zu wollen.</w:t>
      </w:r>
    </w:p>
    <w:p w:rsidR="00565934" w:rsidRDefault="00565934" w:rsidP="00565934">
      <w:pPr>
        <w:tabs>
          <w:tab w:val="left" w:pos="426"/>
          <w:tab w:val="left" w:pos="6521"/>
          <w:tab w:val="left" w:pos="7371"/>
          <w:tab w:val="decimal" w:pos="8505"/>
        </w:tabs>
        <w:ind w:left="426"/>
      </w:pPr>
      <w:r>
        <w:lastRenderedPageBreak/>
        <w:t>Handänderungssteuer:</w:t>
      </w:r>
    </w:p>
    <w:p w:rsidR="00565934" w:rsidRDefault="00565934" w:rsidP="00565934">
      <w:pPr>
        <w:tabs>
          <w:tab w:val="left" w:pos="426"/>
          <w:tab w:val="left" w:pos="6521"/>
          <w:tab w:val="left" w:pos="7371"/>
          <w:tab w:val="decimal" w:pos="8505"/>
        </w:tabs>
        <w:ind w:left="426"/>
      </w:pPr>
      <w:r>
        <w:t>auf Fr. 800'000.—</w:t>
      </w:r>
      <w:r>
        <w:tab/>
        <w:t>0%</w:t>
      </w:r>
      <w:r>
        <w:tab/>
        <w:t>Fr.</w:t>
      </w:r>
      <w:r>
        <w:tab/>
        <w:t>0.—</w:t>
      </w:r>
    </w:p>
    <w:p w:rsidR="00565934" w:rsidRDefault="00565934" w:rsidP="00565934">
      <w:pPr>
        <w:tabs>
          <w:tab w:val="left" w:pos="426"/>
          <w:tab w:val="left" w:pos="6521"/>
          <w:tab w:val="left" w:pos="7371"/>
          <w:tab w:val="decimal" w:pos="8505"/>
        </w:tabs>
        <w:ind w:left="426"/>
      </w:pPr>
      <w:r>
        <w:t>(Steuer-Stundung)</w:t>
      </w:r>
    </w:p>
    <w:p w:rsidR="00565934" w:rsidRDefault="00565934" w:rsidP="00565934">
      <w:pPr>
        <w:tabs>
          <w:tab w:val="left" w:pos="426"/>
          <w:tab w:val="left" w:pos="6521"/>
          <w:tab w:val="left" w:pos="7371"/>
          <w:tab w:val="decimal" w:pos="8505"/>
        </w:tabs>
        <w:ind w:left="426"/>
      </w:pPr>
      <w:r>
        <w:t>auf Fr. 1'200'000.—</w:t>
      </w:r>
      <w:r>
        <w:tab/>
        <w:t>1,8%</w:t>
      </w:r>
      <w:r>
        <w:tab/>
        <w:t>Fr.</w:t>
      </w:r>
      <w:r>
        <w:tab/>
        <w:t>21'600.—</w:t>
      </w:r>
    </w:p>
    <w:p w:rsidR="00565934" w:rsidRDefault="00565934" w:rsidP="00565934">
      <w:pPr>
        <w:tabs>
          <w:tab w:val="left" w:pos="426"/>
          <w:tab w:val="left" w:pos="6521"/>
          <w:tab w:val="left" w:pos="7371"/>
          <w:tab w:val="decimal" w:pos="8505"/>
        </w:tabs>
        <w:ind w:left="426"/>
      </w:pPr>
      <w:r>
        <w:t>(sofort zu bezahlen)</w:t>
      </w:r>
    </w:p>
    <w:p w:rsidR="00565934" w:rsidRDefault="00565934" w:rsidP="00565934">
      <w:pPr>
        <w:tabs>
          <w:tab w:val="left" w:pos="426"/>
          <w:tab w:val="left" w:pos="6521"/>
          <w:tab w:val="left" w:pos="7371"/>
          <w:tab w:val="decimal" w:pos="8505"/>
        </w:tabs>
        <w:ind w:left="426"/>
      </w:pPr>
      <w:r>
        <w:t>Auf der Liegenschaft wird im Rang 0 eine Grundpfandverschreibung von Fr. 14'400</w:t>
      </w:r>
      <w:proofErr w:type="gramStart"/>
      <w:r>
        <w:t>.—</w:t>
      </w:r>
      <w:proofErr w:type="gramEnd"/>
      <w:r>
        <w:t xml:space="preserve"> als "Gesetzliches Grundpfandrecht zur Sicherung der Handänderungssteuer (Hauptwoh</w:t>
      </w:r>
      <w:r>
        <w:t>n</w:t>
      </w:r>
      <w:r>
        <w:t>sitz) – Stundung der Steuer 3 Jahre" eingetragen.</w:t>
      </w:r>
    </w:p>
    <w:p w:rsidR="00565934" w:rsidRDefault="00565934" w:rsidP="00565934">
      <w:pPr>
        <w:tabs>
          <w:tab w:val="left" w:pos="426"/>
          <w:tab w:val="left" w:pos="6521"/>
          <w:tab w:val="left" w:pos="7371"/>
          <w:tab w:val="decimal" w:pos="8505"/>
        </w:tabs>
        <w:ind w:left="426"/>
      </w:pPr>
      <w:r>
        <w:t>Nach der Einreichung des Nachweises des Hauptwohnsitzes (Wohnsitzbescheinigung der Gemeinde) wird dieses gesetzliche Grundpfandrecht im Grundbuch gelöscht. Wird der Nachweis nicht erbracht, ist die gestundete Steuer von Fr. 14'400</w:t>
      </w:r>
      <w:proofErr w:type="gramStart"/>
      <w:r>
        <w:t>.—</w:t>
      </w:r>
      <w:proofErr w:type="gramEnd"/>
      <w:r>
        <w:t xml:space="preserve"> zuzüglich Zins nachträglich zu bezahlen.</w:t>
      </w:r>
    </w:p>
    <w:p w:rsidR="00565934" w:rsidRDefault="00565934" w:rsidP="00565934">
      <w:pPr>
        <w:tabs>
          <w:tab w:val="left" w:pos="426"/>
          <w:tab w:val="left" w:pos="6521"/>
          <w:tab w:val="left" w:pos="7371"/>
          <w:tab w:val="decimal" w:pos="8505"/>
        </w:tabs>
      </w:pPr>
    </w:p>
    <w:p w:rsidR="00565934" w:rsidRPr="006E6A15" w:rsidRDefault="00565934" w:rsidP="00565934">
      <w:pPr>
        <w:tabs>
          <w:tab w:val="left" w:pos="426"/>
          <w:tab w:val="left" w:pos="6521"/>
          <w:tab w:val="left" w:pos="7371"/>
          <w:tab w:val="decimal" w:pos="8505"/>
        </w:tabs>
      </w:pPr>
      <w:r w:rsidRPr="006E6A15">
        <w:t>2.</w:t>
      </w:r>
      <w:r w:rsidRPr="006E6A15">
        <w:tab/>
      </w:r>
      <w:r w:rsidRPr="00565934">
        <w:rPr>
          <w:b/>
        </w:rPr>
        <w:t>Ehegatten A und B als einfache Gesellschaft</w:t>
      </w:r>
    </w:p>
    <w:p w:rsidR="00565934" w:rsidRDefault="00565934" w:rsidP="00565934">
      <w:pPr>
        <w:tabs>
          <w:tab w:val="left" w:pos="426"/>
          <w:tab w:val="left" w:pos="6521"/>
          <w:tab w:val="left" w:pos="7371"/>
          <w:tab w:val="decimal" w:pos="8505"/>
        </w:tabs>
        <w:ind w:left="426"/>
      </w:pPr>
      <w:r>
        <w:t>Die Ehegatten A und B erwerben als einfache Gesellschaft ein Einfamilienhaus. Die Ve</w:t>
      </w:r>
      <w:r>
        <w:t>r</w:t>
      </w:r>
      <w:r>
        <w:t>anlagung erfolgt wie im Beispiel 1 (objektbezogene Betrachtungsweise) (keine Steuerb</w:t>
      </w:r>
      <w:r>
        <w:t>e</w:t>
      </w:r>
      <w:r>
        <w:t>freiung für den doppelten Betrag).</w:t>
      </w:r>
    </w:p>
    <w:p w:rsidR="00565934" w:rsidRDefault="00565934" w:rsidP="00565934">
      <w:pPr>
        <w:tabs>
          <w:tab w:val="left" w:pos="426"/>
          <w:tab w:val="left" w:pos="6521"/>
          <w:tab w:val="left" w:pos="7371"/>
          <w:tab w:val="decimal" w:pos="8505"/>
        </w:tabs>
      </w:pPr>
    </w:p>
    <w:p w:rsidR="00565934" w:rsidRPr="006E6A15" w:rsidRDefault="00565934" w:rsidP="00565934">
      <w:pPr>
        <w:tabs>
          <w:tab w:val="left" w:pos="426"/>
          <w:tab w:val="left" w:pos="6521"/>
          <w:tab w:val="left" w:pos="7371"/>
          <w:tab w:val="decimal" w:pos="8505"/>
        </w:tabs>
      </w:pPr>
      <w:r w:rsidRPr="006E6A15">
        <w:t>3.</w:t>
      </w:r>
      <w:r w:rsidRPr="006E6A15">
        <w:tab/>
      </w:r>
      <w:r w:rsidRPr="00565934">
        <w:rPr>
          <w:b/>
        </w:rPr>
        <w:t>Ehegatten A und B als Miteigentümer</w:t>
      </w:r>
    </w:p>
    <w:p w:rsidR="00565934" w:rsidRDefault="00565934" w:rsidP="00565934">
      <w:pPr>
        <w:tabs>
          <w:tab w:val="left" w:pos="426"/>
          <w:tab w:val="left" w:pos="6521"/>
          <w:tab w:val="left" w:pos="7371"/>
          <w:tab w:val="decimal" w:pos="8505"/>
        </w:tabs>
        <w:ind w:left="426"/>
      </w:pPr>
      <w:r>
        <w:t>Die Ehegatten A und B erwerben als Miteigentümer ein Einfamilienhaus. Die Veranl</w:t>
      </w:r>
      <w:r>
        <w:t>a</w:t>
      </w:r>
      <w:r>
        <w:t>gung erfolgt wie im Beispiel 1 (objektbezogene Betrachtungsweise) (keine Steuerbefre</w:t>
      </w:r>
      <w:r>
        <w:t>i</w:t>
      </w:r>
      <w:r>
        <w:t>ung für den doppelten Betrag).</w:t>
      </w:r>
    </w:p>
    <w:p w:rsidR="00565934" w:rsidRDefault="00565934" w:rsidP="00565934">
      <w:pPr>
        <w:tabs>
          <w:tab w:val="left" w:pos="426"/>
          <w:tab w:val="left" w:pos="6521"/>
          <w:tab w:val="left" w:pos="7371"/>
          <w:tab w:val="decimal" w:pos="8505"/>
        </w:tabs>
      </w:pPr>
    </w:p>
    <w:p w:rsidR="00565934" w:rsidRPr="006E6A15" w:rsidRDefault="00565934" w:rsidP="00565934">
      <w:pPr>
        <w:tabs>
          <w:tab w:val="left" w:pos="426"/>
          <w:tab w:val="left" w:pos="6521"/>
          <w:tab w:val="left" w:pos="7371"/>
          <w:tab w:val="decimal" w:pos="8505"/>
        </w:tabs>
      </w:pPr>
      <w:r w:rsidRPr="006E6A15">
        <w:t>4.</w:t>
      </w:r>
      <w:r w:rsidRPr="006E6A15">
        <w:tab/>
      </w:r>
      <w:r w:rsidRPr="00565934">
        <w:rPr>
          <w:b/>
        </w:rPr>
        <w:t>Ehegatten erwerben ein Zweifamilienhaus</w:t>
      </w:r>
    </w:p>
    <w:p w:rsidR="00565934" w:rsidRDefault="00565934" w:rsidP="00565934">
      <w:pPr>
        <w:tabs>
          <w:tab w:val="left" w:pos="426"/>
          <w:tab w:val="left" w:pos="6521"/>
          <w:tab w:val="left" w:pos="7371"/>
          <w:tab w:val="decimal" w:pos="8505"/>
        </w:tabs>
        <w:ind w:left="426"/>
      </w:pPr>
      <w:r>
        <w:t>Die Ehegatten A und B erwerben eine Liegenschaft mit Zweifamilienhaus als einfache Gesellschaft (intern je 1/2) oder als Miteigentümer je zur Hälfte zum Preis von Fr. 2 Mio.</w:t>
      </w:r>
    </w:p>
    <w:p w:rsidR="00565934" w:rsidRDefault="00565934" w:rsidP="00565934">
      <w:pPr>
        <w:tabs>
          <w:tab w:val="left" w:pos="426"/>
          <w:tab w:val="left" w:pos="6521"/>
          <w:tab w:val="left" w:pos="7371"/>
          <w:tab w:val="decimal" w:pos="8505"/>
        </w:tabs>
        <w:ind w:left="426"/>
      </w:pPr>
      <w:r>
        <w:t>Sie erklären, eine Wohnung als Hauptwohnsitz nutzen zu wollen und die andere Wo</w:t>
      </w:r>
      <w:r>
        <w:t>h</w:t>
      </w:r>
      <w:r>
        <w:t>nung zu vermieten.</w:t>
      </w:r>
    </w:p>
    <w:p w:rsidR="00565934" w:rsidRDefault="00565934" w:rsidP="00565934">
      <w:pPr>
        <w:tabs>
          <w:tab w:val="left" w:pos="426"/>
          <w:tab w:val="left" w:pos="6521"/>
          <w:tab w:val="left" w:pos="7371"/>
          <w:tab w:val="decimal" w:pos="8505"/>
        </w:tabs>
        <w:ind w:left="426"/>
      </w:pPr>
      <w:r>
        <w:t>Zu diesem Zweck werden sie das Grundstück in Stockwerkeigentum aufteilen, mit Wer</w:t>
      </w:r>
      <w:r>
        <w:t>t</w:t>
      </w:r>
      <w:r>
        <w:t>quoten von je 50% (oder in gewöhnliches Miteigentum je 50%/50% mit räumlicher Zuor</w:t>
      </w:r>
      <w:r>
        <w:t>d</w:t>
      </w:r>
      <w:r>
        <w:t xml:space="preserve">nung der Wohnungen mittels Reglement). </w:t>
      </w:r>
    </w:p>
    <w:p w:rsidR="00565934" w:rsidRDefault="00565934" w:rsidP="00565934">
      <w:pPr>
        <w:tabs>
          <w:tab w:val="left" w:pos="426"/>
          <w:tab w:val="left" w:pos="6521"/>
          <w:tab w:val="left" w:pos="7371"/>
          <w:tab w:val="decimal" w:pos="8505"/>
        </w:tabs>
        <w:ind w:left="426"/>
      </w:pPr>
      <w:r>
        <w:t>Sofern die sachenrechtliche Aufteilung innert 1 Jahr seit Erwerb erfolgt, wird eine Steuer-Stundung bzw. –Befreiung auf Fr. 800'000</w:t>
      </w:r>
      <w:proofErr w:type="gramStart"/>
      <w:r>
        <w:t>.—</w:t>
      </w:r>
      <w:proofErr w:type="gramEnd"/>
      <w:r>
        <w:t xml:space="preserve"> gewährt; auf den übrigen Fr. 1'200'000.— ist die Handänderungssteuer von Fr. 21'600.— sofort zu bezahlen. (Die Ehegatten e</w:t>
      </w:r>
      <w:r>
        <w:t>r</w:t>
      </w:r>
      <w:r>
        <w:t>werben eine Wohnung für Fr. 1 Mio. als Hauptwohnsitz).</w:t>
      </w:r>
    </w:p>
    <w:p w:rsidR="00565934" w:rsidRDefault="00565934" w:rsidP="00565934">
      <w:pPr>
        <w:tabs>
          <w:tab w:val="left" w:pos="426"/>
          <w:tab w:val="left" w:pos="6521"/>
          <w:tab w:val="left" w:pos="7371"/>
          <w:tab w:val="decimal" w:pos="8505"/>
        </w:tabs>
      </w:pPr>
    </w:p>
    <w:p w:rsidR="00565934" w:rsidRPr="006E6A15" w:rsidRDefault="00565934" w:rsidP="00565934">
      <w:pPr>
        <w:tabs>
          <w:tab w:val="left" w:pos="426"/>
          <w:tab w:val="left" w:pos="6521"/>
          <w:tab w:val="left" w:pos="7371"/>
          <w:tab w:val="decimal" w:pos="8505"/>
        </w:tabs>
      </w:pPr>
      <w:r>
        <w:t>5</w:t>
      </w:r>
      <w:r w:rsidRPr="006E6A15">
        <w:t>.</w:t>
      </w:r>
      <w:r w:rsidRPr="006E6A15">
        <w:tab/>
      </w:r>
      <w:r w:rsidRPr="00565934">
        <w:rPr>
          <w:b/>
        </w:rPr>
        <w:t>Geschwister A und B als Miteigentümer</w:t>
      </w:r>
    </w:p>
    <w:p w:rsidR="00565934" w:rsidRDefault="00565934" w:rsidP="00565934">
      <w:pPr>
        <w:tabs>
          <w:tab w:val="left" w:pos="426"/>
          <w:tab w:val="left" w:pos="6521"/>
          <w:tab w:val="left" w:pos="7371"/>
          <w:tab w:val="decimal" w:pos="8505"/>
        </w:tabs>
        <w:ind w:left="426"/>
      </w:pPr>
      <w:r>
        <w:t>Die Geschwister A und B erwerben eine Liegenschaft mit Zweifamilienhaus als Miteige</w:t>
      </w:r>
      <w:r>
        <w:t>n</w:t>
      </w:r>
      <w:r>
        <w:t>tümer je zur Hälfte zum Preis von Fr. 2 Mio. Sie erklären, dieses Grundstück je als Hauptwohnsitz nutzen zu wollen. Zu diesem Zweck werden sie das Grundstück in Stoc</w:t>
      </w:r>
      <w:r>
        <w:t>k</w:t>
      </w:r>
      <w:r>
        <w:t>werkeigentum aufteilen, mit Wertquoten von je 50%.</w:t>
      </w:r>
    </w:p>
    <w:p w:rsidR="00565934" w:rsidRDefault="00565934" w:rsidP="00565934">
      <w:pPr>
        <w:tabs>
          <w:tab w:val="left" w:pos="426"/>
          <w:tab w:val="left" w:pos="6521"/>
          <w:tab w:val="left" w:pos="7371"/>
          <w:tab w:val="decimal" w:pos="8505"/>
        </w:tabs>
        <w:ind w:left="426"/>
      </w:pPr>
      <w:r>
        <w:t xml:space="preserve">Sofern die </w:t>
      </w:r>
      <w:r w:rsidRPr="0060534C">
        <w:rPr>
          <w:u w:val="single"/>
        </w:rPr>
        <w:t>sachenrechtliche Aufteilung</w:t>
      </w:r>
      <w:r>
        <w:t xml:space="preserve"> (hier </w:t>
      </w:r>
      <w:r w:rsidRPr="0060534C">
        <w:rPr>
          <w:u w:val="single"/>
        </w:rPr>
        <w:t>Stockwerkeigentum</w:t>
      </w:r>
      <w:r>
        <w:t xml:space="preserve">, es könnte aber auch </w:t>
      </w:r>
      <w:r w:rsidRPr="0060534C">
        <w:rPr>
          <w:u w:val="single"/>
        </w:rPr>
        <w:t>gewöhnliches Miteigentum mit räumlicher Zuordnung der Wohnungen mittels Reglement</w:t>
      </w:r>
      <w:r>
        <w:t xml:space="preserve"> gewählt werden) </w:t>
      </w:r>
      <w:r w:rsidRPr="0060534C">
        <w:rPr>
          <w:u w:val="single"/>
        </w:rPr>
        <w:t>innert einem Jahr nach dem Erwerb</w:t>
      </w:r>
      <w:r>
        <w:t xml:space="preserve"> erfolgt, wird die Handänderung</w:t>
      </w:r>
      <w:r>
        <w:t>s</w:t>
      </w:r>
      <w:r>
        <w:t>steuer wie folgt veranlagt:</w:t>
      </w:r>
    </w:p>
    <w:p w:rsidR="00AB6DDD" w:rsidRDefault="00AB6DDD">
      <w:pPr>
        <w:spacing w:after="200"/>
      </w:pPr>
      <w:r>
        <w:br w:type="page"/>
      </w:r>
    </w:p>
    <w:p w:rsidR="00565934" w:rsidRDefault="00565934" w:rsidP="00565934">
      <w:pPr>
        <w:tabs>
          <w:tab w:val="left" w:pos="426"/>
          <w:tab w:val="left" w:pos="6521"/>
          <w:tab w:val="left" w:pos="7371"/>
          <w:tab w:val="decimal" w:pos="8505"/>
        </w:tabs>
        <w:ind w:left="426"/>
      </w:pPr>
      <w:r>
        <w:lastRenderedPageBreak/>
        <w:t>Geschwister A:</w:t>
      </w:r>
    </w:p>
    <w:p w:rsidR="00565934" w:rsidRDefault="00565934" w:rsidP="00565934">
      <w:pPr>
        <w:tabs>
          <w:tab w:val="left" w:pos="426"/>
          <w:tab w:val="left" w:pos="6521"/>
          <w:tab w:val="left" w:pos="7371"/>
          <w:tab w:val="decimal" w:pos="8505"/>
        </w:tabs>
        <w:ind w:left="426"/>
      </w:pPr>
      <w:r>
        <w:t>auf Fr. 800'000.—</w:t>
      </w:r>
      <w:r>
        <w:tab/>
        <w:t>0%</w:t>
      </w:r>
      <w:r>
        <w:tab/>
        <w:t>Fr.</w:t>
      </w:r>
      <w:r>
        <w:tab/>
        <w:t>0.—</w:t>
      </w:r>
    </w:p>
    <w:p w:rsidR="00565934" w:rsidRDefault="00565934" w:rsidP="00565934">
      <w:pPr>
        <w:tabs>
          <w:tab w:val="left" w:pos="426"/>
          <w:tab w:val="left" w:pos="6521"/>
          <w:tab w:val="left" w:pos="7371"/>
          <w:tab w:val="decimal" w:pos="8505"/>
        </w:tabs>
        <w:ind w:left="426"/>
      </w:pPr>
      <w:r>
        <w:t>(Steuer-Stundung)</w:t>
      </w:r>
    </w:p>
    <w:p w:rsidR="00565934" w:rsidRDefault="00565934" w:rsidP="00565934">
      <w:pPr>
        <w:tabs>
          <w:tab w:val="left" w:pos="426"/>
          <w:tab w:val="left" w:pos="6521"/>
          <w:tab w:val="left" w:pos="7371"/>
          <w:tab w:val="decimal" w:pos="8505"/>
        </w:tabs>
        <w:ind w:left="426"/>
      </w:pPr>
      <w:r>
        <w:t>auf Fr. 200'000.—</w:t>
      </w:r>
      <w:r>
        <w:tab/>
        <w:t>1,8%</w:t>
      </w:r>
      <w:r>
        <w:tab/>
        <w:t>Fr.</w:t>
      </w:r>
      <w:r>
        <w:tab/>
        <w:t>3'600.—</w:t>
      </w:r>
    </w:p>
    <w:p w:rsidR="00565934" w:rsidRDefault="00565934" w:rsidP="00565934">
      <w:pPr>
        <w:tabs>
          <w:tab w:val="left" w:pos="426"/>
          <w:tab w:val="left" w:pos="6521"/>
          <w:tab w:val="left" w:pos="7371"/>
          <w:tab w:val="decimal" w:pos="8505"/>
        </w:tabs>
        <w:ind w:left="426"/>
      </w:pPr>
      <w:r>
        <w:t>(sofort zu bezahlen)</w:t>
      </w:r>
    </w:p>
    <w:p w:rsidR="00565934" w:rsidRDefault="00565934" w:rsidP="00565934">
      <w:pPr>
        <w:tabs>
          <w:tab w:val="left" w:pos="426"/>
          <w:tab w:val="left" w:pos="6521"/>
          <w:tab w:val="left" w:pos="7371"/>
          <w:tab w:val="decimal" w:pos="8505"/>
        </w:tabs>
        <w:ind w:left="426"/>
      </w:pPr>
      <w:r>
        <w:t>Geschwister B:</w:t>
      </w:r>
    </w:p>
    <w:p w:rsidR="00565934" w:rsidRDefault="00565934" w:rsidP="00565934">
      <w:pPr>
        <w:tabs>
          <w:tab w:val="left" w:pos="426"/>
          <w:tab w:val="left" w:pos="6521"/>
          <w:tab w:val="left" w:pos="7371"/>
          <w:tab w:val="decimal" w:pos="8505"/>
        </w:tabs>
        <w:ind w:left="426"/>
      </w:pPr>
      <w:r>
        <w:t>auf Fr. 800'000.—</w:t>
      </w:r>
      <w:r>
        <w:tab/>
        <w:t>0%</w:t>
      </w:r>
      <w:r>
        <w:tab/>
        <w:t>Fr.</w:t>
      </w:r>
      <w:r>
        <w:tab/>
        <w:t>0.—</w:t>
      </w:r>
    </w:p>
    <w:p w:rsidR="00565934" w:rsidRDefault="00565934" w:rsidP="00565934">
      <w:pPr>
        <w:tabs>
          <w:tab w:val="left" w:pos="426"/>
          <w:tab w:val="left" w:pos="6521"/>
          <w:tab w:val="left" w:pos="7371"/>
          <w:tab w:val="decimal" w:pos="8505"/>
        </w:tabs>
        <w:ind w:left="426"/>
      </w:pPr>
      <w:r>
        <w:t>auf Fr. 200'000.—</w:t>
      </w:r>
      <w:r>
        <w:tab/>
        <w:t>1,8%</w:t>
      </w:r>
      <w:r>
        <w:tab/>
        <w:t>Fr.</w:t>
      </w:r>
      <w:r>
        <w:tab/>
        <w:t>3'600.—</w:t>
      </w:r>
    </w:p>
    <w:p w:rsidR="00565934" w:rsidRDefault="00565934" w:rsidP="00565934">
      <w:pPr>
        <w:tabs>
          <w:tab w:val="left" w:pos="426"/>
          <w:tab w:val="left" w:pos="6521"/>
          <w:tab w:val="left" w:pos="7371"/>
          <w:tab w:val="decimal" w:pos="8505"/>
        </w:tabs>
        <w:ind w:left="426"/>
      </w:pPr>
      <w:r>
        <w:t>Bei der späteren StWE-Begründung muss das gesetzliche Grundpfandrecht des Kantons Bern für die gestundeten Handänderungssteuern bereinigt werden, sonst bleibt es auf dem Stamm-Grundstück eingetragen. Zur Aufteilung des gesetzlichen Grundpfandrec</w:t>
      </w:r>
      <w:r>
        <w:t>h</w:t>
      </w:r>
      <w:r>
        <w:t>tes auf die StWE-Einheiten A und B braucht es keine Zustimmung des Kantons Bern.</w:t>
      </w:r>
    </w:p>
    <w:p w:rsidR="00565934" w:rsidRDefault="00565934" w:rsidP="00565934">
      <w:pPr>
        <w:tabs>
          <w:tab w:val="left" w:pos="426"/>
          <w:tab w:val="left" w:pos="6521"/>
          <w:tab w:val="left" w:pos="7371"/>
          <w:tab w:val="decimal" w:pos="8505"/>
        </w:tabs>
      </w:pPr>
    </w:p>
    <w:p w:rsidR="00565934" w:rsidRPr="006E6A15" w:rsidRDefault="00565934" w:rsidP="00565934">
      <w:pPr>
        <w:tabs>
          <w:tab w:val="left" w:pos="426"/>
          <w:tab w:val="left" w:pos="6521"/>
          <w:tab w:val="left" w:pos="7371"/>
          <w:tab w:val="decimal" w:pos="8505"/>
        </w:tabs>
      </w:pPr>
      <w:r>
        <w:t>6</w:t>
      </w:r>
      <w:r w:rsidRPr="006E6A15">
        <w:t>.</w:t>
      </w:r>
      <w:r w:rsidRPr="006E6A15">
        <w:tab/>
      </w:r>
      <w:r w:rsidRPr="00565934">
        <w:rPr>
          <w:b/>
        </w:rPr>
        <w:t>A erwirbt einen Hauptwohnsitz mit Parkplatz und Nebenräumen</w:t>
      </w:r>
    </w:p>
    <w:p w:rsidR="00565934" w:rsidRDefault="00565934" w:rsidP="00565934">
      <w:pPr>
        <w:tabs>
          <w:tab w:val="left" w:pos="426"/>
          <w:tab w:val="left" w:pos="6521"/>
          <w:tab w:val="left" w:pos="7371"/>
          <w:tab w:val="decimal" w:pos="8505"/>
        </w:tabs>
        <w:ind w:left="426"/>
      </w:pPr>
      <w:r>
        <w:t>A erwirbt eine StWE-Einheit (Eigentumswohnung), einen Bastelraum, einen Nebenraum und 2 Einstellhallenplätze. Alle diese Räume befinden sich in der gleichen Überbauung. A erwirbt die Wohnung als Hauptwohnsitz.</w:t>
      </w:r>
    </w:p>
    <w:p w:rsidR="00565934" w:rsidRDefault="00565934" w:rsidP="00565934">
      <w:pPr>
        <w:tabs>
          <w:tab w:val="left" w:pos="426"/>
          <w:tab w:val="left" w:pos="6521"/>
          <w:tab w:val="left" w:pos="7371"/>
          <w:tab w:val="decimal" w:pos="8505"/>
        </w:tabs>
        <w:ind w:left="426"/>
      </w:pPr>
      <w:r>
        <w:t>Veranlagung der Handänderungssteuer wie im Beispiel 1 (Steuer-Stundung bzw. -Befreiung auf den ersten Fr. 800'000</w:t>
      </w:r>
      <w:proofErr w:type="gramStart"/>
      <w:r>
        <w:t>.—</w:t>
      </w:r>
      <w:proofErr w:type="gramEnd"/>
      <w:r>
        <w:t xml:space="preserve">), </w:t>
      </w:r>
      <w:r w:rsidRPr="005F003C">
        <w:rPr>
          <w:u w:val="single"/>
        </w:rPr>
        <w:t>sofern der Erwerb des Bastelraumes, der N</w:t>
      </w:r>
      <w:r w:rsidRPr="005F003C">
        <w:rPr>
          <w:u w:val="single"/>
        </w:rPr>
        <w:t>e</w:t>
      </w:r>
      <w:r w:rsidRPr="005F003C">
        <w:rPr>
          <w:u w:val="single"/>
        </w:rPr>
        <w:t>benräume und der Einstellhallenplätze im gleichen Vertrag wie der Erwerb der Eige</w:t>
      </w:r>
      <w:r w:rsidRPr="005F003C">
        <w:rPr>
          <w:u w:val="single"/>
        </w:rPr>
        <w:t>n</w:t>
      </w:r>
      <w:r w:rsidRPr="005F003C">
        <w:rPr>
          <w:u w:val="single"/>
        </w:rPr>
        <w:t>tumswohnung erfolgt</w:t>
      </w:r>
      <w:r>
        <w:t xml:space="preserve">. </w:t>
      </w:r>
    </w:p>
    <w:p w:rsidR="00565934" w:rsidRDefault="00565934" w:rsidP="00565934">
      <w:pPr>
        <w:tabs>
          <w:tab w:val="left" w:pos="426"/>
          <w:tab w:val="left" w:pos="6521"/>
          <w:tab w:val="left" w:pos="7371"/>
          <w:tab w:val="decimal" w:pos="8505"/>
        </w:tabs>
        <w:ind w:left="426"/>
      </w:pPr>
      <w:r>
        <w:t>Die gleiche Veranlagungspraxis kann auch angewendet werden auf als separate Grun</w:t>
      </w:r>
      <w:r>
        <w:t>d</w:t>
      </w:r>
      <w:r>
        <w:t>stücke ausgeschiedener Umschwung von maximal 2'500 m</w:t>
      </w:r>
      <w:r w:rsidRPr="00872DBC">
        <w:rPr>
          <w:vertAlign w:val="superscript"/>
        </w:rPr>
        <w:t>2</w:t>
      </w:r>
      <w:r>
        <w:t>, der zum Hauptgrundstück gehört, wie zum Beispiel ein Gemüse- oder Obstgarten.</w:t>
      </w:r>
    </w:p>
    <w:p w:rsidR="00565934" w:rsidRDefault="00565934" w:rsidP="00565934">
      <w:pPr>
        <w:tabs>
          <w:tab w:val="left" w:pos="426"/>
          <w:tab w:val="left" w:pos="6521"/>
          <w:tab w:val="left" w:pos="7371"/>
          <w:tab w:val="decimal" w:pos="8505"/>
        </w:tabs>
      </w:pPr>
    </w:p>
    <w:p w:rsidR="00565934" w:rsidRPr="006E6A15" w:rsidRDefault="00565934" w:rsidP="00565934">
      <w:pPr>
        <w:tabs>
          <w:tab w:val="left" w:pos="426"/>
          <w:tab w:val="left" w:pos="6521"/>
          <w:tab w:val="left" w:pos="7371"/>
          <w:tab w:val="decimal" w:pos="8505"/>
        </w:tabs>
      </w:pPr>
      <w:r>
        <w:t>7</w:t>
      </w:r>
      <w:r w:rsidRPr="006E6A15">
        <w:t>.</w:t>
      </w:r>
      <w:r w:rsidRPr="006E6A15">
        <w:tab/>
      </w:r>
      <w:r w:rsidRPr="00565934">
        <w:rPr>
          <w:b/>
        </w:rPr>
        <w:t>Erwerb der Nachbarwohnung</w:t>
      </w:r>
    </w:p>
    <w:p w:rsidR="00565934" w:rsidRDefault="00565934" w:rsidP="00565934">
      <w:pPr>
        <w:tabs>
          <w:tab w:val="left" w:pos="426"/>
          <w:tab w:val="left" w:pos="6521"/>
          <w:tab w:val="left" w:pos="7371"/>
          <w:tab w:val="decimal" w:pos="8505"/>
        </w:tabs>
        <w:ind w:left="426"/>
      </w:pPr>
      <w:r>
        <w:t xml:space="preserve">A ist Eigentümer der StWE-Einheit Nr. 100-1, die ihm als Hauptwohnsitz dient. Er erwirbt die danebenliegende Wohnung Nr. 100-2 und erklärt, dass diese ihm ebenfalls als Hauptwohnsitz diene. </w:t>
      </w:r>
    </w:p>
    <w:p w:rsidR="00565934" w:rsidRDefault="00565934" w:rsidP="00565934">
      <w:pPr>
        <w:tabs>
          <w:tab w:val="left" w:pos="426"/>
          <w:tab w:val="left" w:pos="6521"/>
          <w:tab w:val="left" w:pos="7371"/>
          <w:tab w:val="decimal" w:pos="8505"/>
        </w:tabs>
        <w:ind w:left="426"/>
      </w:pPr>
      <w:r>
        <w:t xml:space="preserve">Es gibt weder eine Stundung noch eine Befreiung von der Handänderungssteuer. Das Gesetz will den </w:t>
      </w:r>
      <w:r w:rsidRPr="005F003C">
        <w:rPr>
          <w:u w:val="single"/>
        </w:rPr>
        <w:t>Erwerb eines Hauptwohnsitzes und nicht dessen Vergrösserung privil</w:t>
      </w:r>
      <w:r w:rsidRPr="005F003C">
        <w:rPr>
          <w:u w:val="single"/>
        </w:rPr>
        <w:t>e</w:t>
      </w:r>
      <w:r w:rsidRPr="005F003C">
        <w:rPr>
          <w:u w:val="single"/>
        </w:rPr>
        <w:t>gieren</w:t>
      </w:r>
      <w:r>
        <w:t>. Da A schon einen Hauptwohnsitz hat und diesen auch nicht aufgibt, ist das G</w:t>
      </w:r>
      <w:r>
        <w:t>e</w:t>
      </w:r>
      <w:r>
        <w:t>schäft voll steuerpflichtig.</w:t>
      </w:r>
    </w:p>
    <w:p w:rsidR="00565934" w:rsidRDefault="00565934" w:rsidP="00565934">
      <w:pPr>
        <w:tabs>
          <w:tab w:val="left" w:pos="426"/>
          <w:tab w:val="left" w:pos="6521"/>
          <w:tab w:val="left" w:pos="7371"/>
          <w:tab w:val="decimal" w:pos="8505"/>
        </w:tabs>
      </w:pPr>
    </w:p>
    <w:p w:rsidR="00565934" w:rsidRPr="006E6A15" w:rsidRDefault="00565934" w:rsidP="00565934">
      <w:pPr>
        <w:tabs>
          <w:tab w:val="left" w:pos="426"/>
          <w:tab w:val="left" w:pos="6521"/>
          <w:tab w:val="left" w:pos="7371"/>
          <w:tab w:val="decimal" w:pos="8505"/>
        </w:tabs>
      </w:pPr>
      <w:r>
        <w:t>8</w:t>
      </w:r>
      <w:r w:rsidRPr="006E6A15">
        <w:t>.</w:t>
      </w:r>
      <w:r w:rsidRPr="006E6A15">
        <w:tab/>
      </w:r>
      <w:r w:rsidRPr="003E038E">
        <w:rPr>
          <w:b/>
        </w:rPr>
        <w:t>Erwerb des baurechtsbelasteten Grundstückes durch den Baurechtsnehmer</w:t>
      </w:r>
    </w:p>
    <w:p w:rsidR="00565934" w:rsidRDefault="00565934" w:rsidP="003E038E">
      <w:pPr>
        <w:tabs>
          <w:tab w:val="left" w:pos="426"/>
          <w:tab w:val="left" w:pos="6521"/>
          <w:tab w:val="left" w:pos="7371"/>
          <w:tab w:val="decimal" w:pos="8505"/>
        </w:tabs>
        <w:ind w:left="426"/>
      </w:pPr>
      <w:r>
        <w:t>A ist Eigentümer des selbständigen und dauernden Baurechtes Nr. 200, welches seinen Hauptwohnsitz enthält. A erwirbt nun von B die dazugehörige baurechtsbelastete Liege</w:t>
      </w:r>
      <w:r>
        <w:t>n</w:t>
      </w:r>
      <w:r>
        <w:t>schaft Nr. 100.</w:t>
      </w:r>
    </w:p>
    <w:p w:rsidR="00565934" w:rsidRDefault="00565934" w:rsidP="003E038E">
      <w:pPr>
        <w:tabs>
          <w:tab w:val="left" w:pos="426"/>
          <w:tab w:val="left" w:pos="6521"/>
          <w:tab w:val="left" w:pos="7371"/>
          <w:tab w:val="decimal" w:pos="8505"/>
        </w:tabs>
        <w:ind w:left="426"/>
      </w:pPr>
      <w:r>
        <w:t xml:space="preserve">Es gibt weder eine Stundung noch eine Befreiung von der Handänderungssteuer. Das Gesetz will </w:t>
      </w:r>
      <w:r w:rsidRPr="005F003C">
        <w:rPr>
          <w:u w:val="single"/>
        </w:rPr>
        <w:t>den Erwerb eines Hauptwohnsitzes und nicht dessen sachenrechtliche Ko</w:t>
      </w:r>
      <w:r w:rsidRPr="005F003C">
        <w:rPr>
          <w:u w:val="single"/>
        </w:rPr>
        <w:t>n</w:t>
      </w:r>
      <w:r w:rsidRPr="005F003C">
        <w:rPr>
          <w:u w:val="single"/>
        </w:rPr>
        <w:t>solidierung privilegieren</w:t>
      </w:r>
      <w:r>
        <w:t>. Da A schon einen Hauptwohnsitz hat und diesen auch nicht au</w:t>
      </w:r>
      <w:r>
        <w:t>f</w:t>
      </w:r>
      <w:r>
        <w:t>gibt, ist das Geschäft voll steuerpflichtig.</w:t>
      </w:r>
    </w:p>
    <w:p w:rsidR="00565934" w:rsidRDefault="00565934" w:rsidP="003E038E">
      <w:pPr>
        <w:tabs>
          <w:tab w:val="left" w:pos="426"/>
          <w:tab w:val="left" w:pos="6521"/>
          <w:tab w:val="left" w:pos="7371"/>
          <w:tab w:val="decimal" w:pos="8505"/>
        </w:tabs>
        <w:ind w:left="426"/>
      </w:pPr>
      <w:r>
        <w:t>Dasselbe würde gelten, wenn A ein Stück Land kaufen und dieses mit dem Grundstück, auf welchem sich sein Hauptwohnsitz befindet, vereinigen würde.</w:t>
      </w:r>
    </w:p>
    <w:p w:rsidR="00565934" w:rsidRDefault="00565934" w:rsidP="00565934">
      <w:pPr>
        <w:tabs>
          <w:tab w:val="left" w:pos="426"/>
          <w:tab w:val="left" w:pos="6521"/>
          <w:tab w:val="left" w:pos="7371"/>
          <w:tab w:val="decimal" w:pos="8505"/>
        </w:tabs>
      </w:pPr>
    </w:p>
    <w:p w:rsidR="00AB6DDD" w:rsidRDefault="00AB6DDD">
      <w:pPr>
        <w:spacing w:after="200"/>
      </w:pPr>
      <w:r>
        <w:br w:type="page"/>
      </w:r>
    </w:p>
    <w:p w:rsidR="00565934" w:rsidRPr="006E6A15" w:rsidRDefault="00565934" w:rsidP="00565934">
      <w:pPr>
        <w:tabs>
          <w:tab w:val="left" w:pos="426"/>
          <w:tab w:val="left" w:pos="6521"/>
          <w:tab w:val="left" w:pos="7371"/>
          <w:tab w:val="decimal" w:pos="8505"/>
        </w:tabs>
      </w:pPr>
      <w:r>
        <w:lastRenderedPageBreak/>
        <w:t>9</w:t>
      </w:r>
      <w:r w:rsidRPr="006E6A15">
        <w:t>.</w:t>
      </w:r>
      <w:r w:rsidRPr="006E6A15">
        <w:tab/>
      </w:r>
      <w:r w:rsidRPr="003E038E">
        <w:rPr>
          <w:b/>
        </w:rPr>
        <w:t>Unterbruch der Frist durch Tod</w:t>
      </w:r>
    </w:p>
    <w:p w:rsidR="00565934" w:rsidRDefault="00565934" w:rsidP="003E038E">
      <w:pPr>
        <w:tabs>
          <w:tab w:val="left" w:pos="426"/>
          <w:tab w:val="left" w:pos="709"/>
          <w:tab w:val="left" w:pos="6521"/>
          <w:tab w:val="left" w:pos="7371"/>
          <w:tab w:val="decimal" w:pos="8505"/>
        </w:tabs>
        <w:ind w:left="426"/>
      </w:pPr>
      <w:r>
        <w:t>A und B erwerben die Liegenschaft Nr. 200 zum Preis von Fr. 2 Mio. mit bestehendem Einfamilienhaus als einfache Gesellschafter mit interner Beteiligung von je ½. Sie erkl</w:t>
      </w:r>
      <w:r>
        <w:t>ä</w:t>
      </w:r>
      <w:r>
        <w:t>ren, dieses Grundstück als Hauptwohnsitz nutzen zu wollen und erhalten auch eine Stundungsfrist von 3 Jahren. Während dieser Frist stirbt A. Er hinterlässt als seine Erben die Witwe B und die Kinder Y und Z.</w:t>
      </w:r>
    </w:p>
    <w:p w:rsidR="00565934" w:rsidRDefault="00565934" w:rsidP="003E038E">
      <w:pPr>
        <w:tabs>
          <w:tab w:val="left" w:pos="426"/>
          <w:tab w:val="left" w:pos="709"/>
          <w:tab w:val="left" w:pos="6521"/>
          <w:tab w:val="left" w:pos="7371"/>
          <w:tab w:val="decimal" w:pos="8505"/>
        </w:tabs>
        <w:ind w:left="426"/>
      </w:pPr>
      <w:r>
        <w:t>Beim Erwerb des Grundstückes durch A und B wurde die Stundung für einen Betrag von Fr. 14'400</w:t>
      </w:r>
      <w:proofErr w:type="gramStart"/>
      <w:r>
        <w:t>.—</w:t>
      </w:r>
      <w:proofErr w:type="gramEnd"/>
      <w:r>
        <w:t xml:space="preserve"> gewährt (1,8% auf Fr. 800'000.—). Die jeweilige Beteiligung von A und B an diesem Betrag richtet sich nach dem internen Anteil an der einfachen Gesellschaft. Für A besteht somit ein interner Anteil von Fr. 7'200</w:t>
      </w:r>
      <w:proofErr w:type="gramStart"/>
      <w:r>
        <w:t>.—</w:t>
      </w:r>
      <w:proofErr w:type="gramEnd"/>
      <w:r>
        <w:t xml:space="preserve">. Beim Tod eines Steuerpflichtigen erfolgt dann kein Nachbezug, wenn die Angehörigen die Voraussetzungen bis zum Ablauf der Stundungsfrist erfüllen. </w:t>
      </w:r>
    </w:p>
    <w:p w:rsidR="00565934" w:rsidRDefault="00565934" w:rsidP="003E038E">
      <w:pPr>
        <w:tabs>
          <w:tab w:val="left" w:pos="426"/>
          <w:tab w:val="left" w:pos="709"/>
          <w:tab w:val="left" w:pos="6521"/>
          <w:tab w:val="left" w:pos="7371"/>
          <w:tab w:val="decimal" w:pos="8505"/>
        </w:tabs>
        <w:ind w:left="426"/>
      </w:pPr>
      <w:r>
        <w:t>Im Einzelnen gilt folgendes:</w:t>
      </w:r>
    </w:p>
    <w:p w:rsidR="00565934" w:rsidRDefault="00565934" w:rsidP="003E038E">
      <w:pPr>
        <w:tabs>
          <w:tab w:val="left" w:pos="426"/>
          <w:tab w:val="left" w:pos="709"/>
          <w:tab w:val="left" w:pos="6521"/>
          <w:tab w:val="left" w:pos="7371"/>
          <w:tab w:val="decimal" w:pos="8505"/>
        </w:tabs>
        <w:ind w:left="426"/>
      </w:pPr>
      <w:r>
        <w:t xml:space="preserve">Wenn </w:t>
      </w:r>
      <w:r w:rsidRPr="00C91065">
        <w:rPr>
          <w:u w:val="single"/>
        </w:rPr>
        <w:t>die beiden Kinder und die Witwe</w:t>
      </w:r>
      <w:r>
        <w:t xml:space="preserve"> im Zeitpunkt des Todes von A ihren Wohnsitz b</w:t>
      </w:r>
      <w:r>
        <w:t>e</w:t>
      </w:r>
      <w:r>
        <w:t>reits im Einfamilienhaus auf Nr. 200 haben und diesen bis zum Ablauf der Stundungsfrist beibehalten, erfolgt kein Nachbezug der Handänderungssteuer.</w:t>
      </w:r>
    </w:p>
    <w:p w:rsidR="00565934" w:rsidRDefault="00565934" w:rsidP="003E038E">
      <w:pPr>
        <w:tabs>
          <w:tab w:val="left" w:pos="426"/>
          <w:tab w:val="left" w:pos="709"/>
          <w:tab w:val="left" w:pos="6521"/>
          <w:tab w:val="left" w:pos="7371"/>
          <w:tab w:val="decimal" w:pos="8505"/>
        </w:tabs>
        <w:ind w:left="426"/>
      </w:pPr>
      <w:r>
        <w:t xml:space="preserve">Wenn </w:t>
      </w:r>
      <w:r w:rsidRPr="00C91065">
        <w:rPr>
          <w:u w:val="single"/>
        </w:rPr>
        <w:t>nur die Witwe</w:t>
      </w:r>
      <w:r>
        <w:t xml:space="preserve"> ihren Wohnsitz im Zeitpunkt des Todes von A im Einfamilienhaus auf Nr. 200 hat, erfolgt für den Teil, welcher kraft Güter- und Erbrecht unmittelbar eige</w:t>
      </w:r>
      <w:r>
        <w:t>n</w:t>
      </w:r>
      <w:r>
        <w:t>tumsmässig auf die Kinder übergeht, ein Nachbezug der Handänderungssteuer.</w:t>
      </w:r>
    </w:p>
    <w:p w:rsidR="00565934" w:rsidRDefault="00565934" w:rsidP="003E038E">
      <w:pPr>
        <w:tabs>
          <w:tab w:val="left" w:pos="426"/>
          <w:tab w:val="left" w:pos="709"/>
          <w:tab w:val="left" w:pos="6521"/>
          <w:tab w:val="left" w:pos="7371"/>
          <w:tab w:val="decimal" w:pos="8505"/>
        </w:tabs>
        <w:ind w:left="709" w:hanging="283"/>
      </w:pPr>
      <w:r>
        <w:t>-</w:t>
      </w:r>
      <w:r>
        <w:tab/>
        <w:t>Falls also weder ein Ehevertrag noch eine Verfügung von Todes wegen vorliegen, e</w:t>
      </w:r>
      <w:r>
        <w:t>r</w:t>
      </w:r>
      <w:r>
        <w:t>ben die Kinder ½ des gestundeten Steueranteils von A von Fr. 7'200</w:t>
      </w:r>
      <w:proofErr w:type="gramStart"/>
      <w:r>
        <w:t>.—</w:t>
      </w:r>
      <w:proofErr w:type="gramEnd"/>
      <w:r>
        <w:t>; somit erfolgt ein Nachbezug auf Fr. 3'600.— ( ½ von Fr. 7'200.—).</w:t>
      </w:r>
    </w:p>
    <w:p w:rsidR="00565934" w:rsidRDefault="00565934" w:rsidP="003E038E">
      <w:pPr>
        <w:tabs>
          <w:tab w:val="left" w:pos="426"/>
          <w:tab w:val="left" w:pos="709"/>
          <w:tab w:val="left" w:pos="6521"/>
          <w:tab w:val="left" w:pos="7371"/>
          <w:tab w:val="decimal" w:pos="8505"/>
        </w:tabs>
        <w:ind w:left="709" w:hanging="283"/>
      </w:pPr>
      <w:r>
        <w:t>-</w:t>
      </w:r>
      <w:r>
        <w:tab/>
        <w:t>Falls ein Ehevertrag mit Vorschlagszuweisung vorliegt und die Liegenschaft Errunge</w:t>
      </w:r>
      <w:r>
        <w:t>n</w:t>
      </w:r>
      <w:r>
        <w:t>schaft darstellt, bleibt es beim Nachbezug von Fr. 3'600</w:t>
      </w:r>
      <w:proofErr w:type="gramStart"/>
      <w:r>
        <w:t>.—</w:t>
      </w:r>
      <w:proofErr w:type="gramEnd"/>
      <w:r>
        <w:t>, weil die Vorschlagszuwe</w:t>
      </w:r>
      <w:r>
        <w:t>i</w:t>
      </w:r>
      <w:r>
        <w:t>sung keinen unmittelbaren Eigentumserwerb durch den überlebenden Ehegatten b</w:t>
      </w:r>
      <w:r>
        <w:t>e</w:t>
      </w:r>
      <w:r>
        <w:t>wirkt.</w:t>
      </w:r>
    </w:p>
    <w:p w:rsidR="00565934" w:rsidRDefault="00565934" w:rsidP="003E038E">
      <w:pPr>
        <w:tabs>
          <w:tab w:val="left" w:pos="426"/>
          <w:tab w:val="left" w:pos="709"/>
          <w:tab w:val="left" w:pos="6521"/>
          <w:tab w:val="left" w:pos="7371"/>
          <w:tab w:val="decimal" w:pos="8505"/>
        </w:tabs>
        <w:ind w:left="709" w:hanging="283"/>
      </w:pPr>
      <w:r>
        <w:t>-</w:t>
      </w:r>
      <w:r>
        <w:tab/>
        <w:t>Falls die Witwe durch Gütergemeinschaft mit Gesamtgutszuweisung Alleineigentüm</w:t>
      </w:r>
      <w:r>
        <w:t>e</w:t>
      </w:r>
      <w:r>
        <w:t>rin der betreffenden Liegenschaft wird, erfolgt kein Nachbezug der gestundeten HA-Steuer.</w:t>
      </w:r>
    </w:p>
    <w:p w:rsidR="00565934" w:rsidRDefault="00565934" w:rsidP="003E038E">
      <w:pPr>
        <w:tabs>
          <w:tab w:val="left" w:pos="426"/>
          <w:tab w:val="left" w:pos="709"/>
          <w:tab w:val="left" w:pos="6521"/>
          <w:tab w:val="left" w:pos="7371"/>
          <w:tab w:val="decimal" w:pos="8505"/>
        </w:tabs>
        <w:ind w:left="709" w:hanging="283"/>
      </w:pPr>
      <w:r>
        <w:t>-</w:t>
      </w:r>
      <w:r>
        <w:tab/>
        <w:t>Falls eine Verfügung von Todes wegen vorliegt, mit welcher die Kinder auf den Pflich</w:t>
      </w:r>
      <w:r>
        <w:t>t</w:t>
      </w:r>
      <w:r>
        <w:t>teil gesetzt werden, erfolgt ein Nachbezug von Fr. 2'700</w:t>
      </w:r>
      <w:proofErr w:type="gramStart"/>
      <w:r>
        <w:t>.—</w:t>
      </w:r>
      <w:proofErr w:type="gramEnd"/>
      <w:r>
        <w:t xml:space="preserve"> (3/8 von Fr. 7'200.—).</w:t>
      </w:r>
    </w:p>
    <w:p w:rsidR="00565934" w:rsidRDefault="00565934" w:rsidP="003E038E">
      <w:pPr>
        <w:tabs>
          <w:tab w:val="left" w:pos="426"/>
          <w:tab w:val="left" w:pos="709"/>
          <w:tab w:val="left" w:pos="6521"/>
          <w:tab w:val="left" w:pos="7371"/>
          <w:tab w:val="decimal" w:pos="8505"/>
        </w:tabs>
        <w:ind w:left="709" w:hanging="283"/>
      </w:pPr>
      <w:r>
        <w:t>-</w:t>
      </w:r>
      <w:r>
        <w:tab/>
        <w:t>Falls der Witwe die Nutzniessung gemäss Art. 473 ZGB eingeräumt wurde, ohne dass sie gleichzeitig Erbin ist, so erfolgt der unmittelbare Eigentumsübergang lediglich auf die Kinder und es findet ein Nachbezug im Umfang von Fr. 7'200.— statt.</w:t>
      </w:r>
    </w:p>
    <w:p w:rsidR="00565934" w:rsidRDefault="00565934" w:rsidP="003E038E">
      <w:pPr>
        <w:tabs>
          <w:tab w:val="left" w:pos="426"/>
          <w:tab w:val="left" w:pos="709"/>
          <w:tab w:val="left" w:pos="6521"/>
          <w:tab w:val="left" w:pos="7371"/>
          <w:tab w:val="decimal" w:pos="8505"/>
        </w:tabs>
        <w:ind w:left="426"/>
      </w:pPr>
      <w:r>
        <w:t xml:space="preserve">Wenn </w:t>
      </w:r>
      <w:r w:rsidRPr="00C91065">
        <w:rPr>
          <w:u w:val="single"/>
        </w:rPr>
        <w:t>die Witwe mit nur einem der beiden Kinder</w:t>
      </w:r>
      <w:r>
        <w:t xml:space="preserve"> am Hauptwohnsitz ist bzw. bleibt, wird analog wie oben nur der güter- und erbrechtliche Teil des sich nicht am Hauptwohnsitz befindlichen Kindes nachbezogen.</w:t>
      </w:r>
    </w:p>
    <w:p w:rsidR="00565934" w:rsidRDefault="00565934" w:rsidP="00565934">
      <w:pPr>
        <w:tabs>
          <w:tab w:val="left" w:pos="426"/>
          <w:tab w:val="left" w:pos="6521"/>
          <w:tab w:val="left" w:pos="7371"/>
          <w:tab w:val="decimal" w:pos="8505"/>
        </w:tabs>
      </w:pPr>
    </w:p>
    <w:p w:rsidR="00565934" w:rsidRPr="006E6A15" w:rsidRDefault="00565934" w:rsidP="00565934">
      <w:pPr>
        <w:tabs>
          <w:tab w:val="left" w:pos="426"/>
          <w:tab w:val="left" w:pos="6521"/>
          <w:tab w:val="left" w:pos="7371"/>
          <w:tab w:val="decimal" w:pos="8505"/>
        </w:tabs>
      </w:pPr>
      <w:r>
        <w:t>10</w:t>
      </w:r>
      <w:r w:rsidRPr="006E6A15">
        <w:t>.</w:t>
      </w:r>
      <w:r w:rsidRPr="006E6A15">
        <w:tab/>
      </w:r>
      <w:r w:rsidRPr="003E038E">
        <w:rPr>
          <w:b/>
        </w:rPr>
        <w:t>Unterbruch der Frist durch Scheidung</w:t>
      </w:r>
    </w:p>
    <w:p w:rsidR="00565934" w:rsidRDefault="00565934" w:rsidP="003E038E">
      <w:pPr>
        <w:tabs>
          <w:tab w:val="left" w:pos="426"/>
          <w:tab w:val="left" w:pos="6521"/>
          <w:tab w:val="left" w:pos="7371"/>
          <w:tab w:val="decimal" w:pos="8505"/>
        </w:tabs>
        <w:ind w:left="426"/>
      </w:pPr>
      <w:r>
        <w:t>A und B haben ein Einfamilienhaus als einfache Gesellschaft mit interner Beteiligung von je ½ als Hauptwohnsitz erworben. Während der Stundungsfrist lassen sich die Ehegatten scheiden; B übernimmt die Liegenschaft während A auszieht. Die Steuer-Stundung e</w:t>
      </w:r>
      <w:r>
        <w:t>r</w:t>
      </w:r>
      <w:r>
        <w:t>folgt auf den ersten Fr. 800'000</w:t>
      </w:r>
      <w:proofErr w:type="gramStart"/>
      <w:r>
        <w:t>.—</w:t>
      </w:r>
      <w:proofErr w:type="gramEnd"/>
      <w:r>
        <w:t>.</w:t>
      </w:r>
    </w:p>
    <w:p w:rsidR="00565934" w:rsidRDefault="00565934" w:rsidP="003E038E">
      <w:pPr>
        <w:tabs>
          <w:tab w:val="left" w:pos="426"/>
          <w:tab w:val="left" w:pos="6521"/>
          <w:tab w:val="left" w:pos="7371"/>
          <w:tab w:val="decimal" w:pos="8505"/>
        </w:tabs>
        <w:ind w:left="426"/>
      </w:pPr>
      <w:r>
        <w:t xml:space="preserve">Bei einer Ehescheidung erfolgt ein </w:t>
      </w:r>
      <w:r w:rsidRPr="005F003C">
        <w:rPr>
          <w:u w:val="single"/>
        </w:rPr>
        <w:t>Nachbezug für den Anteil des veräussernden Ehega</w:t>
      </w:r>
      <w:r w:rsidRPr="005F003C">
        <w:rPr>
          <w:u w:val="single"/>
        </w:rPr>
        <w:t>t</w:t>
      </w:r>
      <w:r w:rsidRPr="005F003C">
        <w:rPr>
          <w:u w:val="single"/>
        </w:rPr>
        <w:t>ten</w:t>
      </w:r>
      <w:r>
        <w:t>, sofern der andere das Objekt übernimmt und die Bedingungen zur Steuerbefreiung erfüllt. Im vorliegenden Fall erfolgt somit ein Nachbezug über Fr. 7'200</w:t>
      </w:r>
      <w:proofErr w:type="gramStart"/>
      <w:r>
        <w:t>.—</w:t>
      </w:r>
      <w:proofErr w:type="gramEnd"/>
      <w:r>
        <w:t xml:space="preserve"> (1,8% auf Fr. 400'000.—).</w:t>
      </w:r>
    </w:p>
    <w:p w:rsidR="00565934" w:rsidRPr="006E6A15" w:rsidRDefault="00565934" w:rsidP="00565934">
      <w:pPr>
        <w:tabs>
          <w:tab w:val="left" w:pos="426"/>
          <w:tab w:val="left" w:pos="6521"/>
          <w:tab w:val="left" w:pos="7371"/>
          <w:tab w:val="decimal" w:pos="8505"/>
        </w:tabs>
      </w:pPr>
      <w:r>
        <w:lastRenderedPageBreak/>
        <w:t>11</w:t>
      </w:r>
      <w:r w:rsidRPr="006E6A15">
        <w:t>.</w:t>
      </w:r>
      <w:r w:rsidRPr="006E6A15">
        <w:tab/>
      </w:r>
      <w:r w:rsidRPr="003E038E">
        <w:rPr>
          <w:b/>
        </w:rPr>
        <w:t>Unterbruch der Frist durch vorübergehenden Auslandaufenthalt</w:t>
      </w:r>
    </w:p>
    <w:p w:rsidR="00565934" w:rsidRDefault="00565934" w:rsidP="003E038E">
      <w:pPr>
        <w:tabs>
          <w:tab w:val="left" w:pos="426"/>
          <w:tab w:val="left" w:pos="6521"/>
          <w:tab w:val="left" w:pos="7371"/>
          <w:tab w:val="decimal" w:pos="8505"/>
        </w:tabs>
        <w:ind w:left="426"/>
      </w:pPr>
      <w:r>
        <w:t>A erwirbt ein Einfamilienhaus als Hauptwohnsitz zu Alleineigentum und erhält auch die entsprechende Stundung auf den ersten Fr. 800'000</w:t>
      </w:r>
      <w:proofErr w:type="gramStart"/>
      <w:r>
        <w:t>.—</w:t>
      </w:r>
      <w:proofErr w:type="gramEnd"/>
      <w:r>
        <w:t>. Kurz nach dem Einzug wechselt A seine Arbeitsstelle, in deren Rahmen er verpflichtet ist, jeweils für mehrere Monate pro Jahr im Ausland zu arbeiten.</w:t>
      </w:r>
    </w:p>
    <w:p w:rsidR="00565934" w:rsidRDefault="00565934" w:rsidP="003E038E">
      <w:pPr>
        <w:tabs>
          <w:tab w:val="left" w:pos="426"/>
          <w:tab w:val="left" w:pos="6521"/>
          <w:tab w:val="left" w:pos="7371"/>
          <w:tab w:val="decimal" w:pos="8505"/>
        </w:tabs>
        <w:ind w:left="426"/>
      </w:pPr>
      <w:r>
        <w:t>Vorbemerkung:</w:t>
      </w:r>
    </w:p>
    <w:p w:rsidR="00565934" w:rsidRDefault="00565934" w:rsidP="003E038E">
      <w:pPr>
        <w:tabs>
          <w:tab w:val="left" w:pos="426"/>
          <w:tab w:val="left" w:pos="6521"/>
          <w:tab w:val="left" w:pos="7371"/>
          <w:tab w:val="decimal" w:pos="8505"/>
        </w:tabs>
        <w:ind w:left="426"/>
      </w:pPr>
      <w:r>
        <w:t xml:space="preserve">Es handelt sich hier um Fälle, in welchen das </w:t>
      </w:r>
      <w:r w:rsidRPr="009825FD">
        <w:rPr>
          <w:u w:val="single"/>
        </w:rPr>
        <w:t>Hauptsteuerdomizil nicht ins Ausland ve</w:t>
      </w:r>
      <w:r w:rsidRPr="009825FD">
        <w:rPr>
          <w:u w:val="single"/>
        </w:rPr>
        <w:t>r</w:t>
      </w:r>
      <w:r w:rsidRPr="009825FD">
        <w:rPr>
          <w:u w:val="single"/>
        </w:rPr>
        <w:t>legt</w:t>
      </w:r>
      <w:r>
        <w:t xml:space="preserve"> wird (würde das Hauptsteuerdomizil ins Ausland verlegt, würde die Stundung zweife</w:t>
      </w:r>
      <w:r>
        <w:t>l</w:t>
      </w:r>
      <w:r>
        <w:t>los dahinfallen).</w:t>
      </w:r>
    </w:p>
    <w:p w:rsidR="00565934" w:rsidRDefault="00565934" w:rsidP="003E038E">
      <w:pPr>
        <w:tabs>
          <w:tab w:val="left" w:pos="426"/>
          <w:tab w:val="left" w:pos="6521"/>
          <w:tab w:val="left" w:pos="7371"/>
          <w:tab w:val="decimal" w:pos="8505"/>
        </w:tabs>
        <w:ind w:left="426"/>
      </w:pPr>
      <w:r>
        <w:t>Zur Prüfung der ununterbrochenen Nutzung als Wohnsitz stellt das Grundbuchamt primär auf die entsprechende Bescheinigung der Gemeinde ab. Erfährt das Grundbuchamt von einer längeren Abwesenheit des Steuerpflichtigen, sind die Gründe dieser Abwesenheit nur dann abzuklären und zu gewichten, wenn der Steuerpflichtigen länger als drei Mon</w:t>
      </w:r>
      <w:r>
        <w:t>a</w:t>
      </w:r>
      <w:r>
        <w:t>te pro Jahr abwesend ist. Ist dies der Fall, so kann die Stundung dann aufrechterhalten werden, wenn gute Gründe für diese längere Abwesenheit vorliegen. Als solche gelten vor allem längere Ausbildungs- oder Arbeitsaufenthalte an einem anderen Ort.</w:t>
      </w:r>
    </w:p>
    <w:p w:rsidR="00565934" w:rsidRDefault="00565934" w:rsidP="00565934">
      <w:pPr>
        <w:tabs>
          <w:tab w:val="left" w:pos="426"/>
          <w:tab w:val="left" w:pos="6521"/>
          <w:tab w:val="left" w:pos="7371"/>
          <w:tab w:val="decimal" w:pos="8505"/>
        </w:tabs>
      </w:pPr>
    </w:p>
    <w:p w:rsidR="00565934" w:rsidRPr="006E6A15" w:rsidRDefault="00565934" w:rsidP="00565934">
      <w:pPr>
        <w:tabs>
          <w:tab w:val="left" w:pos="426"/>
          <w:tab w:val="left" w:pos="6521"/>
          <w:tab w:val="left" w:pos="7371"/>
          <w:tab w:val="decimal" w:pos="8505"/>
        </w:tabs>
      </w:pPr>
      <w:r>
        <w:t>12</w:t>
      </w:r>
      <w:r w:rsidRPr="006E6A15">
        <w:t>.</w:t>
      </w:r>
      <w:r w:rsidRPr="006E6A15">
        <w:tab/>
      </w:r>
      <w:r w:rsidRPr="003E038E">
        <w:rPr>
          <w:b/>
        </w:rPr>
        <w:t>Abtretung mit Nutzniessungsvorbehalt</w:t>
      </w:r>
    </w:p>
    <w:p w:rsidR="00565934" w:rsidRDefault="00565934" w:rsidP="003E038E">
      <w:pPr>
        <w:tabs>
          <w:tab w:val="left" w:pos="426"/>
          <w:tab w:val="left" w:pos="6521"/>
          <w:tab w:val="left" w:pos="7371"/>
          <w:tab w:val="decimal" w:pos="8505"/>
        </w:tabs>
        <w:ind w:left="426"/>
      </w:pPr>
      <w:r>
        <w:t>Die Ehegatten A und B erwerben ein Einfamilienhaus als einfache Gesellschaft mit inte</w:t>
      </w:r>
      <w:r>
        <w:t>r</w:t>
      </w:r>
      <w:r>
        <w:t>ner Beteiligung von je ½ und zwar als Hauptwohnsitz. Sie erhalten deshalb die Steue</w:t>
      </w:r>
      <w:r>
        <w:t>r</w:t>
      </w:r>
      <w:r>
        <w:t>stundung.</w:t>
      </w:r>
    </w:p>
    <w:p w:rsidR="00565934" w:rsidRDefault="00565934" w:rsidP="003E038E">
      <w:pPr>
        <w:tabs>
          <w:tab w:val="left" w:pos="426"/>
          <w:tab w:val="left" w:pos="6521"/>
          <w:tab w:val="left" w:pos="7371"/>
          <w:tab w:val="decimal" w:pos="8505"/>
        </w:tabs>
        <w:ind w:left="426"/>
      </w:pPr>
      <w:r>
        <w:t>Während der Stundungsfrist treten die Ehegatten A und B die Liegenschaft auf Rechnung künftiger Erbschaft an ihre Kinder ab. Sie behalten sich dabei ein Nutzniessungsrecht vor und behalten das Grundstück als Hauptwohnsitz bei.</w:t>
      </w:r>
    </w:p>
    <w:p w:rsidR="00565934" w:rsidRDefault="00565934" w:rsidP="003E038E">
      <w:pPr>
        <w:tabs>
          <w:tab w:val="left" w:pos="426"/>
          <w:tab w:val="left" w:pos="6521"/>
          <w:tab w:val="left" w:pos="7371"/>
          <w:tab w:val="decimal" w:pos="8505"/>
        </w:tabs>
        <w:ind w:left="426"/>
      </w:pPr>
      <w:r>
        <w:t>Veräussert ein Erwerber das Grundstück vor Ablauf von 2 Jahren, wird die Handänd</w:t>
      </w:r>
      <w:r>
        <w:t>e</w:t>
      </w:r>
      <w:r>
        <w:t xml:space="preserve">rungssteuer fällig. A und B müssen </w:t>
      </w:r>
      <w:r w:rsidRPr="005F003C">
        <w:rPr>
          <w:u w:val="single"/>
        </w:rPr>
        <w:t>während der ersten 2 Jahre Eigentümer bleiben</w:t>
      </w:r>
      <w:r>
        <w:t xml:space="preserve"> (eine blosse Nutzniessung entspricht nicht der Rechtsstellung des Eigentümers). Bei der Au</w:t>
      </w:r>
      <w:r>
        <w:t>f</w:t>
      </w:r>
      <w:r>
        <w:t>gabe des Eigentums während der ersten 2 Jahre nach dem Erwerb wird die Stundung widerrufen und die Handänderungssteuer nachbezogen.</w:t>
      </w:r>
    </w:p>
    <w:p w:rsidR="00565934" w:rsidRDefault="00565934" w:rsidP="00565934">
      <w:pPr>
        <w:tabs>
          <w:tab w:val="left" w:pos="426"/>
          <w:tab w:val="left" w:pos="6521"/>
          <w:tab w:val="left" w:pos="7371"/>
          <w:tab w:val="decimal" w:pos="8505"/>
        </w:tabs>
      </w:pPr>
    </w:p>
    <w:p w:rsidR="00565934" w:rsidRPr="006E6A15" w:rsidRDefault="00565934" w:rsidP="003E038E">
      <w:pPr>
        <w:tabs>
          <w:tab w:val="left" w:pos="426"/>
          <w:tab w:val="left" w:pos="6521"/>
          <w:tab w:val="left" w:pos="7371"/>
          <w:tab w:val="decimal" w:pos="8505"/>
        </w:tabs>
        <w:ind w:left="426" w:hanging="426"/>
      </w:pPr>
      <w:r>
        <w:t>13</w:t>
      </w:r>
      <w:r w:rsidRPr="006E6A15">
        <w:t>.</w:t>
      </w:r>
      <w:r w:rsidRPr="006E6A15">
        <w:tab/>
      </w:r>
      <w:r w:rsidRPr="003E038E">
        <w:rPr>
          <w:b/>
        </w:rPr>
        <w:t>Geschwister A und B erwerben zu Miteigentum (A als Hauptwohnsitz, B nicht als Hauptwohnsitz)</w:t>
      </w:r>
    </w:p>
    <w:p w:rsidR="00565934" w:rsidRDefault="00565934" w:rsidP="003E038E">
      <w:pPr>
        <w:tabs>
          <w:tab w:val="left" w:pos="426"/>
          <w:tab w:val="left" w:pos="6521"/>
          <w:tab w:val="left" w:pos="7371"/>
          <w:tab w:val="decimal" w:pos="8505"/>
        </w:tabs>
        <w:ind w:left="426"/>
      </w:pPr>
      <w:r>
        <w:t>Die Geschwister A und B erwerben für Fr. 2 Mio. das Grundstück Nr. 200 mit bestehe</w:t>
      </w:r>
      <w:r>
        <w:t>n</w:t>
      </w:r>
      <w:r>
        <w:t xml:space="preserve">dem Einfamilienhaus als Miteigentümer. Der Anteil von A ist </w:t>
      </w:r>
      <w:r w:rsidR="002E6C05">
        <w:t>¼</w:t>
      </w:r>
      <w:r>
        <w:t xml:space="preserve">, der Anteil von B ist </w:t>
      </w:r>
      <w:r w:rsidR="002E6C05">
        <w:t>¾</w:t>
      </w:r>
      <w:r>
        <w:t>. A erklärt, dieses Grundstück als Hauptwohnsitz nutzen zu wollen.</w:t>
      </w:r>
    </w:p>
    <w:p w:rsidR="00565934" w:rsidRDefault="00565934" w:rsidP="003E038E">
      <w:pPr>
        <w:tabs>
          <w:tab w:val="left" w:pos="426"/>
          <w:tab w:val="left" w:pos="6521"/>
          <w:tab w:val="left" w:pos="7371"/>
          <w:tab w:val="decimal" w:pos="8505"/>
        </w:tabs>
        <w:ind w:left="426"/>
      </w:pPr>
      <w:r>
        <w:t xml:space="preserve">Die </w:t>
      </w:r>
      <w:r w:rsidRPr="005F003C">
        <w:rPr>
          <w:u w:val="single"/>
        </w:rPr>
        <w:t>Stundung erfolgt nur für den Anteil von A</w:t>
      </w:r>
      <w:r>
        <w:t>, welcher das Grundstück als Hauptwohnsitz nutzt. Der Anteil von A beträgt ¼, also kann er von der Maximalsumme von Fr. 800'000</w:t>
      </w:r>
      <w:proofErr w:type="gramStart"/>
      <w:r>
        <w:t>.—</w:t>
      </w:r>
      <w:proofErr w:type="gramEnd"/>
      <w:r>
        <w:t xml:space="preserve"> nur ¼, ausmachend Fr. 200'000.— beanspruchen. Die Stundung bzw. Ste</w:t>
      </w:r>
      <w:r>
        <w:t>u</w:t>
      </w:r>
      <w:r>
        <w:t>erbefreiung kann deshalb für Fr. 3'600</w:t>
      </w:r>
      <w:proofErr w:type="gramStart"/>
      <w:r>
        <w:t>.—</w:t>
      </w:r>
      <w:proofErr w:type="gramEnd"/>
      <w:r>
        <w:t xml:space="preserve"> gewährt werden. Das Gleiche würde gelten, wenn A und B als einfache Gesellschafter zu Gesamteigentum kaufen würden (Stundung nur auf dem internen Gesamteigentumsanteil von ¼ auf Fr. 800'000</w:t>
      </w:r>
      <w:proofErr w:type="gramStart"/>
      <w:r>
        <w:t>.—</w:t>
      </w:r>
      <w:proofErr w:type="gramEnd"/>
      <w:r>
        <w:t>).</w:t>
      </w:r>
    </w:p>
    <w:p w:rsidR="00565934" w:rsidRDefault="00565934" w:rsidP="003E038E">
      <w:pPr>
        <w:tabs>
          <w:tab w:val="left" w:pos="426"/>
          <w:tab w:val="left" w:pos="6521"/>
          <w:tab w:val="left" w:pos="7371"/>
          <w:tab w:val="decimal" w:pos="8505"/>
        </w:tabs>
        <w:ind w:left="426"/>
      </w:pPr>
      <w:r>
        <w:t>Das Sicherungspfandrecht wird im Rang Null auf Grundstück Nr. 200 (Stamm-Grundstück) eingetragen und nicht auf dem Miteigentumsanteil, weil die Erwerber für die Steuer solidarisch haften.</w:t>
      </w:r>
    </w:p>
    <w:p w:rsidR="00565934" w:rsidRDefault="00565934" w:rsidP="00565934">
      <w:pPr>
        <w:tabs>
          <w:tab w:val="left" w:pos="426"/>
          <w:tab w:val="left" w:pos="6521"/>
          <w:tab w:val="left" w:pos="7371"/>
          <w:tab w:val="decimal" w:pos="8505"/>
        </w:tabs>
      </w:pPr>
    </w:p>
    <w:p w:rsidR="00AB6DDD" w:rsidRDefault="00AB6DDD">
      <w:pPr>
        <w:spacing w:after="200"/>
      </w:pPr>
      <w:r>
        <w:br w:type="page"/>
      </w:r>
    </w:p>
    <w:p w:rsidR="00565934" w:rsidRPr="006E6A15" w:rsidRDefault="00565934" w:rsidP="00565934">
      <w:pPr>
        <w:tabs>
          <w:tab w:val="left" w:pos="426"/>
          <w:tab w:val="left" w:pos="6521"/>
          <w:tab w:val="left" w:pos="7371"/>
          <w:tab w:val="decimal" w:pos="8505"/>
        </w:tabs>
      </w:pPr>
      <w:r>
        <w:lastRenderedPageBreak/>
        <w:t>14</w:t>
      </w:r>
      <w:r w:rsidRPr="006E6A15">
        <w:t>.</w:t>
      </w:r>
      <w:r w:rsidRPr="006E6A15">
        <w:tab/>
      </w:r>
      <w:r w:rsidRPr="003E038E">
        <w:rPr>
          <w:b/>
        </w:rPr>
        <w:t>Erwerb eines Hauptwohnsitzes und Mitbenutzung durch Dritte</w:t>
      </w:r>
    </w:p>
    <w:p w:rsidR="00565934" w:rsidRDefault="00565934" w:rsidP="003E038E">
      <w:pPr>
        <w:tabs>
          <w:tab w:val="left" w:pos="426"/>
          <w:tab w:val="left" w:pos="6521"/>
          <w:tab w:val="left" w:pos="7371"/>
          <w:tab w:val="decimal" w:pos="8505"/>
        </w:tabs>
        <w:ind w:left="426"/>
      </w:pPr>
      <w:r>
        <w:t>Die Ehegatten A und B erwerben zum Preis von Fr. 2 Mio. die Liegenschaft Nr. 100 mit bestehendem Einfamilienhaus als Miteigentümer. Sie erklären, dieses Grundstück als Hauptwohnsitz nutzen zu wollen. Der Mutter von B wird ein "Nutzniessungsrecht an e</w:t>
      </w:r>
      <w:r>
        <w:t>i</w:t>
      </w:r>
      <w:r>
        <w:t>nem Teil" eingeräumt zur dinglichen Absicherung des Zimmers, das die Mutter benützen darf.</w:t>
      </w:r>
    </w:p>
    <w:p w:rsidR="00565934" w:rsidRDefault="00565934" w:rsidP="003E038E">
      <w:pPr>
        <w:tabs>
          <w:tab w:val="left" w:pos="426"/>
          <w:tab w:val="left" w:pos="6521"/>
          <w:tab w:val="left" w:pos="7371"/>
          <w:tab w:val="decimal" w:pos="8505"/>
        </w:tabs>
        <w:ind w:left="426"/>
      </w:pPr>
      <w:r>
        <w:t xml:space="preserve">Stundung bzw. Steuerbefreiung erfolgt nur, wenn </w:t>
      </w:r>
      <w:r w:rsidRPr="00374AE1">
        <w:rPr>
          <w:u w:val="single"/>
        </w:rPr>
        <w:t>das ganze Objekt</w:t>
      </w:r>
      <w:r>
        <w:t xml:space="preserve"> vom Erwerber als Hauptwohnsitz genutzt wird. Lebt der Erwerber mit Dritten zusammen erfolgt die Stu</w:t>
      </w:r>
      <w:r>
        <w:t>n</w:t>
      </w:r>
      <w:r>
        <w:t>dung bzw. Steuerbefreiung nur, wenn diese "im selben Haushalt" leben, wobei eine räumlich abgetrennte Wohneinheit auf keinen gemeinsamen Haushalt mehr schliessen lässt. Zu prüfen ist im vorliegenden Fall also, ob ein gemeinsamer Haushalt vorliegt. Bei der ausschliesslichen Benutzung nur eines Zimmers durch die Mutter und im Übrigen Mitbenutzung von Küche und Bad durch dieselbe kann von einem gemeinsamen Hau</w:t>
      </w:r>
      <w:r>
        <w:t>s</w:t>
      </w:r>
      <w:r>
        <w:t>halt ausgegangen werden, weshalb die Steuer wie im Fall 2 veranlagt werden kann.</w:t>
      </w:r>
    </w:p>
    <w:p w:rsidR="00565934" w:rsidRDefault="00565934" w:rsidP="003E038E">
      <w:pPr>
        <w:tabs>
          <w:tab w:val="left" w:pos="426"/>
          <w:tab w:val="left" w:pos="6521"/>
          <w:tab w:val="left" w:pos="7371"/>
          <w:tab w:val="decimal" w:pos="8505"/>
        </w:tabs>
        <w:ind w:left="426"/>
      </w:pPr>
      <w:r>
        <w:t xml:space="preserve">Anders ist es, wenn sich im Gebäude noch eine kleine Parterrewohnung </w:t>
      </w:r>
      <w:proofErr w:type="gramStart"/>
      <w:r>
        <w:t>befinden</w:t>
      </w:r>
      <w:proofErr w:type="gramEnd"/>
      <w:r>
        <w:t xml:space="preserve"> und der Mutter daran ein Nutzniessungsrecht eingeräumt würde. Hier liegen zwei Wohnei</w:t>
      </w:r>
      <w:r>
        <w:t>n</w:t>
      </w:r>
      <w:r>
        <w:t>heiten vor, weshalb das Grundstück nicht ausschliesslich durch A und B genutzt wird. In diesem Fall ist gar keine Steuerbefreiung möglich. Will man dieses Resultat vermeiden, so bleibt nichts anderes übrig, als die beiden Wohnungen sachenrechtlich aufzuteilen (entweder Stockwerkeigentum oder Bildung von Miteigentum mit räumlicher Zuordnung der Wohnungen mittels Reglement). Sobald zwei sachenrechtliche Objekte bestehen, kann für das als Hauptwohnsitz genutzte Objekt im jetzt wertmässig bestehenden U</w:t>
      </w:r>
      <w:r>
        <w:t>m</w:t>
      </w:r>
      <w:r>
        <w:t>fang die Steuer-Stundung bzw. -Befreiung gewährt werden.</w:t>
      </w:r>
    </w:p>
    <w:p w:rsidR="00565934" w:rsidRDefault="00565934" w:rsidP="00565934">
      <w:pPr>
        <w:tabs>
          <w:tab w:val="left" w:pos="426"/>
          <w:tab w:val="left" w:pos="6521"/>
          <w:tab w:val="left" w:pos="7371"/>
          <w:tab w:val="decimal" w:pos="8505"/>
        </w:tabs>
      </w:pPr>
    </w:p>
    <w:p w:rsidR="00565934" w:rsidRPr="006E6A15" w:rsidRDefault="00565934" w:rsidP="00565934">
      <w:pPr>
        <w:tabs>
          <w:tab w:val="left" w:pos="426"/>
          <w:tab w:val="left" w:pos="6521"/>
          <w:tab w:val="left" w:pos="7371"/>
          <w:tab w:val="decimal" w:pos="8505"/>
        </w:tabs>
      </w:pPr>
      <w:r>
        <w:t>15</w:t>
      </w:r>
      <w:r w:rsidRPr="006E6A15">
        <w:t>.</w:t>
      </w:r>
      <w:r w:rsidRPr="006E6A15">
        <w:tab/>
      </w:r>
      <w:r w:rsidRPr="003E038E">
        <w:rPr>
          <w:b/>
        </w:rPr>
        <w:t>Erwerb eines Wohn- und Geschäftshauses</w:t>
      </w:r>
    </w:p>
    <w:p w:rsidR="00565934" w:rsidRDefault="00565934" w:rsidP="003E038E">
      <w:pPr>
        <w:tabs>
          <w:tab w:val="left" w:pos="426"/>
          <w:tab w:val="left" w:pos="851"/>
          <w:tab w:val="left" w:pos="6521"/>
          <w:tab w:val="left" w:pos="7371"/>
          <w:tab w:val="decimal" w:pos="8505"/>
        </w:tabs>
        <w:ind w:left="426"/>
      </w:pPr>
      <w:r>
        <w:t>Der Parfümeur A erwirbt für Fr. 2 Mio. die Liegenschaft Nr. 4711, welche im Parterre se</w:t>
      </w:r>
      <w:r>
        <w:t>i</w:t>
      </w:r>
      <w:r>
        <w:t>ne Parfümerie und im ersten Stock seine Wohnung enthält. A erklärt, die Wohnung als Hauptwohnsitz zu nutzen.</w:t>
      </w:r>
    </w:p>
    <w:p w:rsidR="00565934" w:rsidRDefault="00565934" w:rsidP="003E038E">
      <w:pPr>
        <w:tabs>
          <w:tab w:val="left" w:pos="426"/>
          <w:tab w:val="left" w:pos="851"/>
          <w:tab w:val="left" w:pos="6521"/>
          <w:tab w:val="left" w:pos="7371"/>
          <w:tab w:val="decimal" w:pos="8505"/>
        </w:tabs>
        <w:ind w:left="426"/>
      </w:pPr>
      <w:r>
        <w:t xml:space="preserve">Es gilt die sogenannte </w:t>
      </w:r>
      <w:proofErr w:type="spellStart"/>
      <w:r>
        <w:t>Präponderanzmethode</w:t>
      </w:r>
      <w:proofErr w:type="spellEnd"/>
      <w:r>
        <w:t>, wonach Vermögenswerte, die zugleich geschäftlichen und privaten Zwecken dienen, immer gänzlich demjenigen Vermögen z</w:t>
      </w:r>
      <w:r>
        <w:t>u</w:t>
      </w:r>
      <w:r>
        <w:t>gewiesen werden, dem sie überwiegend dienen. Bei Wohn- und Geschäftshäusern ist für die Beurteilung, welche Nutzung überwiegt, der Ertrag massgebend, wobei dazu auf die Eigenmietwerte oder auf die realisierbaren Marktwerte abzustellen ist. Ergibt diese Pr</w:t>
      </w:r>
      <w:r>
        <w:t>ü</w:t>
      </w:r>
      <w:r>
        <w:t>fung im konkreten Fall, dass die Geschäftsnutzung überwiegt, wäre der Erwerb des Grundstückes Nr. 4711 voll steuerbar.</w:t>
      </w:r>
    </w:p>
    <w:p w:rsidR="00565934" w:rsidRDefault="00565934" w:rsidP="003E038E">
      <w:pPr>
        <w:tabs>
          <w:tab w:val="left" w:pos="426"/>
          <w:tab w:val="left" w:pos="851"/>
          <w:tab w:val="left" w:pos="6521"/>
          <w:tab w:val="left" w:pos="7371"/>
          <w:tab w:val="decimal" w:pos="8505"/>
        </w:tabs>
        <w:ind w:left="426"/>
      </w:pPr>
      <w:r>
        <w:t>Will man dieses Resultat vermeiden, so bleibt nichts anderes übrig, als den Geschäft</w:t>
      </w:r>
      <w:r>
        <w:t>s</w:t>
      </w:r>
      <w:r>
        <w:t>raum und die Wohnung sachenrechtlich aufzuteilen (StWE oder ME mit reglementar</w:t>
      </w:r>
      <w:r>
        <w:t>i</w:t>
      </w:r>
      <w:r>
        <w:t>scher Zuordnung der Geschäftsräume und der Wohnung). Sobald zwei sachenrechtliche Objekte bestehen, kann für das als Hauptwohnsitz genutzte Objekt die Steuer-Stundung bzw. –Befreiung gewährt werden.</w:t>
      </w:r>
    </w:p>
    <w:p w:rsidR="00565934" w:rsidRDefault="00565934" w:rsidP="003E038E">
      <w:pPr>
        <w:tabs>
          <w:tab w:val="left" w:pos="426"/>
          <w:tab w:val="left" w:pos="851"/>
          <w:tab w:val="left" w:pos="6521"/>
          <w:tab w:val="left" w:pos="7371"/>
          <w:tab w:val="decimal" w:pos="8505"/>
        </w:tabs>
        <w:ind w:left="426"/>
      </w:pPr>
      <w:r>
        <w:t>Ergibt die Prüfung hingegen, dass der geschäftliche Teil nicht überwiegt, wird die Stu</w:t>
      </w:r>
      <w:r>
        <w:t>n</w:t>
      </w:r>
      <w:r>
        <w:t>dung und später die Steuerbefreiung für den vollen Betrag von Fr. 800'000</w:t>
      </w:r>
      <w:proofErr w:type="gramStart"/>
      <w:r>
        <w:t>.—</w:t>
      </w:r>
      <w:proofErr w:type="gramEnd"/>
      <w:r>
        <w:t xml:space="preserve"> gewährt.</w:t>
      </w:r>
    </w:p>
    <w:p w:rsidR="00565934" w:rsidRDefault="00565934" w:rsidP="003E038E">
      <w:pPr>
        <w:tabs>
          <w:tab w:val="left" w:pos="426"/>
          <w:tab w:val="left" w:pos="851"/>
          <w:tab w:val="left" w:pos="6521"/>
          <w:tab w:val="left" w:pos="7371"/>
          <w:tab w:val="decimal" w:pos="8505"/>
        </w:tabs>
        <w:ind w:left="426"/>
      </w:pPr>
      <w:r>
        <w:t>Zusammenfassend</w:t>
      </w:r>
      <w:r w:rsidRPr="00AA01BB">
        <w:t xml:space="preserve"> ergibt sich </w:t>
      </w:r>
      <w:r>
        <w:t xml:space="preserve">für die </w:t>
      </w:r>
      <w:r w:rsidRPr="00AA01BB">
        <w:t>Fälle 14 und 15</w:t>
      </w:r>
      <w:r>
        <w:t xml:space="preserve"> folgende Prüfungskaskade:</w:t>
      </w:r>
    </w:p>
    <w:p w:rsidR="00565934" w:rsidRDefault="00565934" w:rsidP="003E038E">
      <w:pPr>
        <w:tabs>
          <w:tab w:val="left" w:pos="426"/>
          <w:tab w:val="left" w:pos="851"/>
          <w:tab w:val="left" w:pos="6521"/>
          <w:tab w:val="left" w:pos="7371"/>
          <w:tab w:val="decimal" w:pos="8505"/>
        </w:tabs>
        <w:ind w:left="851" w:hanging="425"/>
      </w:pPr>
      <w:r>
        <w:t>1.</w:t>
      </w:r>
      <w:r>
        <w:tab/>
        <w:t>Erwirbt die steuerpflichtige Person an einem Grundstück, in dem sie ihren Haup</w:t>
      </w:r>
      <w:r>
        <w:t>t</w:t>
      </w:r>
      <w:r>
        <w:t>wohnsitz begründet, umfassendes Eigentum?</w:t>
      </w:r>
    </w:p>
    <w:p w:rsidR="00565934" w:rsidRDefault="00565934" w:rsidP="003E038E">
      <w:pPr>
        <w:tabs>
          <w:tab w:val="left" w:pos="426"/>
          <w:tab w:val="left" w:pos="851"/>
          <w:tab w:val="left" w:pos="6521"/>
          <w:tab w:val="left" w:pos="7371"/>
          <w:tab w:val="decimal" w:pos="8505"/>
        </w:tabs>
        <w:ind w:left="426"/>
      </w:pPr>
      <w:r>
        <w:t>2.</w:t>
      </w:r>
      <w:r>
        <w:tab/>
        <w:t>Falls ja, wird dieser Hauptwohnsitz ausschliesslich selber genutzt?</w:t>
      </w:r>
    </w:p>
    <w:p w:rsidR="00565934" w:rsidRPr="00AA01BB" w:rsidRDefault="00565934" w:rsidP="003E038E">
      <w:pPr>
        <w:tabs>
          <w:tab w:val="left" w:pos="426"/>
          <w:tab w:val="left" w:pos="851"/>
          <w:tab w:val="left" w:pos="6521"/>
          <w:tab w:val="left" w:pos="7371"/>
          <w:tab w:val="decimal" w:pos="8505"/>
        </w:tabs>
        <w:ind w:left="851" w:hanging="425"/>
      </w:pPr>
      <w:r>
        <w:lastRenderedPageBreak/>
        <w:t>3.</w:t>
      </w:r>
      <w:r>
        <w:tab/>
        <w:t>Falls die Antwort nur deshalb nein lautet, weil der Eigentümer einen Teil des Obje</w:t>
      </w:r>
      <w:r>
        <w:t>k</w:t>
      </w:r>
      <w:r>
        <w:t>tes als Geschäftsraum nutzt: überwiegt der geschäftliche Teil (</w:t>
      </w:r>
      <w:proofErr w:type="spellStart"/>
      <w:r>
        <w:t>Präponderanzmeth</w:t>
      </w:r>
      <w:r>
        <w:t>o</w:t>
      </w:r>
      <w:r>
        <w:t>de</w:t>
      </w:r>
      <w:proofErr w:type="spellEnd"/>
      <w:r>
        <w:t>)?</w:t>
      </w:r>
    </w:p>
    <w:p w:rsidR="00565934" w:rsidRDefault="00565934" w:rsidP="00565934">
      <w:pPr>
        <w:tabs>
          <w:tab w:val="left" w:pos="426"/>
          <w:tab w:val="left" w:pos="6521"/>
          <w:tab w:val="left" w:pos="7371"/>
          <w:tab w:val="decimal" w:pos="8505"/>
        </w:tabs>
      </w:pPr>
    </w:p>
    <w:p w:rsidR="00565934" w:rsidRPr="006E6A15" w:rsidRDefault="00565934" w:rsidP="00565934">
      <w:pPr>
        <w:tabs>
          <w:tab w:val="left" w:pos="426"/>
          <w:tab w:val="left" w:pos="6521"/>
          <w:tab w:val="left" w:pos="7371"/>
          <w:tab w:val="decimal" w:pos="8505"/>
        </w:tabs>
      </w:pPr>
      <w:r>
        <w:t>16</w:t>
      </w:r>
      <w:r w:rsidRPr="006E6A15">
        <w:t>.</w:t>
      </w:r>
      <w:r w:rsidRPr="006E6A15">
        <w:tab/>
      </w:r>
      <w:r w:rsidRPr="003E038E">
        <w:rPr>
          <w:b/>
        </w:rPr>
        <w:t>Erwerb eines landwirtschaftlichen Heimwesens</w:t>
      </w:r>
    </w:p>
    <w:p w:rsidR="00565934" w:rsidRDefault="00565934" w:rsidP="003E038E">
      <w:pPr>
        <w:tabs>
          <w:tab w:val="left" w:pos="426"/>
          <w:tab w:val="left" w:pos="6521"/>
          <w:tab w:val="left" w:pos="7371"/>
          <w:tab w:val="decimal" w:pos="8505"/>
        </w:tabs>
        <w:ind w:left="426"/>
      </w:pPr>
      <w:r>
        <w:t>Der Landwirt A erwirbt ein landwirtschaftliches Heimwesen für Fr. 2 Mio. und erklärt, das Bauernhaus als seinen Hauptwohnsitz zu nutzen.</w:t>
      </w:r>
    </w:p>
    <w:p w:rsidR="00565934" w:rsidRDefault="00565934" w:rsidP="003E038E">
      <w:pPr>
        <w:tabs>
          <w:tab w:val="left" w:pos="426"/>
          <w:tab w:val="left" w:pos="6521"/>
          <w:tab w:val="left" w:pos="7371"/>
          <w:tab w:val="decimal" w:pos="8505"/>
        </w:tabs>
        <w:ind w:left="426"/>
      </w:pPr>
      <w:r>
        <w:t>In der Regel gehört zu einem landwirtschaftlichen Gewerbe betriebsnotwendig ein Woh</w:t>
      </w:r>
      <w:r>
        <w:t>n</w:t>
      </w:r>
      <w:r>
        <w:t>haus. Eine Befreiung von der Handänderungssteuer ist deshalb unabhängig von der s</w:t>
      </w:r>
      <w:r>
        <w:t>a</w:t>
      </w:r>
      <w:r>
        <w:t xml:space="preserve">chenrechtlichen Aufteilung </w:t>
      </w:r>
      <w:r w:rsidRPr="00AB6DDD">
        <w:rPr>
          <w:b/>
        </w:rPr>
        <w:t>nicht</w:t>
      </w:r>
      <w:r>
        <w:t xml:space="preserve"> möglich, da die Wohnung unter diesen Umständen nicht ausschliesslich als Hauptwohnsitz genutzt wird.</w:t>
      </w:r>
    </w:p>
    <w:p w:rsidR="00565934" w:rsidRDefault="00565934" w:rsidP="003E038E">
      <w:pPr>
        <w:tabs>
          <w:tab w:val="left" w:pos="426"/>
          <w:tab w:val="left" w:pos="6521"/>
          <w:tab w:val="left" w:pos="7371"/>
          <w:tab w:val="decimal" w:pos="8505"/>
        </w:tabs>
        <w:ind w:left="426"/>
      </w:pPr>
      <w:r>
        <w:t>Sollte ausnahmsweise ein Gewerbe erworben werden, für welches eine Betriebsleite</w:t>
      </w:r>
      <w:r>
        <w:t>r</w:t>
      </w:r>
      <w:r>
        <w:t>wohnung nicht notwendig ist, so kann die Steuerbefreiung gewährt werden; der Steue</w:t>
      </w:r>
      <w:r>
        <w:t>r</w:t>
      </w:r>
      <w:r>
        <w:t>pflichtige hat hierzu den Nachweis zu erbringen, dass der Eigenmietwert der Betrieb</w:t>
      </w:r>
      <w:r>
        <w:t>s</w:t>
      </w:r>
      <w:r>
        <w:t>leiterwohnung steuerlich nicht zum Geschäftsvermögen gezählt wird.</w:t>
      </w:r>
    </w:p>
    <w:p w:rsidR="00565934" w:rsidRDefault="00565934" w:rsidP="00565934">
      <w:pPr>
        <w:tabs>
          <w:tab w:val="left" w:pos="426"/>
          <w:tab w:val="left" w:pos="6521"/>
          <w:tab w:val="left" w:pos="7371"/>
          <w:tab w:val="decimal" w:pos="8505"/>
        </w:tabs>
      </w:pPr>
    </w:p>
    <w:p w:rsidR="00565934" w:rsidRPr="006E6A15" w:rsidRDefault="00565934" w:rsidP="00565934">
      <w:pPr>
        <w:tabs>
          <w:tab w:val="left" w:pos="426"/>
          <w:tab w:val="left" w:pos="6521"/>
          <w:tab w:val="left" w:pos="7371"/>
          <w:tab w:val="decimal" w:pos="8505"/>
        </w:tabs>
      </w:pPr>
      <w:r>
        <w:t>17</w:t>
      </w:r>
      <w:r w:rsidRPr="006E6A15">
        <w:t>.</w:t>
      </w:r>
      <w:r w:rsidRPr="006E6A15">
        <w:tab/>
      </w:r>
      <w:r w:rsidRPr="003E038E">
        <w:rPr>
          <w:b/>
        </w:rPr>
        <w:t>A erwirbt ein baufälliges Haus</w:t>
      </w:r>
    </w:p>
    <w:p w:rsidR="00565934" w:rsidRDefault="00565934" w:rsidP="003E038E">
      <w:pPr>
        <w:tabs>
          <w:tab w:val="left" w:pos="426"/>
          <w:tab w:val="left" w:pos="6521"/>
          <w:tab w:val="left" w:pos="7371"/>
          <w:tab w:val="decimal" w:pos="8505"/>
        </w:tabs>
        <w:ind w:left="426"/>
      </w:pPr>
      <w:r>
        <w:t>A erwirbt die Liegenschaft Nr. 500, auf welcher ein baufälliges Einfamilienhaus steht. Er erklärt, dieses Grundstück als Hauptwohnsitz nutzen zu wollen, und stellt ein Stundung</w:t>
      </w:r>
      <w:r>
        <w:t>s</w:t>
      </w:r>
      <w:r>
        <w:t xml:space="preserve">gesuch über vier Jahre gestützt auf Art. 11b Abs. 2 </w:t>
      </w:r>
      <w:proofErr w:type="gramStart"/>
      <w:r>
        <w:t>HG</w:t>
      </w:r>
      <w:proofErr w:type="gramEnd"/>
      <w:r>
        <w:t>.</w:t>
      </w:r>
    </w:p>
    <w:p w:rsidR="00565934" w:rsidRDefault="00565934" w:rsidP="003E038E">
      <w:pPr>
        <w:tabs>
          <w:tab w:val="left" w:pos="426"/>
          <w:tab w:val="left" w:pos="6521"/>
          <w:tab w:val="left" w:pos="7371"/>
          <w:tab w:val="decimal" w:pos="8505"/>
        </w:tabs>
        <w:ind w:left="426"/>
      </w:pPr>
      <w:r>
        <w:t>Abgesehen von der Nutzung als Hauptwohnsitz haben der / die Erwerber ein Jahr Zeit, um den Hauptwohnsitz in der entsprechenden Baute zu begründen. Muss die Baute noch erstellt werden, hat der Bezug innert zwei Jahren ab Grundstückerwerb zu erfolgen.</w:t>
      </w:r>
    </w:p>
    <w:p w:rsidR="00565934" w:rsidRDefault="00565934" w:rsidP="003E038E">
      <w:pPr>
        <w:tabs>
          <w:tab w:val="left" w:pos="426"/>
          <w:tab w:val="left" w:pos="6521"/>
          <w:tab w:val="left" w:pos="7371"/>
          <w:tab w:val="decimal" w:pos="8505"/>
        </w:tabs>
        <w:ind w:left="426"/>
      </w:pPr>
      <w:r>
        <w:t>Eine Stundungsfrist von vier Jahren gewährt man klarerweise dann, wenn A eine Ba</w:t>
      </w:r>
      <w:r>
        <w:t>u</w:t>
      </w:r>
      <w:r>
        <w:t>landparzelle kaufen würde, auf welcher der Hauptwohnsitz ganz neu erstellt werden soll. Aber auch der Tatbestand, dass ein baufälliges Gebäude wieder zu Wohnzwecken he</w:t>
      </w:r>
      <w:r>
        <w:t>r</w:t>
      </w:r>
      <w:r>
        <w:t>gestellt werden soll, kann im hier vorliegenden Zusammenhang unter "Erstellung einer Baute" subsumiert werden. Die Stundungsfrist von vier Jahren kann somit auch beim Kauf einer baufälligen Baute gewährt werden.</w:t>
      </w:r>
    </w:p>
    <w:p w:rsidR="00565934" w:rsidRDefault="00565934" w:rsidP="00565934">
      <w:pPr>
        <w:tabs>
          <w:tab w:val="left" w:pos="426"/>
          <w:tab w:val="left" w:pos="6521"/>
          <w:tab w:val="left" w:pos="7371"/>
          <w:tab w:val="decimal" w:pos="8505"/>
        </w:tabs>
      </w:pPr>
    </w:p>
    <w:p w:rsidR="00565934" w:rsidRPr="006E6A15" w:rsidRDefault="00565934" w:rsidP="00565934">
      <w:pPr>
        <w:tabs>
          <w:tab w:val="left" w:pos="426"/>
          <w:tab w:val="left" w:pos="6521"/>
          <w:tab w:val="left" w:pos="7371"/>
          <w:tab w:val="decimal" w:pos="8505"/>
        </w:tabs>
      </w:pPr>
      <w:r>
        <w:t>18</w:t>
      </w:r>
      <w:r w:rsidRPr="006E6A15">
        <w:t>.</w:t>
      </w:r>
      <w:r w:rsidRPr="006E6A15">
        <w:tab/>
      </w:r>
      <w:r w:rsidRPr="003E038E">
        <w:rPr>
          <w:b/>
        </w:rPr>
        <w:t>Verlängerung der Stundungsfrist aufgrund persönlicher Verhältnisse?</w:t>
      </w:r>
    </w:p>
    <w:p w:rsidR="00565934" w:rsidRDefault="00565934" w:rsidP="003E038E">
      <w:pPr>
        <w:tabs>
          <w:tab w:val="left" w:pos="426"/>
          <w:tab w:val="left" w:pos="6521"/>
          <w:tab w:val="left" w:pos="7371"/>
          <w:tab w:val="decimal" w:pos="8505"/>
        </w:tabs>
        <w:ind w:left="426"/>
      </w:pPr>
      <w:r>
        <w:t>Die Ehegatten A und B erwerben die Liegenschaft Nr. 200 mit bestehendem Einfamilie</w:t>
      </w:r>
      <w:r>
        <w:t>n</w:t>
      </w:r>
      <w:r>
        <w:t>haus als einfache Gesellschaft. Sie erklären, dieses Grundstück im Hinblick auf ihren R</w:t>
      </w:r>
      <w:r>
        <w:t>u</w:t>
      </w:r>
      <w:r>
        <w:t xml:space="preserve">hestand als Hauptwohnsitz nutzen zu wollen. A ist von Beruf </w:t>
      </w:r>
      <w:proofErr w:type="spellStart"/>
      <w:r>
        <w:t>Hausabwart</w:t>
      </w:r>
      <w:proofErr w:type="spellEnd"/>
      <w:r>
        <w:t xml:space="preserve"> und aufgrund seines Arbeitsvertrages verpflichtet, eine Dienstwohnung zu benutzen. Vor seiner Pens</w:t>
      </w:r>
      <w:r>
        <w:t>i</w:t>
      </w:r>
      <w:r>
        <w:t>onierung ist eine Aufgabe der Dienstwohnung deshalb nicht möglich. Die Pensionierung wird erst 20 Monate nach dem Erwerb von Grundstück Nr. 200 erfolgen. Die Ehegatten stellen deshalb das Gesuch, die Frist zum Bezug des Hauptwohnsitzes gestützt auf Art. 11b Abs. 2 HG im Sinne eines "begründeten Ausnahmefalles" zu erstrecken.</w:t>
      </w:r>
    </w:p>
    <w:p w:rsidR="00565934" w:rsidRDefault="00565934" w:rsidP="003E038E">
      <w:pPr>
        <w:tabs>
          <w:tab w:val="left" w:pos="426"/>
          <w:tab w:val="left" w:pos="6521"/>
          <w:tab w:val="left" w:pos="7371"/>
          <w:tab w:val="decimal" w:pos="8505"/>
        </w:tabs>
        <w:ind w:left="426"/>
      </w:pPr>
      <w:r>
        <w:t xml:space="preserve">Gemäss den Erläuterungen zu Art. 11b Abs. 2 HG in der Botschaft (Tagblatt des Grossen Rates des Kantons Bern, 2013) sind solche </w:t>
      </w:r>
      <w:proofErr w:type="spellStart"/>
      <w:r w:rsidRPr="005F003C">
        <w:rPr>
          <w:u w:val="single"/>
        </w:rPr>
        <w:t>Erstreckungen</w:t>
      </w:r>
      <w:proofErr w:type="spellEnd"/>
      <w:r w:rsidRPr="005F003C">
        <w:rPr>
          <w:u w:val="single"/>
        </w:rPr>
        <w:t xml:space="preserve"> schwergewichtig bei unvo</w:t>
      </w:r>
      <w:r w:rsidRPr="005F003C">
        <w:rPr>
          <w:u w:val="single"/>
        </w:rPr>
        <w:t>r</w:t>
      </w:r>
      <w:r w:rsidRPr="005F003C">
        <w:rPr>
          <w:u w:val="single"/>
        </w:rPr>
        <w:t>hersehbaren oder unverschuldeten Verzögerungen</w:t>
      </w:r>
      <w:r>
        <w:t xml:space="preserve"> beim Bau / Umzug denkbar. Im vo</w:t>
      </w:r>
      <w:r>
        <w:t>r</w:t>
      </w:r>
      <w:r>
        <w:t xml:space="preserve">liegenden Fall ist die Verzögerung weder unverschuldet noch unvorhersehbar. Es kommt dazu, dass </w:t>
      </w:r>
      <w:proofErr w:type="spellStart"/>
      <w:r>
        <w:t>Fristerstreckungen</w:t>
      </w:r>
      <w:proofErr w:type="spellEnd"/>
      <w:r>
        <w:t xml:space="preserve"> lediglich aufgrund persönlicher Verhältnisse nicht gewährt werden können. Der </w:t>
      </w:r>
      <w:r w:rsidRPr="005F003C">
        <w:rPr>
          <w:u w:val="single"/>
        </w:rPr>
        <w:t>Fristerstreckungsgrund muss zusätzlich einen Zusammenhang mit dem Grundstück aufweisen</w:t>
      </w:r>
      <w:r>
        <w:t>. Zum Beispiel hat der Erwerber eine Radonallergie, was au</w:t>
      </w:r>
      <w:r>
        <w:t>f</w:t>
      </w:r>
      <w:r>
        <w:lastRenderedPageBreak/>
        <w:t>wändige Bauarbeiten zur Abschirmung des Radongases und somit eine zeitliche Verz</w:t>
      </w:r>
      <w:r>
        <w:t>ö</w:t>
      </w:r>
      <w:r>
        <w:t>gerung des Bezuges des Hauptwohnsitzes mit sich bringt.</w:t>
      </w:r>
    </w:p>
    <w:p w:rsidR="00565934" w:rsidRDefault="00565934" w:rsidP="00565934">
      <w:pPr>
        <w:tabs>
          <w:tab w:val="left" w:pos="426"/>
          <w:tab w:val="left" w:pos="6521"/>
          <w:tab w:val="left" w:pos="7371"/>
          <w:tab w:val="decimal" w:pos="8505"/>
        </w:tabs>
      </w:pPr>
    </w:p>
    <w:p w:rsidR="00565934" w:rsidRDefault="00565934" w:rsidP="00565934">
      <w:pPr>
        <w:tabs>
          <w:tab w:val="left" w:pos="426"/>
          <w:tab w:val="left" w:pos="6521"/>
          <w:tab w:val="left" w:pos="7371"/>
          <w:tab w:val="decimal" w:pos="8505"/>
        </w:tabs>
      </w:pPr>
      <w:r>
        <w:t xml:space="preserve">Das Grundbuchamt hat </w:t>
      </w:r>
      <w:r w:rsidRPr="003E038E">
        <w:rPr>
          <w:b/>
        </w:rPr>
        <w:t>neue HG-Formulare für den Erwerb eines Hauptwohnsitzes</w:t>
      </w:r>
      <w:r>
        <w:t xml:space="preserve"> (mit integriertem Gesuch um Steuerstundung und nachträglicher Steuerbefreiung) und ein Form</w:t>
      </w:r>
      <w:r>
        <w:t>u</w:t>
      </w:r>
      <w:r>
        <w:t>lar für den (vor Ablauf der Stundung) einzureichenden Nachweis der Voraussetzungen für die Steuerbefreiung erstellt. Diese neuen Formulare müssen in allen Fällen einer Steuerstundung und nachträglichen Steuerbefreiung verwendet und dem Grundbuchamt eingereicht werden.</w:t>
      </w:r>
    </w:p>
    <w:p w:rsidR="00565934" w:rsidRDefault="00565934" w:rsidP="00565934">
      <w:pPr>
        <w:tabs>
          <w:tab w:val="left" w:pos="426"/>
          <w:tab w:val="left" w:pos="6521"/>
          <w:tab w:val="left" w:pos="7371"/>
          <w:tab w:val="decimal" w:pos="8505"/>
        </w:tabs>
      </w:pPr>
      <w:r>
        <w:t>Für nicht steuerbefreite Handänderungen gilt das bisherige Formular.</w:t>
      </w:r>
    </w:p>
    <w:p w:rsidR="00565934" w:rsidRDefault="00565934" w:rsidP="00565934">
      <w:pPr>
        <w:tabs>
          <w:tab w:val="left" w:pos="426"/>
          <w:tab w:val="left" w:pos="6521"/>
          <w:tab w:val="left" w:pos="7371"/>
          <w:tab w:val="decimal" w:pos="8505"/>
        </w:tabs>
      </w:pPr>
    </w:p>
    <w:p w:rsidR="00565934" w:rsidRDefault="00565934" w:rsidP="00565934">
      <w:pPr>
        <w:tabs>
          <w:tab w:val="left" w:pos="426"/>
          <w:tab w:val="left" w:pos="6521"/>
          <w:tab w:val="left" w:pos="7371"/>
          <w:tab w:val="decimal" w:pos="8505"/>
        </w:tabs>
      </w:pPr>
      <w:r>
        <w:t xml:space="preserve">Die Weisungen der Grundbuchämter sowie die HG-Formulare finden Sie im Internet unter dem Link </w:t>
      </w:r>
    </w:p>
    <w:p w:rsidR="00565934" w:rsidRPr="009C5050" w:rsidRDefault="00C64023" w:rsidP="00565934">
      <w:pPr>
        <w:tabs>
          <w:tab w:val="left" w:pos="426"/>
          <w:tab w:val="left" w:pos="6521"/>
          <w:tab w:val="left" w:pos="7371"/>
          <w:tab w:val="decimal" w:pos="8505"/>
        </w:tabs>
        <w:rPr>
          <w:color w:val="000000" w:themeColor="text1"/>
        </w:rPr>
      </w:pPr>
      <w:hyperlink r:id="rId15" w:history="1">
        <w:r w:rsidR="00565934" w:rsidRPr="009C5050">
          <w:rPr>
            <w:rStyle w:val="Hyperlink"/>
            <w:rFonts w:ascii="Book Antiqua" w:hAnsi="Book Antiqua"/>
            <w:color w:val="000000" w:themeColor="text1"/>
            <w:sz w:val="24"/>
            <w:u w:val="none"/>
          </w:rPr>
          <w:t>http://www.jgk.be.ch/jgk/de/index/direktion/organisation/gba.html</w:t>
        </w:r>
      </w:hyperlink>
    </w:p>
    <w:p w:rsidR="00B87953" w:rsidRPr="005F15DA" w:rsidRDefault="00B87953" w:rsidP="00597A21"/>
    <w:p w:rsidR="00B11D0F" w:rsidRPr="005F15DA" w:rsidRDefault="00B11D0F" w:rsidP="00597A21"/>
    <w:p w:rsidR="000F0275" w:rsidRDefault="000F0275">
      <w:pPr>
        <w:spacing w:after="200"/>
      </w:pPr>
      <w:r>
        <w:br w:type="page"/>
      </w:r>
    </w:p>
    <w:p w:rsidR="00D8219C" w:rsidRPr="005F15DA" w:rsidRDefault="000F0275" w:rsidP="00597A21">
      <w:r>
        <w:rPr>
          <w:noProof/>
          <w:lang w:eastAsia="de-CH"/>
        </w:rPr>
        <w:lastRenderedPageBreak/>
        <w:drawing>
          <wp:inline distT="0" distB="0" distL="0" distR="0">
            <wp:extent cx="5816600" cy="8418727"/>
            <wp:effectExtent l="0" t="0" r="0" b="1905"/>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Steuer-Diagramm.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817870" cy="8420565"/>
                    </a:xfrm>
                    <a:prstGeom prst="rect">
                      <a:avLst/>
                    </a:prstGeom>
                  </pic:spPr>
                </pic:pic>
              </a:graphicData>
            </a:graphic>
          </wp:inline>
        </w:drawing>
      </w:r>
    </w:p>
    <w:p w:rsidR="000F0275" w:rsidRDefault="000F0275">
      <w:pPr>
        <w:spacing w:after="200"/>
        <w:rPr>
          <w:rFonts w:eastAsiaTheme="majorEastAsia" w:cstheme="majorBidi"/>
          <w:b/>
          <w:bCs/>
          <w:color w:val="000000" w:themeColor="text1"/>
          <w:sz w:val="32"/>
          <w:szCs w:val="26"/>
        </w:rPr>
      </w:pPr>
      <w:r>
        <w:br w:type="page"/>
      </w:r>
    </w:p>
    <w:p w:rsidR="005D70F9" w:rsidRPr="005F15DA" w:rsidRDefault="007F28BD" w:rsidP="00E36E8F">
      <w:pPr>
        <w:pStyle w:val="berschrift2"/>
      </w:pPr>
      <w:bookmarkStart w:id="117" w:name="_Toc432175637"/>
      <w:r w:rsidRPr="005F15DA">
        <w:lastRenderedPageBreak/>
        <w:t xml:space="preserve">III. </w:t>
      </w:r>
      <w:r w:rsidR="005D70F9" w:rsidRPr="005F15DA">
        <w:t xml:space="preserve">Erbschafts- und Schenkungssteuern </w:t>
      </w:r>
      <w:r w:rsidR="005D70F9" w:rsidRPr="005F15DA">
        <w:rPr>
          <w:sz w:val="22"/>
          <w:szCs w:val="22"/>
        </w:rPr>
        <w:t>(ESchG)</w:t>
      </w:r>
      <w:bookmarkEnd w:id="117"/>
    </w:p>
    <w:p w:rsidR="00EE0A0C" w:rsidRPr="005F15DA" w:rsidRDefault="00EE0A0C" w:rsidP="00EE0A0C">
      <w:r w:rsidRPr="005F15DA">
        <w:t>______________________________________________</w:t>
      </w:r>
      <w:r>
        <w:t>____________</w:t>
      </w:r>
    </w:p>
    <w:p w:rsidR="00D8219C" w:rsidRPr="005F15DA" w:rsidRDefault="00D8219C" w:rsidP="00AB759E"/>
    <w:p w:rsidR="00D8219C" w:rsidRPr="005F15DA" w:rsidRDefault="00D8219C" w:rsidP="00AB759E"/>
    <w:p w:rsidR="005D70F9" w:rsidRPr="005F15DA" w:rsidRDefault="005D70F9" w:rsidP="00AB759E">
      <w:pPr>
        <w:pStyle w:val="berschrift3"/>
        <w:rPr>
          <w:lang w:val="de-CH"/>
        </w:rPr>
      </w:pPr>
      <w:bookmarkStart w:id="118" w:name="_Toc432175638"/>
      <w:r w:rsidRPr="005F15DA">
        <w:rPr>
          <w:spacing w:val="-10"/>
          <w:lang w:val="de-CH"/>
        </w:rPr>
        <w:t>A.</w:t>
      </w:r>
      <w:r w:rsidRPr="005F15DA">
        <w:rPr>
          <w:lang w:val="de-CH"/>
        </w:rPr>
        <w:tab/>
        <w:t>Grundsätze der Besteuerung</w:t>
      </w:r>
      <w:bookmarkEnd w:id="118"/>
    </w:p>
    <w:p w:rsidR="00AB759E" w:rsidRPr="005F15DA" w:rsidRDefault="00AB759E" w:rsidP="00AB759E"/>
    <w:p w:rsidR="005D70F9" w:rsidRPr="005F15DA" w:rsidRDefault="005D70F9" w:rsidP="00AB759E">
      <w:r w:rsidRPr="005F15DA">
        <w:t xml:space="preserve">Die Erbschafts- und Schenkungssteuern sind kantonale Steuern. Neben der Erbschaftssteuer </w:t>
      </w:r>
      <w:r w:rsidRPr="005F15DA">
        <w:rPr>
          <w:spacing w:val="-1"/>
        </w:rPr>
        <w:t>wird regelmässig eine Schenkungssteuer mit dem Zweck erhoben, dass die Erbschafts</w:t>
      </w:r>
      <w:r w:rsidRPr="005F15DA">
        <w:rPr>
          <w:spacing w:val="-2"/>
        </w:rPr>
        <w:t>steuer nicht durch Rechtsgeschäfte unter Lebenden umgangen werden kann.</w:t>
      </w:r>
    </w:p>
    <w:p w:rsidR="00D8219C" w:rsidRPr="005F15DA" w:rsidRDefault="00D8219C" w:rsidP="00AB759E"/>
    <w:p w:rsidR="00D8219C" w:rsidRPr="005F15DA" w:rsidRDefault="00D8219C" w:rsidP="00AB759E"/>
    <w:p w:rsidR="005D70F9" w:rsidRPr="005F15DA" w:rsidRDefault="005D70F9" w:rsidP="00AB759E">
      <w:pPr>
        <w:pStyle w:val="berschrift3"/>
        <w:rPr>
          <w:lang w:val="de-CH"/>
        </w:rPr>
      </w:pPr>
      <w:bookmarkStart w:id="119" w:name="_Toc432175639"/>
      <w:r w:rsidRPr="005F15DA">
        <w:rPr>
          <w:spacing w:val="-24"/>
          <w:lang w:val="de-CH"/>
        </w:rPr>
        <w:t>B.</w:t>
      </w:r>
      <w:r w:rsidRPr="005F15DA">
        <w:rPr>
          <w:lang w:val="de-CH"/>
        </w:rPr>
        <w:tab/>
        <w:t>Steuerpflicht, Steuerbefreiungsgründe</w:t>
      </w:r>
      <w:bookmarkEnd w:id="119"/>
    </w:p>
    <w:p w:rsidR="00AB759E" w:rsidRPr="005F15DA" w:rsidRDefault="00AB759E" w:rsidP="00AB759E"/>
    <w:p w:rsidR="005D70F9" w:rsidRPr="005F15DA" w:rsidRDefault="005D70F9" w:rsidP="00AB759E">
      <w:r w:rsidRPr="005F15DA">
        <w:t xml:space="preserve">Steuerpflichtig ist der Erwerber von Vermögen von Todes wegen oder schenkungsweise. Die </w:t>
      </w:r>
      <w:r w:rsidRPr="005F15DA">
        <w:rPr>
          <w:spacing w:val="-1"/>
        </w:rPr>
        <w:t>Steuerpflicht tritt unabhängig vom Wohnsitz des Erwerbers ein, wenn es sich beim Ver</w:t>
      </w:r>
      <w:r w:rsidRPr="005F15DA">
        <w:rPr>
          <w:spacing w:val="-2"/>
        </w:rPr>
        <w:t xml:space="preserve">mögen um bernische Grundstücke handelt, oder, wenn bei beweglichem Vermögen der </w:t>
      </w:r>
      <w:r w:rsidRPr="005F15DA">
        <w:rPr>
          <w:spacing w:val="-3"/>
        </w:rPr>
        <w:t>Erblasser oder der Schenker Wohnsitz im Kanton Bern hatte.</w:t>
      </w:r>
    </w:p>
    <w:p w:rsidR="00AB759E" w:rsidRPr="005F15DA" w:rsidRDefault="00AB759E" w:rsidP="00AB759E"/>
    <w:p w:rsidR="005D70F9" w:rsidRPr="005F15DA" w:rsidRDefault="005D70F9" w:rsidP="00AB759E">
      <w:r w:rsidRPr="005F15DA">
        <w:t>Von der Steuerpflicht befreit sind u.a. der Ehegatte des Erblassers oder Schenkers, die Nac</w:t>
      </w:r>
      <w:r w:rsidRPr="005F15DA">
        <w:t>h</w:t>
      </w:r>
      <w:r w:rsidRPr="005F15DA">
        <w:t xml:space="preserve">kommen, der Staat, </w:t>
      </w:r>
      <w:r w:rsidRPr="005F15DA">
        <w:rPr>
          <w:spacing w:val="-4"/>
        </w:rPr>
        <w:t>die Einwohner- und Kirchgemeinden.</w:t>
      </w:r>
    </w:p>
    <w:p w:rsidR="00AB759E" w:rsidRPr="005F15DA" w:rsidRDefault="00AB759E" w:rsidP="00AB759E"/>
    <w:p w:rsidR="005D70F9" w:rsidRPr="005F15DA" w:rsidRDefault="005D70F9" w:rsidP="00AB759E">
      <w:pPr>
        <w:rPr>
          <w:spacing w:val="-3"/>
        </w:rPr>
      </w:pPr>
      <w:r w:rsidRPr="005F15DA">
        <w:t xml:space="preserve">Die Erbschaftssteuer lastet auf der Erbschaft als solcher. Die Erben haften solidarisch für den </w:t>
      </w:r>
      <w:r w:rsidRPr="005F15DA">
        <w:rPr>
          <w:spacing w:val="-3"/>
        </w:rPr>
        <w:t>ganzen Steuerbetrag bis zum Betrag ihres eigenen Erbteils. Die Schenkungssteuer trifft nur den oder die Beschenkten.</w:t>
      </w:r>
    </w:p>
    <w:p w:rsidR="00D8219C" w:rsidRPr="005F15DA" w:rsidRDefault="00D8219C" w:rsidP="00AB759E"/>
    <w:p w:rsidR="00D8219C" w:rsidRPr="005F15DA" w:rsidRDefault="00D8219C" w:rsidP="00AB759E"/>
    <w:p w:rsidR="00AB6DDD" w:rsidRDefault="00AB6DDD">
      <w:pPr>
        <w:spacing w:after="200"/>
        <w:rPr>
          <w:rFonts w:eastAsia="Times New Roman" w:cs="Arial"/>
          <w:b/>
          <w:bCs/>
          <w:color w:val="000000" w:themeColor="text1"/>
          <w:spacing w:val="-19"/>
          <w:sz w:val="28"/>
          <w:szCs w:val="28"/>
          <w:lang w:eastAsia="de-DE"/>
        </w:rPr>
      </w:pPr>
      <w:r>
        <w:rPr>
          <w:spacing w:val="-19"/>
        </w:rPr>
        <w:br w:type="page"/>
      </w:r>
    </w:p>
    <w:p w:rsidR="005D70F9" w:rsidRPr="005F15DA" w:rsidRDefault="005D70F9" w:rsidP="00AB759E">
      <w:pPr>
        <w:pStyle w:val="berschrift3"/>
        <w:rPr>
          <w:lang w:val="de-CH"/>
        </w:rPr>
      </w:pPr>
      <w:bookmarkStart w:id="120" w:name="_Toc432175640"/>
      <w:r w:rsidRPr="005F15DA">
        <w:rPr>
          <w:spacing w:val="-19"/>
          <w:lang w:val="de-CH"/>
        </w:rPr>
        <w:lastRenderedPageBreak/>
        <w:t>C.</w:t>
      </w:r>
      <w:r w:rsidRPr="005F15DA">
        <w:rPr>
          <w:lang w:val="de-CH"/>
        </w:rPr>
        <w:tab/>
        <w:t>Steuergegenstände</w:t>
      </w:r>
      <w:bookmarkEnd w:id="120"/>
    </w:p>
    <w:p w:rsidR="00AB759E" w:rsidRPr="005F15DA" w:rsidRDefault="00AB759E" w:rsidP="00AB759E"/>
    <w:p w:rsidR="005D70F9" w:rsidRPr="005F15DA" w:rsidRDefault="005D70F9" w:rsidP="00AB759E">
      <w:r w:rsidRPr="005F15DA">
        <w:t xml:space="preserve">Mit der Erbschaftssteuer wird der Vermögenserwerb von Todes wegen durch gesetzliche, </w:t>
      </w:r>
      <w:r w:rsidRPr="005F15DA">
        <w:rPr>
          <w:spacing w:val="-4"/>
        </w:rPr>
        <w:t xml:space="preserve">erbvertragliche oder testamentarische Erbfolge durch Vermächtnis oder Schenkung auf den </w:t>
      </w:r>
      <w:r w:rsidRPr="005F15DA">
        <w:rPr>
          <w:spacing w:val="-3"/>
        </w:rPr>
        <w:t>T</w:t>
      </w:r>
      <w:r w:rsidRPr="005F15DA">
        <w:rPr>
          <w:spacing w:val="-3"/>
        </w:rPr>
        <w:t>o</w:t>
      </w:r>
      <w:r w:rsidRPr="005F15DA">
        <w:rPr>
          <w:spacing w:val="-3"/>
        </w:rPr>
        <w:t>desfall besteuert. Das im Todesfall aufgenommene Inventar ist in den allermeisten Fällen er</w:t>
      </w:r>
      <w:r w:rsidRPr="005F15DA">
        <w:rPr>
          <w:spacing w:val="-3"/>
        </w:rPr>
        <w:t>b</w:t>
      </w:r>
      <w:r w:rsidRPr="005F15DA">
        <w:rPr>
          <w:spacing w:val="-3"/>
        </w:rPr>
        <w:t>schaftssteuerlich von ausschlaggebender Bedeutung.</w:t>
      </w:r>
    </w:p>
    <w:p w:rsidR="00AB759E" w:rsidRPr="005F15DA" w:rsidRDefault="00AB759E" w:rsidP="00AB759E">
      <w:pPr>
        <w:rPr>
          <w:spacing w:val="-1"/>
        </w:rPr>
      </w:pPr>
    </w:p>
    <w:p w:rsidR="005D70F9" w:rsidRPr="005F15DA" w:rsidRDefault="005D70F9" w:rsidP="00AB759E">
      <w:r w:rsidRPr="005F15DA">
        <w:rPr>
          <w:spacing w:val="-1"/>
        </w:rPr>
        <w:t xml:space="preserve">Gegenstand der Schenkungssteuer ist eine freiwillige und unentgeltliche Zuwendung von </w:t>
      </w:r>
      <w:r w:rsidRPr="005F15DA">
        <w:rPr>
          <w:spacing w:val="-3"/>
        </w:rPr>
        <w:t>Geld, Sachen oder Rechten irgendwelcher Art mit Einschluss des Erbauskaufes, des Vor</w:t>
      </w:r>
      <w:r w:rsidRPr="005F15DA">
        <w:t>empfanges, der Errichtung einer Stiftung sowie der schenkungsweise Erlass von Verbind</w:t>
      </w:r>
      <w:r w:rsidRPr="005F15DA">
        <w:rPr>
          <w:spacing w:val="-4"/>
        </w:rPr>
        <w:t xml:space="preserve">lichkeiten. Bei Abtretungsverträgen gilt der Vorempfang als Schenkung unter Lebenden. Die </w:t>
      </w:r>
      <w:r w:rsidRPr="005F15DA">
        <w:t>Schenkungssteuer wird dann sofort erhoben.</w:t>
      </w:r>
    </w:p>
    <w:p w:rsidR="00AB759E" w:rsidRPr="005F15DA" w:rsidRDefault="00AB759E" w:rsidP="00AB759E">
      <w:pPr>
        <w:rPr>
          <w:spacing w:val="-3"/>
        </w:rPr>
      </w:pPr>
    </w:p>
    <w:p w:rsidR="005D70F9" w:rsidRPr="005F15DA" w:rsidRDefault="005D70F9" w:rsidP="00AB759E">
      <w:r w:rsidRPr="005F15DA">
        <w:rPr>
          <w:spacing w:val="-3"/>
        </w:rPr>
        <w:t xml:space="preserve">Zur Veranlagung der Erbschafts- oder Schenkungssteuer ist der Steuerverwaltung eine </w:t>
      </w:r>
      <w:r w:rsidRPr="005F15DA">
        <w:rPr>
          <w:spacing w:val="-5"/>
        </w:rPr>
        <w:t>Steue</w:t>
      </w:r>
      <w:r w:rsidRPr="005F15DA">
        <w:rPr>
          <w:spacing w:val="-5"/>
        </w:rPr>
        <w:t>r</w:t>
      </w:r>
      <w:r w:rsidRPr="005F15DA">
        <w:rPr>
          <w:spacing w:val="-5"/>
        </w:rPr>
        <w:t>anzeige einzureichen.</w:t>
      </w:r>
    </w:p>
    <w:p w:rsidR="00D8219C" w:rsidRPr="005F15DA" w:rsidRDefault="00D8219C" w:rsidP="00AB759E"/>
    <w:p w:rsidR="00D8219C" w:rsidRPr="006A5FCA" w:rsidRDefault="00D8219C" w:rsidP="00AB759E"/>
    <w:p w:rsidR="005D70F9" w:rsidRPr="005F15DA" w:rsidRDefault="005D70F9" w:rsidP="006A5FCA">
      <w:pPr>
        <w:tabs>
          <w:tab w:val="left" w:pos="398"/>
        </w:tabs>
        <w:jc w:val="both"/>
      </w:pPr>
      <w:r w:rsidRPr="005F15DA">
        <w:rPr>
          <w:b/>
          <w:bCs/>
          <w:spacing w:val="-17"/>
          <w:sz w:val="26"/>
          <w:szCs w:val="26"/>
        </w:rPr>
        <w:t>D.</w:t>
      </w:r>
      <w:r w:rsidRPr="005F15DA">
        <w:rPr>
          <w:b/>
          <w:bCs/>
          <w:sz w:val="26"/>
          <w:szCs w:val="26"/>
        </w:rPr>
        <w:tab/>
      </w:r>
      <w:r w:rsidRPr="005F15DA">
        <w:rPr>
          <w:b/>
          <w:bCs/>
          <w:spacing w:val="-2"/>
          <w:sz w:val="26"/>
          <w:szCs w:val="26"/>
        </w:rPr>
        <w:t>Steuerbemessungsgrundlagen</w:t>
      </w:r>
    </w:p>
    <w:p w:rsidR="00AB759E" w:rsidRPr="005F15DA" w:rsidRDefault="00AB759E" w:rsidP="00AB759E"/>
    <w:p w:rsidR="005D70F9" w:rsidRPr="005F15DA" w:rsidRDefault="005D70F9" w:rsidP="00AB759E">
      <w:r w:rsidRPr="005F15DA">
        <w:t>Der Steuertarif der Erbschafts- und Schenkungssteuer ist progressiv ausgestaltet, mit an</w:t>
      </w:r>
      <w:r w:rsidRPr="005F15DA">
        <w:rPr>
          <w:spacing w:val="-5"/>
        </w:rPr>
        <w:t xml:space="preserve">deren Worten, je höher der Vermögenserwerb, desto höher der Steueransatz. Er besteht aus </w:t>
      </w:r>
      <w:r w:rsidRPr="005F15DA">
        <w:t xml:space="preserve">einem Einheitssatz und einem Multiplikator, der nach dem Verwandtschaftsverhältnis differenziert wird. So beträgt er für Eltern, Geschwister usw. </w:t>
      </w:r>
      <w:r w:rsidRPr="005F15DA">
        <w:rPr>
          <w:spacing w:val="-6"/>
        </w:rPr>
        <w:t>das Sechsfache, für Neffen, Nichten, Schwiege</w:t>
      </w:r>
      <w:r w:rsidRPr="005F15DA">
        <w:rPr>
          <w:spacing w:val="-6"/>
        </w:rPr>
        <w:t>r</w:t>
      </w:r>
      <w:r w:rsidRPr="005F15DA">
        <w:rPr>
          <w:spacing w:val="-6"/>
        </w:rPr>
        <w:t>kinder usw. das Elffache und für die übrigen steuerpflichtigen Personen das Sechzehnfache des Tarifs.</w:t>
      </w:r>
    </w:p>
    <w:p w:rsidR="00AB759E" w:rsidRPr="005F15DA" w:rsidRDefault="00AB759E" w:rsidP="00AB759E">
      <w:pPr>
        <w:rPr>
          <w:spacing w:val="-1"/>
        </w:rPr>
      </w:pPr>
    </w:p>
    <w:p w:rsidR="005D70F9" w:rsidRPr="005F15DA" w:rsidRDefault="005D70F9" w:rsidP="00AB759E">
      <w:pPr>
        <w:rPr>
          <w:spacing w:val="-5"/>
        </w:rPr>
      </w:pPr>
      <w:r w:rsidRPr="005F15DA">
        <w:rPr>
          <w:spacing w:val="-1"/>
        </w:rPr>
        <w:t xml:space="preserve">Die geschuldete Steuersumme wird aufgrund des Verkehrswertes des erworbenen Vermögens (für Grundstücke gilt der amtliche Wert) berechnet, vermindert um die gesetzlich </w:t>
      </w:r>
      <w:r w:rsidRPr="005F15DA">
        <w:rPr>
          <w:spacing w:val="-5"/>
        </w:rPr>
        <w:t>zulässigen Abzüge. So können von Zuwendungen 12'000.- Franken abgezogen werden.</w:t>
      </w:r>
    </w:p>
    <w:p w:rsidR="00AB6DDD" w:rsidRDefault="00AB6DDD" w:rsidP="00AB759E">
      <w:pPr>
        <w:rPr>
          <w:spacing w:val="-5"/>
        </w:rPr>
      </w:pPr>
    </w:p>
    <w:p w:rsidR="00CF04FF" w:rsidRDefault="00CF04FF" w:rsidP="00AB759E">
      <w:pPr>
        <w:rPr>
          <w:spacing w:val="-5"/>
        </w:rPr>
      </w:pPr>
    </w:p>
    <w:p w:rsidR="00CF04FF" w:rsidRDefault="00CF04FF" w:rsidP="00AB759E">
      <w:pPr>
        <w:rPr>
          <w:spacing w:val="-5"/>
        </w:rPr>
      </w:pPr>
    </w:p>
    <w:p w:rsidR="00AB6DDD" w:rsidRPr="005F15DA" w:rsidRDefault="00AB6DDD" w:rsidP="00AB759E">
      <w:pPr>
        <w:rPr>
          <w:spacing w:val="-5"/>
        </w:rPr>
      </w:pPr>
    </w:p>
    <w:p w:rsidR="005D70F9" w:rsidRPr="005F15DA" w:rsidRDefault="007F28BD" w:rsidP="00E36E8F">
      <w:pPr>
        <w:pStyle w:val="berschrift2"/>
      </w:pPr>
      <w:bookmarkStart w:id="121" w:name="_Toc432175641"/>
      <w:r w:rsidRPr="005F15DA">
        <w:t xml:space="preserve">IV. </w:t>
      </w:r>
      <w:r w:rsidR="005D70F9" w:rsidRPr="005F15DA">
        <w:t xml:space="preserve">Grundstückgewinnsteuer </w:t>
      </w:r>
      <w:r w:rsidR="005D70F9" w:rsidRPr="005F15DA">
        <w:rPr>
          <w:sz w:val="22"/>
          <w:szCs w:val="22"/>
        </w:rPr>
        <w:t>(Art. 126 ff. StG)</w:t>
      </w:r>
      <w:bookmarkEnd w:id="121"/>
    </w:p>
    <w:p w:rsidR="00EE0A0C" w:rsidRPr="005F15DA" w:rsidRDefault="00EE0A0C" w:rsidP="00EE0A0C">
      <w:r w:rsidRPr="005F15DA">
        <w:t>______________________________________________</w:t>
      </w:r>
      <w:r w:rsidR="00AB6DDD">
        <w:t>____</w:t>
      </w:r>
    </w:p>
    <w:p w:rsidR="00D8219C" w:rsidRPr="005F15DA" w:rsidRDefault="00D8219C" w:rsidP="00AB759E"/>
    <w:p w:rsidR="00D8219C" w:rsidRPr="005F15DA" w:rsidRDefault="00D8219C" w:rsidP="00AB759E"/>
    <w:p w:rsidR="005D70F9" w:rsidRPr="005F15DA" w:rsidRDefault="005D70F9" w:rsidP="00AB759E">
      <w:pPr>
        <w:pStyle w:val="berschrift3"/>
        <w:rPr>
          <w:lang w:val="de-CH"/>
        </w:rPr>
      </w:pPr>
      <w:bookmarkStart w:id="122" w:name="_Toc432175642"/>
      <w:r w:rsidRPr="005F15DA">
        <w:rPr>
          <w:lang w:val="de-CH"/>
        </w:rPr>
        <w:t>A.</w:t>
      </w:r>
      <w:r w:rsidRPr="005F15DA">
        <w:rPr>
          <w:lang w:val="de-CH"/>
        </w:rPr>
        <w:tab/>
        <w:t>Gegenstand der Grundstückgewinnsteuern</w:t>
      </w:r>
      <w:bookmarkEnd w:id="122"/>
    </w:p>
    <w:p w:rsidR="00AB759E" w:rsidRPr="005F15DA" w:rsidRDefault="00AB759E" w:rsidP="00AB759E"/>
    <w:p w:rsidR="005D70F9" w:rsidRPr="005F15DA" w:rsidRDefault="005D70F9" w:rsidP="00AB759E">
      <w:r w:rsidRPr="005F15DA">
        <w:t>Die Grundstückgewinnsteuer wird auf tatsächlich erzielten Grundstückgewinnen erhoben. Besteuert werden Grundstückgewinne nur, wenn sie auch realisiert werden.</w:t>
      </w:r>
    </w:p>
    <w:p w:rsidR="00AB759E" w:rsidRPr="005F15DA" w:rsidRDefault="00AB759E" w:rsidP="00AB759E">
      <w:pPr>
        <w:rPr>
          <w:spacing w:val="-3"/>
        </w:rPr>
      </w:pPr>
    </w:p>
    <w:p w:rsidR="005D70F9" w:rsidRPr="005F15DA" w:rsidRDefault="005D70F9" w:rsidP="00AB759E">
      <w:r w:rsidRPr="005F15DA">
        <w:rPr>
          <w:spacing w:val="-3"/>
        </w:rPr>
        <w:t>Als Grundstückgewinn wird der Reingewinn aus der Veräusserung eines bernischen Grund</w:t>
      </w:r>
      <w:r w:rsidRPr="005F15DA">
        <w:rPr>
          <w:spacing w:val="-4"/>
        </w:rPr>
        <w:t>st</w:t>
      </w:r>
      <w:r w:rsidRPr="005F15DA">
        <w:rPr>
          <w:spacing w:val="-4"/>
        </w:rPr>
        <w:t>ü</w:t>
      </w:r>
      <w:r w:rsidRPr="005F15DA">
        <w:rPr>
          <w:spacing w:val="-4"/>
        </w:rPr>
        <w:t xml:space="preserve">ckes oder dessen Anteil bezeichnet. Als Veräusserung gelten insbesondere Verkauf oder </w:t>
      </w:r>
      <w:r w:rsidRPr="005F15DA">
        <w:rPr>
          <w:spacing w:val="-12"/>
        </w:rPr>
        <w:t>Tausch.</w:t>
      </w:r>
    </w:p>
    <w:p w:rsidR="00AB759E" w:rsidRPr="005F15DA" w:rsidRDefault="00AB759E" w:rsidP="00AB759E"/>
    <w:p w:rsidR="005D70F9" w:rsidRPr="005F15DA" w:rsidRDefault="005D70F9" w:rsidP="00AB759E">
      <w:pPr>
        <w:rPr>
          <w:spacing w:val="-3"/>
        </w:rPr>
      </w:pPr>
      <w:r w:rsidRPr="005F15DA">
        <w:lastRenderedPageBreak/>
        <w:t xml:space="preserve">Die Besteuerung des Grundstückgewinns wird bei Eigentumswechsel durch Schenkung, </w:t>
      </w:r>
      <w:r w:rsidRPr="005F15DA">
        <w:rPr>
          <w:spacing w:val="-5"/>
        </w:rPr>
        <w:t>Er</w:t>
      </w:r>
      <w:r w:rsidRPr="005F15DA">
        <w:rPr>
          <w:spacing w:val="-5"/>
        </w:rPr>
        <w:t>b</w:t>
      </w:r>
      <w:r w:rsidRPr="005F15DA">
        <w:rPr>
          <w:spacing w:val="-5"/>
        </w:rPr>
        <w:t xml:space="preserve">gang (Erbfolge, Erbteilung, Vermächtnis) oder Erbvorbezug aufgeschoben. Des Weiteren </w:t>
      </w:r>
      <w:r w:rsidRPr="005F15DA">
        <w:t xml:space="preserve">kennt das Gesetz den Steueraufschub bei Güter- und Baulandzusammenlegungen, beim </w:t>
      </w:r>
      <w:r w:rsidRPr="005F15DA">
        <w:rPr>
          <w:spacing w:val="-4"/>
        </w:rPr>
        <w:t xml:space="preserve">Tausch unüberbauter, wertmässig gleicher Grundstücke oder bei Ersatzbeschaffungen. Die </w:t>
      </w:r>
      <w:r w:rsidRPr="005F15DA">
        <w:t>Gewinnste</w:t>
      </w:r>
      <w:r w:rsidRPr="005F15DA">
        <w:t>u</w:t>
      </w:r>
      <w:r w:rsidRPr="005F15DA">
        <w:t xml:space="preserve">er wird so nicht im Zeitpunkt der Veräusserung erhoben, sondern erst bei einer </w:t>
      </w:r>
      <w:r w:rsidRPr="005F15DA">
        <w:rPr>
          <w:spacing w:val="-3"/>
        </w:rPr>
        <w:t>späteren Ve</w:t>
      </w:r>
      <w:r w:rsidRPr="005F15DA">
        <w:rPr>
          <w:spacing w:val="-3"/>
        </w:rPr>
        <w:t>r</w:t>
      </w:r>
      <w:r w:rsidRPr="005F15DA">
        <w:rPr>
          <w:spacing w:val="-3"/>
        </w:rPr>
        <w:t>äusserung des neu erworbenen Grundstückes.</w:t>
      </w:r>
    </w:p>
    <w:p w:rsidR="00D8219C" w:rsidRPr="005F15DA" w:rsidRDefault="00D8219C" w:rsidP="00AB759E"/>
    <w:p w:rsidR="00D8219C" w:rsidRPr="005F15DA" w:rsidRDefault="00D8219C" w:rsidP="00AB759E"/>
    <w:p w:rsidR="005D70F9" w:rsidRPr="005F15DA" w:rsidRDefault="005D70F9" w:rsidP="00AB759E">
      <w:pPr>
        <w:pStyle w:val="berschrift3"/>
        <w:rPr>
          <w:lang w:val="de-CH"/>
        </w:rPr>
      </w:pPr>
      <w:bookmarkStart w:id="123" w:name="_Toc432175643"/>
      <w:r w:rsidRPr="005F15DA">
        <w:rPr>
          <w:spacing w:val="-24"/>
          <w:lang w:val="de-CH"/>
        </w:rPr>
        <w:t>B.</w:t>
      </w:r>
      <w:r w:rsidRPr="005F15DA">
        <w:rPr>
          <w:lang w:val="de-CH"/>
        </w:rPr>
        <w:tab/>
        <w:t>Berechnungsgrundlagen</w:t>
      </w:r>
      <w:bookmarkEnd w:id="123"/>
    </w:p>
    <w:p w:rsidR="00AB759E" w:rsidRPr="005F15DA" w:rsidRDefault="00AB759E" w:rsidP="00AB759E"/>
    <w:p w:rsidR="005D70F9" w:rsidRPr="005F15DA" w:rsidRDefault="005D70F9" w:rsidP="00AB759E">
      <w:r w:rsidRPr="005F15DA">
        <w:t xml:space="preserve">Der Grundstückgewinn bemisst sich nach der Differenz zwischen dem Erlös und den </w:t>
      </w:r>
      <w:r w:rsidRPr="005F15DA">
        <w:rPr>
          <w:spacing w:val="-3"/>
        </w:rPr>
        <w:t>Anlag</w:t>
      </w:r>
      <w:r w:rsidRPr="005F15DA">
        <w:rPr>
          <w:spacing w:val="-3"/>
        </w:rPr>
        <w:t>e</w:t>
      </w:r>
      <w:r w:rsidRPr="005F15DA">
        <w:rPr>
          <w:spacing w:val="-3"/>
        </w:rPr>
        <w:t>kosten (Erwerbspreis zuzüglich Aufwendungen).</w:t>
      </w:r>
    </w:p>
    <w:p w:rsidR="00AB759E" w:rsidRPr="005F15DA" w:rsidRDefault="00AB759E" w:rsidP="00AB759E"/>
    <w:p w:rsidR="005D70F9" w:rsidRPr="005F15DA" w:rsidRDefault="005D70F9" w:rsidP="00AB759E">
      <w:r w:rsidRPr="005F15DA">
        <w:t>Für ererbte Liegenschaften oder auf Rechnung künftiger Erbschaft erworbene oder ge</w:t>
      </w:r>
      <w:r w:rsidRPr="005F15DA">
        <w:rPr>
          <w:spacing w:val="-5"/>
        </w:rPr>
        <w:t>schen</w:t>
      </w:r>
      <w:r w:rsidRPr="005F15DA">
        <w:rPr>
          <w:spacing w:val="-5"/>
        </w:rPr>
        <w:t>k</w:t>
      </w:r>
      <w:r w:rsidRPr="005F15DA">
        <w:rPr>
          <w:spacing w:val="-5"/>
        </w:rPr>
        <w:t xml:space="preserve">te Grundstücke gilt der amtliche Wert im Zeitpunkt des Erbganges, der Abtretung oder </w:t>
      </w:r>
      <w:r w:rsidRPr="005F15DA">
        <w:rPr>
          <w:spacing w:val="-4"/>
        </w:rPr>
        <w:t>der Sche</w:t>
      </w:r>
      <w:r w:rsidRPr="005F15DA">
        <w:rPr>
          <w:spacing w:val="-4"/>
        </w:rPr>
        <w:t>n</w:t>
      </w:r>
      <w:r w:rsidRPr="005F15DA">
        <w:rPr>
          <w:spacing w:val="-4"/>
        </w:rPr>
        <w:t xml:space="preserve">kung als Erwerbspreis. Sind die Anlagekosten des Rechtsvorgängers höher, kann </w:t>
      </w:r>
      <w:r w:rsidRPr="005F15DA">
        <w:rPr>
          <w:spacing w:val="-3"/>
        </w:rPr>
        <w:t>die steue</w:t>
      </w:r>
      <w:r w:rsidRPr="005F15DA">
        <w:rPr>
          <w:spacing w:val="-3"/>
        </w:rPr>
        <w:t>r</w:t>
      </w:r>
      <w:r w:rsidRPr="005F15DA">
        <w:rPr>
          <w:spacing w:val="-3"/>
        </w:rPr>
        <w:t>pflichtige Person diese an Stelle des amtlichen Wertes in Anrechnung bringen.</w:t>
      </w:r>
    </w:p>
    <w:p w:rsidR="00AB759E" w:rsidRPr="005F15DA" w:rsidRDefault="00AB759E" w:rsidP="00AB759E">
      <w:pPr>
        <w:rPr>
          <w:spacing w:val="-1"/>
        </w:rPr>
      </w:pPr>
    </w:p>
    <w:p w:rsidR="005D70F9" w:rsidRPr="005F15DA" w:rsidRDefault="005D70F9" w:rsidP="00AB759E">
      <w:pPr>
        <w:rPr>
          <w:spacing w:val="-8"/>
        </w:rPr>
      </w:pPr>
      <w:r w:rsidRPr="005F15DA">
        <w:rPr>
          <w:spacing w:val="-1"/>
        </w:rPr>
        <w:t>Die Grundstückgewinnsteuer wird ermässigt, wenn die steuerpflichtige Person ein Grund</w:t>
      </w:r>
      <w:r w:rsidRPr="005F15DA">
        <w:rPr>
          <w:spacing w:val="-3"/>
        </w:rPr>
        <w:t>stück veräussert, dessen Eigentümer sie während mindestens fünf Jahren war (Grundbuch</w:t>
      </w:r>
      <w:r w:rsidRPr="005F15DA">
        <w:t xml:space="preserve">eintrag). Für jedes ganze Jahr seit dem Erwerb verringert sich der Vermögensgewinn um je 2 Prozent, höchstens aber um 70 Prozent (Reduktion max. während 35 Jahren seit dem Erwerb). War sie weniger als 5 (fünf) Jahre Eigentümerin, hat sie indessen einen Zuschlag zu </w:t>
      </w:r>
      <w:r w:rsidRPr="005F15DA">
        <w:rPr>
          <w:spacing w:val="-8"/>
        </w:rPr>
        <w:t>bezahlen.</w:t>
      </w:r>
    </w:p>
    <w:p w:rsidR="00D8219C" w:rsidRPr="005F15DA" w:rsidRDefault="00D8219C" w:rsidP="00AB759E"/>
    <w:p w:rsidR="00D8219C" w:rsidRPr="005F15DA" w:rsidRDefault="00D8219C" w:rsidP="00AB759E"/>
    <w:p w:rsidR="005D70F9" w:rsidRPr="005F15DA" w:rsidRDefault="005D70F9" w:rsidP="00AB759E">
      <w:pPr>
        <w:pStyle w:val="berschrift3"/>
        <w:rPr>
          <w:lang w:val="de-CH"/>
        </w:rPr>
      </w:pPr>
      <w:bookmarkStart w:id="124" w:name="_Toc432175644"/>
      <w:r w:rsidRPr="005F15DA">
        <w:rPr>
          <w:spacing w:val="-22"/>
          <w:lang w:val="de-CH"/>
        </w:rPr>
        <w:t>C.</w:t>
      </w:r>
      <w:r w:rsidRPr="005F15DA">
        <w:rPr>
          <w:lang w:val="de-CH"/>
        </w:rPr>
        <w:tab/>
        <w:t>Sicherung</w:t>
      </w:r>
      <w:bookmarkEnd w:id="124"/>
    </w:p>
    <w:p w:rsidR="00AB759E" w:rsidRPr="005F15DA" w:rsidRDefault="00AB759E" w:rsidP="00AB759E"/>
    <w:p w:rsidR="005D70F9" w:rsidRPr="005F15DA" w:rsidRDefault="005D70F9" w:rsidP="00AB759E">
      <w:r w:rsidRPr="005F15DA">
        <w:t xml:space="preserve">Dem Staat und den Gemeinden steht zur Sicherung für die Grundstückgewinnsteuer auf </w:t>
      </w:r>
      <w:r w:rsidRPr="005F15DA">
        <w:rPr>
          <w:spacing w:val="-4"/>
        </w:rPr>
        <w:t xml:space="preserve">dem veräusserten Grundstück ein gesetzliches Grundpfandrecht zu, welches allen anderen </w:t>
      </w:r>
      <w:r w:rsidRPr="005F15DA">
        <w:rPr>
          <w:spacing w:val="-3"/>
        </w:rPr>
        <w:t>Pfan</w:t>
      </w:r>
      <w:r w:rsidRPr="005F15DA">
        <w:rPr>
          <w:spacing w:val="-3"/>
        </w:rPr>
        <w:t>d</w:t>
      </w:r>
      <w:r w:rsidRPr="005F15DA">
        <w:rPr>
          <w:spacing w:val="-3"/>
        </w:rPr>
        <w:t>rechten auf dieser Liegenschaft vorgeht. Dieses gesetzliche Grundpfandrecht besteht ohne Ei</w:t>
      </w:r>
      <w:r w:rsidRPr="005F15DA">
        <w:rPr>
          <w:spacing w:val="-3"/>
        </w:rPr>
        <w:t>n</w:t>
      </w:r>
      <w:r w:rsidRPr="005F15DA">
        <w:rPr>
          <w:spacing w:val="-3"/>
        </w:rPr>
        <w:t>tragung im Grundbuch.</w:t>
      </w:r>
    </w:p>
    <w:p w:rsidR="00AB759E" w:rsidRPr="005F15DA" w:rsidRDefault="00AB759E" w:rsidP="00AB759E">
      <w:pPr>
        <w:rPr>
          <w:spacing w:val="-4"/>
        </w:rPr>
      </w:pPr>
    </w:p>
    <w:p w:rsidR="005D70F9" w:rsidRPr="005F15DA" w:rsidRDefault="005D70F9" w:rsidP="00AB759E">
      <w:r w:rsidRPr="005F15DA">
        <w:rPr>
          <w:spacing w:val="-4"/>
        </w:rPr>
        <w:t xml:space="preserve">Weil dieses Pfandrecht auf der veräusserten Liegenschaft lastet, besteht die Gefahr, dass der </w:t>
      </w:r>
      <w:r w:rsidRPr="005F15DA">
        <w:rPr>
          <w:spacing w:val="-5"/>
        </w:rPr>
        <w:t>Käufer die vom Verkäufer geschuldete Grundstückgewinnsteuer bezahlen muss, um eine be</w:t>
      </w:r>
      <w:r w:rsidRPr="005F15DA">
        <w:rPr>
          <w:spacing w:val="-2"/>
        </w:rPr>
        <w:t>tre</w:t>
      </w:r>
      <w:r w:rsidRPr="005F15DA">
        <w:rPr>
          <w:spacing w:val="-2"/>
        </w:rPr>
        <w:t>i</w:t>
      </w:r>
      <w:r w:rsidRPr="005F15DA">
        <w:rPr>
          <w:spacing w:val="-2"/>
        </w:rPr>
        <w:t xml:space="preserve">bungsrechtliche Verwertung seiner Liegenschaft zu vermeiden, wenn der Verkäufer die </w:t>
      </w:r>
      <w:r w:rsidRPr="005F15DA">
        <w:t>Grun</w:t>
      </w:r>
      <w:r w:rsidRPr="005F15DA">
        <w:t>d</w:t>
      </w:r>
      <w:r w:rsidRPr="005F15DA">
        <w:t xml:space="preserve">stückgewinnsteuer nicht bezahlt. Um dieser Gefahr entgegenzuwirken, hat der </w:t>
      </w:r>
      <w:r w:rsidRPr="005F15DA">
        <w:rPr>
          <w:spacing w:val="-3"/>
        </w:rPr>
        <w:t>Käufer das Recht, vom Verkäufer für den mutmasslichen Betrag der Grundstückgewinn</w:t>
      </w:r>
      <w:r w:rsidRPr="005F15DA">
        <w:rPr>
          <w:spacing w:val="-4"/>
        </w:rPr>
        <w:t xml:space="preserve">steuer Sicherstellung zu verlangen. Es gehört zu den Rechtsbelehrungspflichten des Notars, </w:t>
      </w:r>
      <w:r w:rsidRPr="005F15DA">
        <w:rPr>
          <w:spacing w:val="-3"/>
        </w:rPr>
        <w:t>den Käufer auf dieses Recht aufmerksam zu machen. Üblicherweise wird für den mutmasslichen Betrag der Grun</w:t>
      </w:r>
      <w:r w:rsidRPr="005F15DA">
        <w:rPr>
          <w:spacing w:val="-3"/>
        </w:rPr>
        <w:t>d</w:t>
      </w:r>
      <w:r w:rsidRPr="005F15DA">
        <w:rPr>
          <w:spacing w:val="-3"/>
        </w:rPr>
        <w:t>stückgewinnsteuern beim Notar ein Klientengelderkonto (Treuhandkonto) eingerich</w:t>
      </w:r>
      <w:r w:rsidRPr="005F15DA">
        <w:t>tet, von we</w:t>
      </w:r>
      <w:r w:rsidRPr="005F15DA">
        <w:t>l</w:t>
      </w:r>
      <w:r w:rsidRPr="005F15DA">
        <w:t>chem dann die Grundstückgewinnsteuern bezahlt werden.</w:t>
      </w:r>
    </w:p>
    <w:p w:rsidR="005D70F9" w:rsidRPr="005F15DA" w:rsidRDefault="005D70F9" w:rsidP="00AB759E">
      <w:r w:rsidRPr="005F15DA">
        <w:rPr>
          <w:spacing w:val="-2"/>
        </w:rPr>
        <w:t xml:space="preserve">Die Höhe des gesetzlichen Grundpfandrechts bzw. der Grundstückgewinnsteuer wird auf </w:t>
      </w:r>
      <w:r w:rsidRPr="005F15DA">
        <w:t>A</w:t>
      </w:r>
      <w:r w:rsidRPr="005F15DA">
        <w:t>n</w:t>
      </w:r>
      <w:r w:rsidRPr="005F15DA">
        <w:t>frage hin von der kantonalen Steuerverwaltung festgesetzt.</w:t>
      </w:r>
    </w:p>
    <w:p w:rsidR="00D8219C" w:rsidRPr="005F15DA" w:rsidRDefault="00D8219C" w:rsidP="00AB759E"/>
    <w:p w:rsidR="00AB759E" w:rsidRPr="005F15DA" w:rsidRDefault="00AB759E" w:rsidP="00AB759E"/>
    <w:p w:rsidR="00AB759E" w:rsidRPr="005F15DA" w:rsidRDefault="00AB759E" w:rsidP="00AB759E"/>
    <w:p w:rsidR="00D8219C" w:rsidRPr="005F15DA" w:rsidRDefault="00D8219C" w:rsidP="00AB759E"/>
    <w:p w:rsidR="005D70F9" w:rsidRPr="005F15DA" w:rsidRDefault="007F28BD" w:rsidP="00E36E8F">
      <w:pPr>
        <w:pStyle w:val="berschrift2"/>
      </w:pPr>
      <w:bookmarkStart w:id="125" w:name="_Toc432175645"/>
      <w:r w:rsidRPr="005F15DA">
        <w:lastRenderedPageBreak/>
        <w:t xml:space="preserve">V. </w:t>
      </w:r>
      <w:r w:rsidR="005D70F9" w:rsidRPr="005F15DA">
        <w:t>Emissionsabgabe</w:t>
      </w:r>
      <w:bookmarkEnd w:id="125"/>
    </w:p>
    <w:p w:rsidR="00EE0A0C" w:rsidRPr="005F15DA" w:rsidRDefault="00EE0A0C" w:rsidP="00EE0A0C">
      <w:r w:rsidRPr="005F15DA">
        <w:t>______________</w:t>
      </w:r>
      <w:r w:rsidR="00CF04FF">
        <w:t>____________</w:t>
      </w:r>
    </w:p>
    <w:p w:rsidR="00D8219C" w:rsidRPr="005F15DA" w:rsidRDefault="00D8219C" w:rsidP="00AB759E"/>
    <w:p w:rsidR="005D70F9" w:rsidRPr="005F15DA" w:rsidRDefault="005D70F9" w:rsidP="00AB759E">
      <w:r w:rsidRPr="005F15DA">
        <w:t xml:space="preserve">Der Bund erhebt die Stempelabgaben. Gegenstand der Abgabe sind u.a. die unentgeltliche und entgeltliche Begründung und Erhöhung von Aktienkapital, wenn das Aktienkapital mehr als Fr. 1'000'000.- beträgt. Die Abgabe beträgt in diesen Fällen 1 Prozent, berechnet auf dem Ausgabebetrag der Aktie, mindestens aber von deren Nennwert. Die Pflicht zur Abgabe trifft </w:t>
      </w:r>
      <w:r w:rsidRPr="005F15DA">
        <w:rPr>
          <w:spacing w:val="-2"/>
        </w:rPr>
        <w:t xml:space="preserve">die Gesellschaft, welche innert 30 Tagen seit dem Handelsregistereintrag der Eidgenössischen Steuerverwaltung in Bern eine entsprechende Abrechnung zuzustellen hat. Die </w:t>
      </w:r>
      <w:r w:rsidRPr="005F15DA">
        <w:t>Steuerverwa</w:t>
      </w:r>
      <w:r w:rsidRPr="005F15DA">
        <w:t>l</w:t>
      </w:r>
      <w:r w:rsidRPr="005F15DA">
        <w:t>tung händigt dazu ein entsprechendes Formular aus.</w:t>
      </w:r>
    </w:p>
    <w:p w:rsidR="00D8219C" w:rsidRPr="005F15DA" w:rsidRDefault="00D8219C" w:rsidP="00D8219C"/>
    <w:p w:rsidR="00AB759E" w:rsidRPr="005F15DA" w:rsidRDefault="00AB759E" w:rsidP="00D8219C"/>
    <w:p w:rsidR="00AB759E" w:rsidRPr="005F15DA" w:rsidRDefault="00AB759E" w:rsidP="00D8219C"/>
    <w:p w:rsidR="00D8219C" w:rsidRPr="005F15DA" w:rsidRDefault="00D8219C" w:rsidP="00D8219C"/>
    <w:p w:rsidR="005D70F9" w:rsidRPr="005F15DA" w:rsidRDefault="007F28BD" w:rsidP="00E36E8F">
      <w:pPr>
        <w:pStyle w:val="berschrift2"/>
      </w:pPr>
      <w:bookmarkStart w:id="126" w:name="_Toc432175646"/>
      <w:r w:rsidRPr="005F15DA">
        <w:t xml:space="preserve">VI. </w:t>
      </w:r>
      <w:r w:rsidR="005D70F9" w:rsidRPr="005F15DA">
        <w:t>Einkommens- und Vermögenssteuern</w:t>
      </w:r>
      <w:bookmarkEnd w:id="126"/>
    </w:p>
    <w:p w:rsidR="00EE0A0C" w:rsidRPr="005F15DA" w:rsidRDefault="00EE0A0C" w:rsidP="00EE0A0C">
      <w:r w:rsidRPr="005F15DA">
        <w:t>______________________________________________</w:t>
      </w:r>
      <w:r w:rsidR="00CF04FF">
        <w:t>_____</w:t>
      </w:r>
    </w:p>
    <w:p w:rsidR="00D8219C" w:rsidRPr="005F15DA" w:rsidRDefault="00D8219C" w:rsidP="00D8219C"/>
    <w:p w:rsidR="005D70F9" w:rsidRPr="005F15DA" w:rsidRDefault="00AB759E" w:rsidP="00AB759E">
      <w:pPr>
        <w:tabs>
          <w:tab w:val="left" w:pos="426"/>
          <w:tab w:val="left" w:pos="851"/>
        </w:tabs>
      </w:pPr>
      <w:r w:rsidRPr="005F15DA">
        <w:t>-</w:t>
      </w:r>
      <w:r w:rsidRPr="005F15DA">
        <w:tab/>
      </w:r>
      <w:r w:rsidR="005D70F9" w:rsidRPr="005F15DA">
        <w:t>Wer erhebt die Steuern?</w:t>
      </w:r>
    </w:p>
    <w:p w:rsidR="005D70F9" w:rsidRPr="005F15DA" w:rsidRDefault="00AB759E" w:rsidP="00AB759E">
      <w:pPr>
        <w:tabs>
          <w:tab w:val="left" w:pos="426"/>
          <w:tab w:val="left" w:pos="851"/>
        </w:tabs>
      </w:pPr>
      <w:r w:rsidRPr="005F15DA">
        <w:tab/>
        <w:t>-</w:t>
      </w:r>
      <w:r w:rsidRPr="005F15DA">
        <w:tab/>
      </w:r>
      <w:r w:rsidR="005D70F9" w:rsidRPr="005F15DA">
        <w:t>Bund</w:t>
      </w:r>
    </w:p>
    <w:p w:rsidR="005D70F9" w:rsidRPr="005F15DA" w:rsidRDefault="00AB759E" w:rsidP="00AB759E">
      <w:pPr>
        <w:tabs>
          <w:tab w:val="left" w:pos="426"/>
          <w:tab w:val="left" w:pos="851"/>
        </w:tabs>
      </w:pPr>
      <w:r w:rsidRPr="005F15DA">
        <w:rPr>
          <w:spacing w:val="-9"/>
        </w:rPr>
        <w:tab/>
        <w:t>-</w:t>
      </w:r>
      <w:r w:rsidRPr="005F15DA">
        <w:rPr>
          <w:spacing w:val="-9"/>
        </w:rPr>
        <w:tab/>
      </w:r>
      <w:r w:rsidR="005D70F9" w:rsidRPr="005F15DA">
        <w:rPr>
          <w:spacing w:val="-9"/>
        </w:rPr>
        <w:t>Kanton</w:t>
      </w:r>
    </w:p>
    <w:p w:rsidR="005D70F9" w:rsidRPr="005F15DA" w:rsidRDefault="00AB759E" w:rsidP="00AB759E">
      <w:pPr>
        <w:tabs>
          <w:tab w:val="left" w:pos="426"/>
          <w:tab w:val="left" w:pos="851"/>
        </w:tabs>
      </w:pPr>
      <w:r w:rsidRPr="005F15DA">
        <w:rPr>
          <w:spacing w:val="-4"/>
        </w:rPr>
        <w:tab/>
        <w:t>-</w:t>
      </w:r>
      <w:r w:rsidRPr="005F15DA">
        <w:rPr>
          <w:spacing w:val="-4"/>
        </w:rPr>
        <w:tab/>
      </w:r>
      <w:r w:rsidR="005D70F9" w:rsidRPr="005F15DA">
        <w:rPr>
          <w:spacing w:val="-4"/>
        </w:rPr>
        <w:t>Gemeinde</w:t>
      </w:r>
    </w:p>
    <w:p w:rsidR="005D70F9" w:rsidRPr="005F15DA" w:rsidRDefault="00AB759E" w:rsidP="00AB759E">
      <w:pPr>
        <w:tabs>
          <w:tab w:val="left" w:pos="426"/>
          <w:tab w:val="left" w:pos="851"/>
        </w:tabs>
      </w:pPr>
      <w:r w:rsidRPr="005F15DA">
        <w:rPr>
          <w:spacing w:val="-5"/>
        </w:rPr>
        <w:tab/>
        <w:t>-</w:t>
      </w:r>
      <w:r w:rsidRPr="005F15DA">
        <w:rPr>
          <w:spacing w:val="-5"/>
        </w:rPr>
        <w:tab/>
      </w:r>
      <w:r w:rsidR="005D70F9" w:rsidRPr="005F15DA">
        <w:rPr>
          <w:spacing w:val="-5"/>
        </w:rPr>
        <w:t>Kirchgemeinde</w:t>
      </w:r>
    </w:p>
    <w:p w:rsidR="005D70F9" w:rsidRPr="005F15DA" w:rsidRDefault="00AB759E" w:rsidP="00AB759E">
      <w:pPr>
        <w:tabs>
          <w:tab w:val="left" w:pos="426"/>
          <w:tab w:val="left" w:pos="851"/>
        </w:tabs>
      </w:pPr>
      <w:r w:rsidRPr="005F15DA">
        <w:t>-</w:t>
      </w:r>
      <w:r w:rsidRPr="005F15DA">
        <w:tab/>
      </w:r>
      <w:r w:rsidR="005D70F9" w:rsidRPr="005F15DA">
        <w:t>Auf welchen Steuerobjekten wird eine Steuer erhoben?</w:t>
      </w:r>
    </w:p>
    <w:p w:rsidR="005D70F9" w:rsidRPr="005F15DA" w:rsidRDefault="00AB759E" w:rsidP="00AB759E">
      <w:pPr>
        <w:tabs>
          <w:tab w:val="left" w:pos="426"/>
          <w:tab w:val="left" w:pos="851"/>
        </w:tabs>
      </w:pPr>
      <w:r w:rsidRPr="005F15DA">
        <w:rPr>
          <w:spacing w:val="-6"/>
        </w:rPr>
        <w:tab/>
        <w:t>-</w:t>
      </w:r>
      <w:r w:rsidRPr="005F15DA">
        <w:rPr>
          <w:spacing w:val="-6"/>
        </w:rPr>
        <w:tab/>
      </w:r>
      <w:r w:rsidR="005D70F9" w:rsidRPr="005F15DA">
        <w:rPr>
          <w:spacing w:val="-6"/>
        </w:rPr>
        <w:t>Einkommen</w:t>
      </w:r>
    </w:p>
    <w:p w:rsidR="005D70F9" w:rsidRPr="005F15DA" w:rsidRDefault="00AB759E" w:rsidP="00AB759E">
      <w:pPr>
        <w:tabs>
          <w:tab w:val="left" w:pos="426"/>
          <w:tab w:val="left" w:pos="851"/>
        </w:tabs>
      </w:pPr>
      <w:r w:rsidRPr="005F15DA">
        <w:rPr>
          <w:spacing w:val="-6"/>
        </w:rPr>
        <w:tab/>
        <w:t>-</w:t>
      </w:r>
      <w:r w:rsidRPr="005F15DA">
        <w:rPr>
          <w:spacing w:val="-6"/>
        </w:rPr>
        <w:tab/>
      </w:r>
      <w:r w:rsidR="005D70F9" w:rsidRPr="005F15DA">
        <w:rPr>
          <w:spacing w:val="-6"/>
        </w:rPr>
        <w:t>Vermögen</w:t>
      </w:r>
    </w:p>
    <w:p w:rsidR="00D8219C" w:rsidRPr="005F15DA" w:rsidRDefault="00D8219C" w:rsidP="00AB759E"/>
    <w:p w:rsidR="00D8219C" w:rsidRPr="005F15DA" w:rsidRDefault="00D8219C" w:rsidP="00AB759E"/>
    <w:p w:rsidR="005D70F9" w:rsidRPr="005F15DA" w:rsidRDefault="005D70F9" w:rsidP="00AB759E">
      <w:pPr>
        <w:pStyle w:val="berschrift3"/>
        <w:rPr>
          <w:lang w:val="de-CH"/>
        </w:rPr>
      </w:pPr>
      <w:bookmarkStart w:id="127" w:name="_Toc432175647"/>
      <w:r w:rsidRPr="005F15DA">
        <w:rPr>
          <w:spacing w:val="-10"/>
          <w:lang w:val="de-CH"/>
        </w:rPr>
        <w:t>A.</w:t>
      </w:r>
      <w:r w:rsidRPr="005F15DA">
        <w:rPr>
          <w:lang w:val="de-CH"/>
        </w:rPr>
        <w:tab/>
        <w:t>Grundsätze</w:t>
      </w:r>
      <w:bookmarkEnd w:id="127"/>
    </w:p>
    <w:p w:rsidR="00AB759E" w:rsidRPr="005F15DA" w:rsidRDefault="00AB759E" w:rsidP="00AB759E"/>
    <w:p w:rsidR="005D70F9" w:rsidRPr="005F15DA" w:rsidRDefault="005D70F9" w:rsidP="00AB759E">
      <w:r w:rsidRPr="005F15DA">
        <w:t xml:space="preserve">Der </w:t>
      </w:r>
      <w:r w:rsidRPr="005F15DA">
        <w:rPr>
          <w:u w:val="single"/>
        </w:rPr>
        <w:t>Kanton Bern</w:t>
      </w:r>
      <w:r w:rsidRPr="005F15DA">
        <w:t xml:space="preserve"> erhebt als direkte Steuern eine Einkommens- und Vermögenssteuer von den natürlichen Personen (Steuersubjekte). Ebenfalls Steuersubjekte sind die juristischen </w:t>
      </w:r>
      <w:r w:rsidRPr="005F15DA">
        <w:rPr>
          <w:spacing w:val="-3"/>
        </w:rPr>
        <w:t>Personen, die eine Kapital- und Gewinnsteuer zu entrichten haben. Steuerpflichtig sind die n</w:t>
      </w:r>
      <w:r w:rsidRPr="005F15DA">
        <w:rPr>
          <w:spacing w:val="-3"/>
        </w:rPr>
        <w:t>a</w:t>
      </w:r>
      <w:r w:rsidRPr="005F15DA">
        <w:rPr>
          <w:spacing w:val="-3"/>
        </w:rPr>
        <w:t xml:space="preserve">türlichen Personen, die im Kanton Wohnsitz oder steuerrechtlichen Aufenthalt haben. Für </w:t>
      </w:r>
      <w:r w:rsidRPr="005F15DA">
        <w:rPr>
          <w:spacing w:val="-5"/>
        </w:rPr>
        <w:t xml:space="preserve">das Vermögen und den Vermögensertrag minderjähriger Kinder ist der Inhaber der elterlichen </w:t>
      </w:r>
      <w:r w:rsidRPr="005F15DA">
        <w:rPr>
          <w:spacing w:val="-1"/>
        </w:rPr>
        <w:t>Sorge steuerpflichtig; für das Erwerbseinkommen ist das Kind selber steuerpflichtig.</w:t>
      </w:r>
    </w:p>
    <w:p w:rsidR="005D70F9" w:rsidRPr="005F15DA" w:rsidRDefault="005D70F9" w:rsidP="00AB759E">
      <w:r w:rsidRPr="005F15DA">
        <w:rPr>
          <w:spacing w:val="-3"/>
        </w:rPr>
        <w:t xml:space="preserve">Besteuert wird das Erwerbseinkommen aus selbstständiger und unselbstständiger Tätigkeit, </w:t>
      </w:r>
      <w:r w:rsidRPr="005F15DA">
        <w:rPr>
          <w:spacing w:val="-7"/>
        </w:rPr>
        <w:t>die Ersatzeinkommen (AHV, Pensionen) sowie das Einkommen aus Vermögen (Zinse, Dividen</w:t>
      </w:r>
      <w:r w:rsidRPr="005F15DA">
        <w:rPr>
          <w:spacing w:val="-6"/>
        </w:rPr>
        <w:t>den, Mietertrag). Davon können die Berufskosten (Auslagen zur Einkommenserzielung wie Ar</w:t>
      </w:r>
      <w:r w:rsidRPr="005F15DA">
        <w:rPr>
          <w:spacing w:val="-1"/>
        </w:rPr>
        <w:t xml:space="preserve">beitsweg, Berufskleider), Schuldzinsen sowie Unterhaltskosten für Grundstücke usw. in </w:t>
      </w:r>
      <w:r w:rsidRPr="005F15DA">
        <w:rPr>
          <w:spacing w:val="-5"/>
        </w:rPr>
        <w:t>Abzug gebracht werden. Zusätzlich wird das Einkommen durch die Sozialabzüge vermindert.</w:t>
      </w:r>
    </w:p>
    <w:p w:rsidR="00AB759E" w:rsidRPr="005F15DA" w:rsidRDefault="00AB759E" w:rsidP="00AB759E">
      <w:pPr>
        <w:rPr>
          <w:spacing w:val="-1"/>
        </w:rPr>
      </w:pPr>
    </w:p>
    <w:p w:rsidR="005D70F9" w:rsidRPr="005F15DA" w:rsidRDefault="005D70F9" w:rsidP="00AB759E">
      <w:r w:rsidRPr="005F15DA">
        <w:rPr>
          <w:spacing w:val="-1"/>
        </w:rPr>
        <w:t xml:space="preserve">Daneben wird das Vermögen des Steuerpflichtigen besteuert, wobei das Vermögen - und </w:t>
      </w:r>
      <w:r w:rsidRPr="005F15DA">
        <w:rPr>
          <w:spacing w:val="-3"/>
        </w:rPr>
        <w:t xml:space="preserve">auch das Einkommen von Ehegatten, unabhängig vom Güterstand, zusammengerechnet </w:t>
      </w:r>
      <w:r w:rsidRPr="005F15DA">
        <w:rPr>
          <w:spacing w:val="-1"/>
        </w:rPr>
        <w:t>wird.</w:t>
      </w:r>
    </w:p>
    <w:p w:rsidR="00AB759E" w:rsidRPr="005F15DA" w:rsidRDefault="00AB759E" w:rsidP="00AB759E">
      <w:pPr>
        <w:rPr>
          <w:spacing w:val="-4"/>
        </w:rPr>
      </w:pPr>
    </w:p>
    <w:p w:rsidR="005D70F9" w:rsidRPr="005F15DA" w:rsidRDefault="005D70F9" w:rsidP="00AB759E">
      <w:pPr>
        <w:rPr>
          <w:spacing w:val="-3"/>
        </w:rPr>
      </w:pPr>
      <w:r w:rsidRPr="005F15DA">
        <w:rPr>
          <w:spacing w:val="-4"/>
        </w:rPr>
        <w:t>Bei den natürlichen Personen werden die Einkommens- und Vermögenssteuern aufgrund ei</w:t>
      </w:r>
      <w:r w:rsidRPr="005F15DA">
        <w:rPr>
          <w:spacing w:val="-3"/>
        </w:rPr>
        <w:t xml:space="preserve">ner Selbsteinschätzung der steuerpflichtigen Person (Steuererklärung) jährlich veranlagt. </w:t>
      </w:r>
      <w:r w:rsidRPr="005F15DA">
        <w:rPr>
          <w:spacing w:val="-5"/>
        </w:rPr>
        <w:t>Beme</w:t>
      </w:r>
      <w:r w:rsidRPr="005F15DA">
        <w:rPr>
          <w:spacing w:val="-5"/>
        </w:rPr>
        <w:t>s</w:t>
      </w:r>
      <w:r w:rsidRPr="005F15DA">
        <w:rPr>
          <w:spacing w:val="-5"/>
        </w:rPr>
        <w:lastRenderedPageBreak/>
        <w:t>sungsgrundlage der zu bezahlenden Steuern des Jahres n bildet das Einkommen des Jahres n (einjährige Gegenwartsbemessung). Auch bei den juristischen Personen gilt die ein</w:t>
      </w:r>
      <w:r w:rsidRPr="005F15DA">
        <w:rPr>
          <w:spacing w:val="-3"/>
        </w:rPr>
        <w:t>jährige G</w:t>
      </w:r>
      <w:r w:rsidRPr="005F15DA">
        <w:rPr>
          <w:spacing w:val="-3"/>
        </w:rPr>
        <w:t>e</w:t>
      </w:r>
      <w:r w:rsidRPr="005F15DA">
        <w:rPr>
          <w:spacing w:val="-3"/>
        </w:rPr>
        <w:t>genwartsbemessung.</w:t>
      </w:r>
    </w:p>
    <w:p w:rsidR="00AB759E" w:rsidRPr="005F15DA" w:rsidRDefault="00AB759E" w:rsidP="00AB759E">
      <w:pPr>
        <w:rPr>
          <w:spacing w:val="-1"/>
        </w:rPr>
      </w:pPr>
    </w:p>
    <w:p w:rsidR="005D70F9" w:rsidRPr="005F15DA" w:rsidRDefault="005D70F9" w:rsidP="00AB759E">
      <w:pPr>
        <w:rPr>
          <w:spacing w:val="-1"/>
        </w:rPr>
      </w:pPr>
      <w:r w:rsidRPr="005F15DA">
        <w:rPr>
          <w:spacing w:val="-1"/>
        </w:rPr>
        <w:t xml:space="preserve">Analog der Kantons-, Gemeinde- und Kirchensteuern erhebt der </w:t>
      </w:r>
      <w:r w:rsidRPr="005F15DA">
        <w:rPr>
          <w:spacing w:val="-1"/>
          <w:u w:val="single"/>
        </w:rPr>
        <w:t>Bund</w:t>
      </w:r>
      <w:r w:rsidRPr="005F15DA">
        <w:rPr>
          <w:spacing w:val="-1"/>
        </w:rPr>
        <w:t xml:space="preserve"> Steuern auf dem Ei</w:t>
      </w:r>
      <w:r w:rsidRPr="005F15DA">
        <w:rPr>
          <w:spacing w:val="-1"/>
        </w:rPr>
        <w:t>n</w:t>
      </w:r>
      <w:r w:rsidRPr="005F15DA">
        <w:rPr>
          <w:spacing w:val="-1"/>
        </w:rPr>
        <w:t>kommen der natürlichen und juristischen Personen. Auf dem Vermögen erhebt der Bund keine Steuern.</w:t>
      </w:r>
    </w:p>
    <w:p w:rsidR="00AB759E" w:rsidRPr="005F15DA" w:rsidRDefault="00AB759E" w:rsidP="00AB759E">
      <w:pPr>
        <w:rPr>
          <w:spacing w:val="-8"/>
        </w:rPr>
      </w:pPr>
    </w:p>
    <w:p w:rsidR="005D70F9" w:rsidRPr="005F15DA" w:rsidRDefault="005D70F9" w:rsidP="00AB759E">
      <w:r w:rsidRPr="005F15DA">
        <w:rPr>
          <w:spacing w:val="-8"/>
        </w:rPr>
        <w:t>Bemerkung: Die sogenannte „Dumontpraxis“ wurde bzw. wird per 1.1.2009 (Kanton Bern) bzw. per 1.1.2010 (Bund) aufgehoben. Deshalb können ab diesem Zeitpunkt alle Unterhaltskosten einer Li</w:t>
      </w:r>
      <w:r w:rsidRPr="005F15DA">
        <w:rPr>
          <w:spacing w:val="-8"/>
        </w:rPr>
        <w:t>e</w:t>
      </w:r>
      <w:r w:rsidRPr="005F15DA">
        <w:rPr>
          <w:spacing w:val="-8"/>
        </w:rPr>
        <w:t>genschaft bei den Einkommenssteuern geltend gemacht werden; bisher konnten während der ersten 5 Jahre nach Erwerb die Unterhaltskosten nur teilweise geltend gemacht werden.</w:t>
      </w:r>
    </w:p>
    <w:p w:rsidR="005D70F9" w:rsidRPr="005F15DA" w:rsidRDefault="005D70F9" w:rsidP="00AB759E">
      <w:pPr>
        <w:rPr>
          <w:spacing w:val="-1"/>
        </w:rPr>
      </w:pPr>
    </w:p>
    <w:p w:rsidR="00D8219C" w:rsidRPr="005F15DA" w:rsidRDefault="00D8219C" w:rsidP="00AB759E"/>
    <w:p w:rsidR="00D8219C" w:rsidRPr="005F15DA" w:rsidRDefault="00D8219C" w:rsidP="00AB759E"/>
    <w:p w:rsidR="005D70F9" w:rsidRPr="005F15DA" w:rsidRDefault="005D70F9" w:rsidP="00AB759E">
      <w:pPr>
        <w:pStyle w:val="berschrift3"/>
        <w:rPr>
          <w:lang w:val="de-CH"/>
        </w:rPr>
      </w:pPr>
      <w:bookmarkStart w:id="128" w:name="_Toc432175648"/>
      <w:r w:rsidRPr="005F15DA">
        <w:rPr>
          <w:spacing w:val="-24"/>
          <w:lang w:val="de-CH"/>
        </w:rPr>
        <w:t>B.</w:t>
      </w:r>
      <w:r w:rsidRPr="005F15DA">
        <w:rPr>
          <w:lang w:val="de-CH"/>
        </w:rPr>
        <w:tab/>
        <w:t>Steuererhebendes Gemeinwesen</w:t>
      </w:r>
      <w:bookmarkEnd w:id="128"/>
    </w:p>
    <w:p w:rsidR="00AB759E" w:rsidRPr="005F15DA" w:rsidRDefault="00AB759E" w:rsidP="005D70F9">
      <w:pPr>
        <w:jc w:val="both"/>
        <w:rPr>
          <w:spacing w:val="-4"/>
          <w:szCs w:val="22"/>
        </w:rPr>
      </w:pPr>
    </w:p>
    <w:p w:rsidR="005D70F9" w:rsidRPr="005F15DA" w:rsidRDefault="005D70F9" w:rsidP="00AB759E">
      <w:r w:rsidRPr="005F15DA">
        <w:rPr>
          <w:spacing w:val="-4"/>
        </w:rPr>
        <w:t xml:space="preserve">Die </w:t>
      </w:r>
      <w:r w:rsidRPr="005F15DA">
        <w:rPr>
          <w:spacing w:val="-4"/>
          <w:u w:val="single"/>
        </w:rPr>
        <w:t>Gemeinden und Kirchgemeinden</w:t>
      </w:r>
      <w:r w:rsidRPr="005F15DA">
        <w:rPr>
          <w:spacing w:val="-4"/>
        </w:rPr>
        <w:t xml:space="preserve"> sind befugt, ebenfalls Steuern zu erheben. Neben den </w:t>
      </w:r>
      <w:r w:rsidRPr="005F15DA">
        <w:t>o</w:t>
      </w:r>
      <w:r w:rsidRPr="005F15DA">
        <w:t>r</w:t>
      </w:r>
      <w:r w:rsidRPr="005F15DA">
        <w:t>dentlichen Steuern ähnlich dem Kanton, erhebt die Gemeinde zusätzlich als besondere Ste</w:t>
      </w:r>
      <w:r w:rsidRPr="005F15DA">
        <w:t>u</w:t>
      </w:r>
      <w:r w:rsidRPr="005F15DA">
        <w:t>er die Liegenschaftssteuer. Im Steuergesetz sind die Einheitsansätze für die Berech</w:t>
      </w:r>
      <w:r w:rsidRPr="005F15DA">
        <w:rPr>
          <w:spacing w:val="-3"/>
        </w:rPr>
        <w:t>nung der einfachen Steuer für Einkommen und Vermögen festgehalten. Die einfache Steuer ist bei Kanton und Gemeinde mit der entsprechenden Steueranlage zu multiplizieren. Hinzu können noch Ki</w:t>
      </w:r>
      <w:r w:rsidRPr="005F15DA">
        <w:rPr>
          <w:spacing w:val="-3"/>
        </w:rPr>
        <w:t>r</w:t>
      </w:r>
      <w:r w:rsidRPr="005F15DA">
        <w:rPr>
          <w:spacing w:val="-3"/>
        </w:rPr>
        <w:t>chensteuern kommen.</w:t>
      </w:r>
    </w:p>
    <w:p w:rsidR="00AB759E" w:rsidRPr="005F15DA" w:rsidRDefault="00AB759E" w:rsidP="00AB759E">
      <w:pPr>
        <w:rPr>
          <w:spacing w:val="-7"/>
        </w:rPr>
      </w:pPr>
    </w:p>
    <w:p w:rsidR="005D70F9" w:rsidRPr="005F15DA" w:rsidRDefault="005D70F9" w:rsidP="00AB759E">
      <w:pPr>
        <w:rPr>
          <w:spacing w:val="-7"/>
        </w:rPr>
      </w:pPr>
      <w:r w:rsidRPr="005F15DA">
        <w:rPr>
          <w:spacing w:val="-7"/>
        </w:rPr>
        <w:t>Die Steueranlagen von Kanton und Gemeinden finden Sie über die Homepage der Steuerverwa</w:t>
      </w:r>
      <w:r w:rsidRPr="005F15DA">
        <w:rPr>
          <w:spacing w:val="-7"/>
        </w:rPr>
        <w:t>l</w:t>
      </w:r>
      <w:r w:rsidRPr="005F15DA">
        <w:rPr>
          <w:spacing w:val="-7"/>
        </w:rPr>
        <w:t>tung des Kantons Bern.</w:t>
      </w:r>
    </w:p>
    <w:p w:rsidR="00D8219C" w:rsidRPr="005F15DA" w:rsidRDefault="00D8219C" w:rsidP="00AB759E"/>
    <w:p w:rsidR="00D8219C" w:rsidRPr="005F15DA" w:rsidRDefault="00D8219C" w:rsidP="00AB759E"/>
    <w:p w:rsidR="001019E0" w:rsidRPr="005F15DA" w:rsidRDefault="001019E0">
      <w:pPr>
        <w:spacing w:after="200"/>
        <w:rPr>
          <w:spacing w:val="-7"/>
          <w:szCs w:val="22"/>
        </w:rPr>
      </w:pPr>
    </w:p>
    <w:p w:rsidR="005D70F9" w:rsidRPr="005F15DA" w:rsidRDefault="005D70F9" w:rsidP="00AB759E">
      <w:pPr>
        <w:jc w:val="both"/>
      </w:pPr>
      <w:r w:rsidRPr="005F15DA">
        <w:rPr>
          <w:spacing w:val="-7"/>
          <w:szCs w:val="22"/>
        </w:rPr>
        <w:t>Beispiel:</w:t>
      </w:r>
    </w:p>
    <w:p w:rsidR="005D70F9" w:rsidRPr="005F15DA" w:rsidRDefault="005D70F9" w:rsidP="00AB759E">
      <w:pPr>
        <w:jc w:val="both"/>
      </w:pPr>
      <w:r w:rsidRPr="005F15DA">
        <w:rPr>
          <w:spacing w:val="-1"/>
          <w:szCs w:val="22"/>
        </w:rPr>
        <w:t>Steuerbares Einkommen: Fr. 28’000.-</w:t>
      </w:r>
    </w:p>
    <w:p w:rsidR="005D70F9" w:rsidRPr="005F15DA" w:rsidRDefault="005D70F9" w:rsidP="00AB759E">
      <w:pPr>
        <w:jc w:val="both"/>
      </w:pPr>
      <w:r w:rsidRPr="005F15DA">
        <w:rPr>
          <w:spacing w:val="-5"/>
          <w:szCs w:val="22"/>
        </w:rPr>
        <w:t>Einfache Steuer Einkommen (alleinstehende Person, Tarif 2003): Fr. 1 031.35</w:t>
      </w:r>
    </w:p>
    <w:p w:rsidR="005D70F9" w:rsidRPr="005F15DA" w:rsidRDefault="005D70F9" w:rsidP="00AB759E">
      <w:pPr>
        <w:tabs>
          <w:tab w:val="left" w:pos="1701"/>
          <w:tab w:val="left" w:pos="7655"/>
          <w:tab w:val="left" w:pos="7938"/>
          <w:tab w:val="decimal" w:pos="8789"/>
        </w:tabs>
        <w:jc w:val="both"/>
        <w:rPr>
          <w:spacing w:val="1"/>
          <w:szCs w:val="22"/>
        </w:rPr>
      </w:pPr>
      <w:r w:rsidRPr="005F15DA">
        <w:rPr>
          <w:spacing w:val="-12"/>
          <w:szCs w:val="22"/>
        </w:rPr>
        <w:t>Kanton</w:t>
      </w:r>
      <w:r w:rsidRPr="005F15DA">
        <w:rPr>
          <w:szCs w:val="22"/>
        </w:rPr>
        <w:tab/>
      </w:r>
      <w:r w:rsidRPr="005F15DA">
        <w:rPr>
          <w:spacing w:val="-5"/>
          <w:szCs w:val="22"/>
        </w:rPr>
        <w:t>Fr. 1'031.35 x 3,06 angenommene Steueranlage Kanton</w:t>
      </w:r>
      <w:r w:rsidRPr="005F15DA">
        <w:rPr>
          <w:szCs w:val="22"/>
        </w:rPr>
        <w:tab/>
      </w:r>
      <w:r w:rsidRPr="005F15DA">
        <w:rPr>
          <w:spacing w:val="1"/>
          <w:szCs w:val="22"/>
        </w:rPr>
        <w:t>=</w:t>
      </w:r>
      <w:r w:rsidRPr="005F15DA">
        <w:rPr>
          <w:spacing w:val="1"/>
          <w:szCs w:val="22"/>
        </w:rPr>
        <w:tab/>
        <w:t>Fr.</w:t>
      </w:r>
      <w:r w:rsidRPr="005F15DA">
        <w:rPr>
          <w:spacing w:val="1"/>
          <w:szCs w:val="22"/>
        </w:rPr>
        <w:tab/>
        <w:t>3'155.95</w:t>
      </w:r>
    </w:p>
    <w:p w:rsidR="005D70F9" w:rsidRPr="005F15DA" w:rsidRDefault="005D70F9" w:rsidP="00AB759E">
      <w:pPr>
        <w:tabs>
          <w:tab w:val="left" w:pos="1701"/>
          <w:tab w:val="left" w:pos="7655"/>
          <w:tab w:val="left" w:pos="7938"/>
          <w:tab w:val="decimal" w:pos="8789"/>
        </w:tabs>
        <w:jc w:val="both"/>
      </w:pPr>
      <w:r w:rsidRPr="005F15DA">
        <w:rPr>
          <w:spacing w:val="1"/>
          <w:szCs w:val="22"/>
        </w:rPr>
        <w:t>Gemeinde</w:t>
      </w:r>
      <w:r w:rsidRPr="005F15DA">
        <w:rPr>
          <w:spacing w:val="1"/>
          <w:szCs w:val="22"/>
        </w:rPr>
        <w:tab/>
        <w:t>Fr. 1'031.35 x 1,80 angenommene Steueranlage Gemeinde</w:t>
      </w:r>
      <w:r w:rsidRPr="005F15DA">
        <w:rPr>
          <w:spacing w:val="1"/>
          <w:szCs w:val="22"/>
        </w:rPr>
        <w:tab/>
        <w:t>=</w:t>
      </w:r>
      <w:r w:rsidRPr="005F15DA">
        <w:rPr>
          <w:spacing w:val="1"/>
          <w:szCs w:val="22"/>
        </w:rPr>
        <w:tab/>
        <w:t>Fr.</w:t>
      </w:r>
      <w:r w:rsidRPr="005F15DA">
        <w:rPr>
          <w:spacing w:val="1"/>
          <w:szCs w:val="22"/>
        </w:rPr>
        <w:tab/>
        <w:t>1'856.45</w:t>
      </w:r>
    </w:p>
    <w:p w:rsidR="005D70F9" w:rsidRPr="005F15DA" w:rsidRDefault="005D70F9" w:rsidP="00AB759E">
      <w:pPr>
        <w:tabs>
          <w:tab w:val="left" w:pos="1701"/>
          <w:tab w:val="left" w:pos="7655"/>
          <w:tab w:val="left" w:pos="7938"/>
          <w:tab w:val="decimal" w:pos="8789"/>
        </w:tabs>
        <w:jc w:val="both"/>
      </w:pPr>
      <w:r w:rsidRPr="005F15DA">
        <w:rPr>
          <w:spacing w:val="-11"/>
          <w:szCs w:val="22"/>
        </w:rPr>
        <w:t>Kirche</w:t>
      </w:r>
      <w:r w:rsidRPr="005F15DA">
        <w:rPr>
          <w:szCs w:val="22"/>
        </w:rPr>
        <w:tab/>
      </w:r>
      <w:r w:rsidRPr="005F15DA">
        <w:rPr>
          <w:spacing w:val="-5"/>
          <w:szCs w:val="22"/>
        </w:rPr>
        <w:t>Fr. 1'031.35 x 0,20 angenommene Steueranlage Kirche</w:t>
      </w:r>
      <w:r w:rsidRPr="005F15DA">
        <w:rPr>
          <w:szCs w:val="22"/>
        </w:rPr>
        <w:tab/>
      </w:r>
      <w:r w:rsidRPr="005F15DA">
        <w:rPr>
          <w:spacing w:val="2"/>
          <w:szCs w:val="22"/>
        </w:rPr>
        <w:t>=</w:t>
      </w:r>
      <w:r w:rsidRPr="005F15DA">
        <w:rPr>
          <w:spacing w:val="2"/>
          <w:szCs w:val="22"/>
        </w:rPr>
        <w:tab/>
        <w:t>Fr.</w:t>
      </w:r>
      <w:r w:rsidRPr="005F15DA">
        <w:rPr>
          <w:spacing w:val="2"/>
          <w:szCs w:val="22"/>
        </w:rPr>
        <w:tab/>
        <w:t>206.25</w:t>
      </w:r>
    </w:p>
    <w:p w:rsidR="005D70F9" w:rsidRPr="005F15DA" w:rsidRDefault="005D70F9" w:rsidP="00AB759E">
      <w:pPr>
        <w:tabs>
          <w:tab w:val="left" w:pos="1701"/>
          <w:tab w:val="left" w:pos="7655"/>
          <w:tab w:val="left" w:pos="7938"/>
          <w:tab w:val="decimal" w:pos="8789"/>
        </w:tabs>
        <w:jc w:val="both"/>
        <w:rPr>
          <w:spacing w:val="2"/>
          <w:szCs w:val="22"/>
          <w:u w:val="single"/>
        </w:rPr>
      </w:pPr>
      <w:r w:rsidRPr="005F15DA">
        <w:rPr>
          <w:noProof/>
          <w:lang w:eastAsia="de-CH"/>
        </w:rPr>
        <mc:AlternateContent>
          <mc:Choice Requires="wps">
            <w:drawing>
              <wp:anchor distT="0" distB="0" distL="114300" distR="114300" simplePos="0" relativeHeight="251691008" behindDoc="0" locked="0" layoutInCell="0" allowOverlap="1" wp14:anchorId="5F80848C" wp14:editId="6069D5CF">
                <wp:simplePos x="0" y="0"/>
                <wp:positionH relativeFrom="column">
                  <wp:posOffset>5038090</wp:posOffset>
                </wp:positionH>
                <wp:positionV relativeFrom="paragraph">
                  <wp:posOffset>6350</wp:posOffset>
                </wp:positionV>
                <wp:extent cx="707390" cy="0"/>
                <wp:effectExtent l="0" t="0" r="0" b="0"/>
                <wp:wrapNone/>
                <wp:docPr id="2" name="Line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7390" cy="0"/>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6"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6.7pt,.5pt" to="452.4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" o:allowincell="f" strokeweight=".7pt"/>
            </w:pict>
          </mc:Fallback>
        </mc:AlternateContent>
      </w:r>
      <w:r w:rsidRPr="005F15DA">
        <w:rPr>
          <w:spacing w:val="-6"/>
          <w:szCs w:val="22"/>
        </w:rPr>
        <w:t>Total Kantons-, Gemeinde- und Kirchensteuern</w:t>
      </w:r>
      <w:r w:rsidRPr="005F15DA">
        <w:rPr>
          <w:szCs w:val="22"/>
        </w:rPr>
        <w:tab/>
      </w:r>
      <w:r w:rsidRPr="005F15DA">
        <w:rPr>
          <w:spacing w:val="2"/>
          <w:szCs w:val="22"/>
        </w:rPr>
        <w:t>=</w:t>
      </w:r>
      <w:r w:rsidRPr="005F15DA">
        <w:rPr>
          <w:spacing w:val="2"/>
          <w:szCs w:val="22"/>
        </w:rPr>
        <w:tab/>
      </w:r>
      <w:r w:rsidRPr="005F15DA">
        <w:rPr>
          <w:spacing w:val="2"/>
          <w:szCs w:val="22"/>
          <w:u w:val="single"/>
        </w:rPr>
        <w:t>Fr.</w:t>
      </w:r>
      <w:r w:rsidRPr="005F15DA">
        <w:rPr>
          <w:spacing w:val="2"/>
          <w:szCs w:val="22"/>
          <w:u w:val="single"/>
        </w:rPr>
        <w:tab/>
        <w:t>5'218.65</w:t>
      </w:r>
    </w:p>
    <w:p w:rsidR="005D70F9" w:rsidRPr="005F15DA" w:rsidRDefault="005D70F9" w:rsidP="00AB759E"/>
    <w:p w:rsidR="00D8219C" w:rsidRPr="005F15DA" w:rsidRDefault="00D8219C" w:rsidP="00AB759E"/>
    <w:p w:rsidR="00D8219C" w:rsidRPr="005F15DA" w:rsidRDefault="00D8219C" w:rsidP="00AB759E"/>
    <w:p w:rsidR="0096212C" w:rsidRPr="005F15DA" w:rsidRDefault="0096212C" w:rsidP="0096212C">
      <w:pPr>
        <w:rPr>
          <w:rFonts w:eastAsiaTheme="majorEastAsia" w:cstheme="majorBidi"/>
          <w:color w:val="000000" w:themeColor="text1"/>
          <w:szCs w:val="22"/>
        </w:rPr>
      </w:pPr>
      <w:r w:rsidRPr="005F15DA">
        <w:rPr>
          <w:szCs w:val="22"/>
        </w:rPr>
        <w:br w:type="page"/>
      </w:r>
    </w:p>
    <w:p w:rsidR="005A0F80" w:rsidRPr="005F15DA" w:rsidRDefault="0064032B" w:rsidP="001F15CC">
      <w:pPr>
        <w:pStyle w:val="berschrift1"/>
        <w:spacing w:before="0"/>
      </w:pPr>
      <w:bookmarkStart w:id="129" w:name="_Toc432175649"/>
      <w:r w:rsidRPr="005F15DA">
        <w:lastRenderedPageBreak/>
        <w:t>Sachen</w:t>
      </w:r>
      <w:r w:rsidR="00207DC6">
        <w:t>- und Grundbuch</w:t>
      </w:r>
      <w:r w:rsidR="00490E8F" w:rsidRPr="005F15DA">
        <w:t>recht</w:t>
      </w:r>
      <w:bookmarkEnd w:id="129"/>
    </w:p>
    <w:p w:rsidR="00EE0A0C" w:rsidRPr="005F15DA" w:rsidRDefault="00EE0A0C" w:rsidP="00EE0A0C">
      <w:r w:rsidRPr="005F15DA">
        <w:t>______________________________________________</w:t>
      </w:r>
      <w:r>
        <w:t>____________</w:t>
      </w:r>
      <w:r w:rsidR="00CF04FF">
        <w:t>________________</w:t>
      </w:r>
    </w:p>
    <w:p w:rsidR="00490E8F" w:rsidRPr="005F15DA" w:rsidRDefault="00490E8F" w:rsidP="00490E8F">
      <w:pPr>
        <w:spacing w:line="240" w:lineRule="auto"/>
        <w:rPr>
          <w:rFonts w:cs="Arial"/>
        </w:rPr>
      </w:pPr>
    </w:p>
    <w:p w:rsidR="007F28BD" w:rsidRPr="005F15DA" w:rsidRDefault="007F28BD" w:rsidP="00490E8F">
      <w:pPr>
        <w:spacing w:line="240" w:lineRule="auto"/>
        <w:rPr>
          <w:rFonts w:cs="Arial"/>
        </w:rPr>
      </w:pPr>
    </w:p>
    <w:p w:rsidR="009457AB" w:rsidRPr="005F15DA" w:rsidRDefault="009457AB" w:rsidP="00490E8F">
      <w:pPr>
        <w:spacing w:line="240" w:lineRule="auto"/>
        <w:rPr>
          <w:rFonts w:cs="Arial"/>
        </w:rPr>
      </w:pPr>
    </w:p>
    <w:p w:rsidR="00A1089D" w:rsidRPr="005F15DA" w:rsidRDefault="00D50B8C" w:rsidP="00E36E8F">
      <w:pPr>
        <w:pStyle w:val="berschrift2"/>
      </w:pPr>
      <w:bookmarkStart w:id="130" w:name="_Toc432175650"/>
      <w:r w:rsidRPr="005F15DA">
        <w:t>I</w:t>
      </w:r>
      <w:r w:rsidR="007F28BD" w:rsidRPr="005F15DA">
        <w:t xml:space="preserve">. </w:t>
      </w:r>
      <w:r w:rsidR="00A1089D" w:rsidRPr="005F15DA">
        <w:t>Einleitung</w:t>
      </w:r>
      <w:bookmarkEnd w:id="130"/>
    </w:p>
    <w:p w:rsidR="00EE0A0C" w:rsidRPr="005F15DA" w:rsidRDefault="00EE0A0C" w:rsidP="00EE0A0C">
      <w:r w:rsidRPr="005F15DA">
        <w:t>______________</w:t>
      </w:r>
      <w:r w:rsidR="00CF04FF">
        <w:t>_</w:t>
      </w:r>
    </w:p>
    <w:p w:rsidR="007F28BD" w:rsidRPr="005F15DA" w:rsidRDefault="007F28BD" w:rsidP="008931CD">
      <w:pPr>
        <w:spacing w:line="240" w:lineRule="auto"/>
        <w:jc w:val="both"/>
        <w:rPr>
          <w:rFonts w:cs="Arial"/>
          <w:szCs w:val="22"/>
        </w:rPr>
      </w:pPr>
    </w:p>
    <w:p w:rsidR="00490E8F" w:rsidRPr="005F15DA" w:rsidRDefault="00490E8F" w:rsidP="008931CD">
      <w:pPr>
        <w:spacing w:line="240" w:lineRule="auto"/>
        <w:jc w:val="both"/>
        <w:rPr>
          <w:rFonts w:cs="Arial"/>
          <w:szCs w:val="22"/>
        </w:rPr>
      </w:pPr>
      <w:r w:rsidRPr="005F15DA">
        <w:rPr>
          <w:rFonts w:cs="Arial"/>
          <w:szCs w:val="22"/>
        </w:rPr>
        <w:t xml:space="preserve">Das Sachenrecht </w:t>
      </w:r>
      <w:r w:rsidR="006854CB" w:rsidRPr="005F15DA">
        <w:rPr>
          <w:rFonts w:cs="Arial"/>
          <w:szCs w:val="22"/>
        </w:rPr>
        <w:t xml:space="preserve">ist im ZGB geregelt und </w:t>
      </w:r>
      <w:r w:rsidRPr="005F15DA">
        <w:rPr>
          <w:rFonts w:cs="Arial"/>
          <w:szCs w:val="22"/>
        </w:rPr>
        <w:t>b</w:t>
      </w:r>
      <w:r w:rsidR="00A1089D" w:rsidRPr="005F15DA">
        <w:rPr>
          <w:rFonts w:cs="Arial"/>
          <w:szCs w:val="22"/>
        </w:rPr>
        <w:t>esteht aus den drei Abteilungen</w:t>
      </w:r>
    </w:p>
    <w:p w:rsidR="00490E8F" w:rsidRPr="005F15DA" w:rsidRDefault="00A00A63" w:rsidP="008931CD">
      <w:pPr>
        <w:pStyle w:val="Listenabsatz"/>
        <w:spacing w:line="240" w:lineRule="auto"/>
        <w:ind w:left="426" w:hanging="426"/>
        <w:jc w:val="both"/>
        <w:rPr>
          <w:rFonts w:cs="Arial"/>
          <w:szCs w:val="22"/>
        </w:rPr>
      </w:pPr>
      <w:r w:rsidRPr="005F15DA">
        <w:rPr>
          <w:rFonts w:cs="Arial"/>
          <w:szCs w:val="22"/>
        </w:rPr>
        <w:t>1.</w:t>
      </w:r>
      <w:r w:rsidRPr="005F15DA">
        <w:rPr>
          <w:rFonts w:cs="Arial"/>
          <w:szCs w:val="22"/>
        </w:rPr>
        <w:tab/>
      </w:r>
      <w:r w:rsidR="00490E8F" w:rsidRPr="005F15DA">
        <w:rPr>
          <w:rFonts w:cs="Arial"/>
          <w:b/>
          <w:szCs w:val="22"/>
        </w:rPr>
        <w:t>Eigentum</w:t>
      </w:r>
      <w:r w:rsidR="00490E8F" w:rsidRPr="005F15DA">
        <w:rPr>
          <w:rFonts w:cs="Arial"/>
          <w:szCs w:val="22"/>
        </w:rPr>
        <w:t xml:space="preserve"> (</w:t>
      </w:r>
      <w:r w:rsidR="007F28BD" w:rsidRPr="005F15DA">
        <w:rPr>
          <w:rFonts w:cs="Arial"/>
          <w:szCs w:val="22"/>
        </w:rPr>
        <w:t xml:space="preserve">Art. </w:t>
      </w:r>
      <w:r w:rsidR="00490E8F" w:rsidRPr="005F15DA">
        <w:rPr>
          <w:rFonts w:cs="Arial"/>
          <w:szCs w:val="22"/>
        </w:rPr>
        <w:t>641 - 729</w:t>
      </w:r>
      <w:r w:rsidR="007F28BD" w:rsidRPr="005F15DA">
        <w:rPr>
          <w:rFonts w:cs="Arial"/>
          <w:szCs w:val="22"/>
        </w:rPr>
        <w:t xml:space="preserve"> ZGB</w:t>
      </w:r>
      <w:r w:rsidR="00490E8F" w:rsidRPr="005F15DA">
        <w:rPr>
          <w:rFonts w:cs="Arial"/>
          <w:szCs w:val="22"/>
        </w:rPr>
        <w:t>),</w:t>
      </w:r>
      <w:r w:rsidRPr="005F15DA">
        <w:rPr>
          <w:rFonts w:cs="Arial"/>
          <w:szCs w:val="22"/>
        </w:rPr>
        <w:t xml:space="preserve"> mit</w:t>
      </w:r>
    </w:p>
    <w:p w:rsidR="00A00A63" w:rsidRPr="005F15DA" w:rsidRDefault="00A00A63" w:rsidP="000423D7">
      <w:pPr>
        <w:pStyle w:val="Listenabsatz"/>
        <w:numPr>
          <w:ilvl w:val="0"/>
          <w:numId w:val="1"/>
        </w:numPr>
        <w:spacing w:line="240" w:lineRule="auto"/>
        <w:ind w:left="851" w:hanging="425"/>
        <w:jc w:val="both"/>
        <w:rPr>
          <w:rFonts w:cs="Arial"/>
          <w:szCs w:val="22"/>
        </w:rPr>
      </w:pPr>
      <w:r w:rsidRPr="005F15DA">
        <w:rPr>
          <w:rFonts w:cs="Arial"/>
          <w:szCs w:val="22"/>
        </w:rPr>
        <w:t>Allgemeine Bestimmungen (Art. 641 ff. ZGB)</w:t>
      </w:r>
    </w:p>
    <w:p w:rsidR="00A00A63" w:rsidRPr="005F15DA" w:rsidRDefault="00A00A63" w:rsidP="000423D7">
      <w:pPr>
        <w:pStyle w:val="Listenabsatz"/>
        <w:numPr>
          <w:ilvl w:val="0"/>
          <w:numId w:val="1"/>
        </w:numPr>
        <w:spacing w:line="240" w:lineRule="auto"/>
        <w:ind w:left="851" w:hanging="425"/>
        <w:jc w:val="both"/>
        <w:rPr>
          <w:rFonts w:cs="Arial"/>
          <w:szCs w:val="22"/>
        </w:rPr>
      </w:pPr>
      <w:r w:rsidRPr="005F15DA">
        <w:rPr>
          <w:rFonts w:cs="Arial"/>
          <w:szCs w:val="22"/>
        </w:rPr>
        <w:t>Grundeigentum (Art. 655 ff. ZGB)</w:t>
      </w:r>
    </w:p>
    <w:p w:rsidR="00A00A63" w:rsidRPr="005F15DA" w:rsidRDefault="00A00A63" w:rsidP="000423D7">
      <w:pPr>
        <w:pStyle w:val="Listenabsatz"/>
        <w:numPr>
          <w:ilvl w:val="0"/>
          <w:numId w:val="1"/>
        </w:numPr>
        <w:spacing w:line="240" w:lineRule="auto"/>
        <w:ind w:left="851" w:hanging="425"/>
        <w:jc w:val="both"/>
        <w:rPr>
          <w:rFonts w:cs="Arial"/>
          <w:szCs w:val="22"/>
        </w:rPr>
      </w:pPr>
      <w:r w:rsidRPr="005F15DA">
        <w:rPr>
          <w:rFonts w:cs="Arial"/>
          <w:szCs w:val="22"/>
        </w:rPr>
        <w:t>Fahrniseigentum (Art. 713 ff. ZGB)</w:t>
      </w:r>
    </w:p>
    <w:p w:rsidR="00490E8F" w:rsidRPr="005F15DA" w:rsidRDefault="00A00A63" w:rsidP="008931CD">
      <w:pPr>
        <w:pStyle w:val="Listenabsatz"/>
        <w:spacing w:line="240" w:lineRule="auto"/>
        <w:ind w:left="426" w:hanging="426"/>
        <w:jc w:val="both"/>
        <w:rPr>
          <w:rFonts w:cs="Arial"/>
          <w:szCs w:val="22"/>
        </w:rPr>
      </w:pPr>
      <w:r w:rsidRPr="005F15DA">
        <w:rPr>
          <w:rFonts w:cs="Arial"/>
          <w:szCs w:val="22"/>
        </w:rPr>
        <w:t>2.</w:t>
      </w:r>
      <w:r w:rsidRPr="005F15DA">
        <w:rPr>
          <w:rFonts w:cs="Arial"/>
          <w:szCs w:val="22"/>
        </w:rPr>
        <w:tab/>
      </w:r>
      <w:r w:rsidR="00490E8F" w:rsidRPr="005F15DA">
        <w:rPr>
          <w:rFonts w:cs="Arial"/>
          <w:b/>
          <w:szCs w:val="22"/>
        </w:rPr>
        <w:t>Beschränkte dingliche Rechte</w:t>
      </w:r>
      <w:r w:rsidR="00490E8F" w:rsidRPr="005F15DA">
        <w:rPr>
          <w:rFonts w:cs="Arial"/>
          <w:szCs w:val="22"/>
        </w:rPr>
        <w:t xml:space="preserve"> (</w:t>
      </w:r>
      <w:r w:rsidR="007F28BD" w:rsidRPr="005F15DA">
        <w:rPr>
          <w:rFonts w:cs="Arial"/>
          <w:szCs w:val="22"/>
        </w:rPr>
        <w:t xml:space="preserve">Art. </w:t>
      </w:r>
      <w:r w:rsidR="00490E8F" w:rsidRPr="005F15DA">
        <w:rPr>
          <w:rFonts w:cs="Arial"/>
          <w:szCs w:val="22"/>
        </w:rPr>
        <w:t>730 - 915</w:t>
      </w:r>
      <w:r w:rsidR="007F28BD" w:rsidRPr="005F15DA">
        <w:rPr>
          <w:rFonts w:cs="Arial"/>
          <w:szCs w:val="22"/>
        </w:rPr>
        <w:t xml:space="preserve"> ZGB</w:t>
      </w:r>
      <w:r w:rsidR="00490E8F" w:rsidRPr="005F15DA">
        <w:rPr>
          <w:rFonts w:cs="Arial"/>
          <w:szCs w:val="22"/>
        </w:rPr>
        <w:t>),</w:t>
      </w:r>
      <w:r w:rsidRPr="005F15DA">
        <w:rPr>
          <w:rFonts w:cs="Arial"/>
          <w:szCs w:val="22"/>
        </w:rPr>
        <w:t xml:space="preserve"> mit</w:t>
      </w:r>
    </w:p>
    <w:p w:rsidR="00A00A63" w:rsidRPr="005F15DA" w:rsidRDefault="00A00A63" w:rsidP="000423D7">
      <w:pPr>
        <w:pStyle w:val="Listenabsatz"/>
        <w:numPr>
          <w:ilvl w:val="0"/>
          <w:numId w:val="1"/>
        </w:numPr>
        <w:spacing w:line="240" w:lineRule="auto"/>
        <w:ind w:left="851" w:hanging="426"/>
        <w:jc w:val="both"/>
        <w:rPr>
          <w:rFonts w:cs="Arial"/>
          <w:szCs w:val="22"/>
        </w:rPr>
      </w:pPr>
      <w:r w:rsidRPr="005F15DA">
        <w:rPr>
          <w:rFonts w:cs="Arial"/>
          <w:szCs w:val="22"/>
        </w:rPr>
        <w:t>Dienstbarkeiten und Grundlasten (Grunddienstbarkeiten Art. 730 ff. ZGB, Nutznie</w:t>
      </w:r>
      <w:r w:rsidRPr="005F15DA">
        <w:rPr>
          <w:rFonts w:cs="Arial"/>
          <w:szCs w:val="22"/>
        </w:rPr>
        <w:t>s</w:t>
      </w:r>
      <w:r w:rsidRPr="005F15DA">
        <w:rPr>
          <w:rFonts w:cs="Arial"/>
          <w:szCs w:val="22"/>
        </w:rPr>
        <w:t>sung und andere Dienstbarkeiten Art, 745 ff. ZGB, Grundlasten Art. 782 ff. ZGB)</w:t>
      </w:r>
    </w:p>
    <w:p w:rsidR="00A00A63" w:rsidRPr="005F15DA" w:rsidRDefault="00A00A63" w:rsidP="000423D7">
      <w:pPr>
        <w:pStyle w:val="Listenabsatz"/>
        <w:numPr>
          <w:ilvl w:val="0"/>
          <w:numId w:val="1"/>
        </w:numPr>
        <w:spacing w:line="240" w:lineRule="auto"/>
        <w:ind w:left="851" w:hanging="426"/>
        <w:jc w:val="both"/>
        <w:rPr>
          <w:rFonts w:cs="Arial"/>
          <w:szCs w:val="22"/>
        </w:rPr>
      </w:pPr>
      <w:r w:rsidRPr="005F15DA">
        <w:rPr>
          <w:rFonts w:cs="Arial"/>
          <w:szCs w:val="22"/>
        </w:rPr>
        <w:t>Grundpfand (Art. 793 ff. ZGB)</w:t>
      </w:r>
    </w:p>
    <w:p w:rsidR="00A00A63" w:rsidRPr="005F15DA" w:rsidRDefault="007F28BD" w:rsidP="000423D7">
      <w:pPr>
        <w:pStyle w:val="Listenabsatz"/>
        <w:numPr>
          <w:ilvl w:val="0"/>
          <w:numId w:val="1"/>
        </w:numPr>
        <w:spacing w:line="240" w:lineRule="auto"/>
        <w:ind w:left="851" w:hanging="426"/>
        <w:jc w:val="both"/>
        <w:rPr>
          <w:rFonts w:cs="Arial"/>
          <w:szCs w:val="22"/>
        </w:rPr>
      </w:pPr>
      <w:r w:rsidRPr="005F15DA">
        <w:rPr>
          <w:rFonts w:cs="Arial"/>
          <w:szCs w:val="22"/>
        </w:rPr>
        <w:t>Fahrnispfand (</w:t>
      </w:r>
      <w:r w:rsidR="00A00A63" w:rsidRPr="005F15DA">
        <w:rPr>
          <w:rFonts w:cs="Arial"/>
          <w:szCs w:val="22"/>
        </w:rPr>
        <w:t>Art. 884 ff. ZGB)</w:t>
      </w:r>
    </w:p>
    <w:p w:rsidR="00490E8F" w:rsidRPr="005F15DA" w:rsidRDefault="00A00A63" w:rsidP="008931CD">
      <w:pPr>
        <w:pStyle w:val="Listenabsatz"/>
        <w:spacing w:line="240" w:lineRule="auto"/>
        <w:ind w:left="426" w:hanging="426"/>
        <w:jc w:val="both"/>
        <w:rPr>
          <w:rFonts w:cs="Arial"/>
          <w:szCs w:val="22"/>
        </w:rPr>
      </w:pPr>
      <w:r w:rsidRPr="005F15DA">
        <w:rPr>
          <w:rFonts w:cs="Arial"/>
          <w:szCs w:val="22"/>
        </w:rPr>
        <w:t>3.</w:t>
      </w:r>
      <w:r w:rsidRPr="005F15DA">
        <w:rPr>
          <w:rFonts w:cs="Arial"/>
          <w:szCs w:val="22"/>
        </w:rPr>
        <w:tab/>
      </w:r>
      <w:r w:rsidR="00490E8F" w:rsidRPr="005F15DA">
        <w:rPr>
          <w:rFonts w:cs="Arial"/>
          <w:b/>
          <w:szCs w:val="22"/>
        </w:rPr>
        <w:t>Besit</w:t>
      </w:r>
      <w:r w:rsidR="00A1089D" w:rsidRPr="005F15DA">
        <w:rPr>
          <w:rFonts w:cs="Arial"/>
          <w:b/>
          <w:szCs w:val="22"/>
        </w:rPr>
        <w:t>z und Grundbuch</w:t>
      </w:r>
      <w:r w:rsidR="00A1089D" w:rsidRPr="005F15DA">
        <w:rPr>
          <w:rFonts w:cs="Arial"/>
          <w:szCs w:val="22"/>
        </w:rPr>
        <w:t xml:space="preserve"> (</w:t>
      </w:r>
      <w:r w:rsidR="007F28BD" w:rsidRPr="005F15DA">
        <w:rPr>
          <w:rFonts w:cs="Arial"/>
          <w:szCs w:val="22"/>
        </w:rPr>
        <w:t xml:space="preserve">Art. </w:t>
      </w:r>
      <w:r w:rsidR="00A1089D" w:rsidRPr="005F15DA">
        <w:rPr>
          <w:rFonts w:cs="Arial"/>
          <w:szCs w:val="22"/>
        </w:rPr>
        <w:t>919 - 977</w:t>
      </w:r>
      <w:r w:rsidR="007F28BD" w:rsidRPr="005F15DA">
        <w:rPr>
          <w:rFonts w:cs="Arial"/>
          <w:szCs w:val="22"/>
        </w:rPr>
        <w:t xml:space="preserve"> ZGB</w:t>
      </w:r>
      <w:r w:rsidR="00A1089D" w:rsidRPr="005F15DA">
        <w:rPr>
          <w:rFonts w:cs="Arial"/>
          <w:szCs w:val="22"/>
        </w:rPr>
        <w:t>),</w:t>
      </w:r>
      <w:r w:rsidRPr="005F15DA">
        <w:rPr>
          <w:rFonts w:cs="Arial"/>
          <w:szCs w:val="22"/>
        </w:rPr>
        <w:t xml:space="preserve"> mit</w:t>
      </w:r>
    </w:p>
    <w:p w:rsidR="00A00A63" w:rsidRPr="005F15DA" w:rsidRDefault="00A00A63" w:rsidP="000423D7">
      <w:pPr>
        <w:pStyle w:val="Listenabsatz"/>
        <w:numPr>
          <w:ilvl w:val="0"/>
          <w:numId w:val="1"/>
        </w:numPr>
        <w:spacing w:line="240" w:lineRule="auto"/>
        <w:ind w:left="851" w:hanging="426"/>
        <w:jc w:val="both"/>
        <w:rPr>
          <w:rFonts w:cs="Arial"/>
          <w:szCs w:val="22"/>
        </w:rPr>
      </w:pPr>
      <w:r w:rsidRPr="005F15DA">
        <w:rPr>
          <w:rFonts w:cs="Arial"/>
          <w:szCs w:val="22"/>
        </w:rPr>
        <w:t>Besitz (Art. 919 ff. ZGB)</w:t>
      </w:r>
    </w:p>
    <w:p w:rsidR="00A00A63" w:rsidRPr="005F15DA" w:rsidRDefault="00A00A63" w:rsidP="000423D7">
      <w:pPr>
        <w:pStyle w:val="Listenabsatz"/>
        <w:numPr>
          <w:ilvl w:val="0"/>
          <w:numId w:val="1"/>
        </w:numPr>
        <w:spacing w:line="240" w:lineRule="auto"/>
        <w:ind w:left="851" w:hanging="426"/>
        <w:jc w:val="both"/>
        <w:rPr>
          <w:rFonts w:cs="Arial"/>
          <w:szCs w:val="22"/>
        </w:rPr>
      </w:pPr>
      <w:r w:rsidRPr="005F15DA">
        <w:rPr>
          <w:rFonts w:cs="Arial"/>
          <w:szCs w:val="22"/>
        </w:rPr>
        <w:t>Grundbuch (Art. 942 ff. ZGB)</w:t>
      </w:r>
    </w:p>
    <w:p w:rsidR="00A00A63" w:rsidRPr="005F15DA" w:rsidRDefault="00A00A63" w:rsidP="008931CD">
      <w:pPr>
        <w:pStyle w:val="Listenabsatz"/>
        <w:spacing w:line="240" w:lineRule="auto"/>
        <w:ind w:left="0"/>
        <w:jc w:val="both"/>
        <w:rPr>
          <w:rFonts w:cs="Arial"/>
          <w:szCs w:val="22"/>
        </w:rPr>
      </w:pPr>
    </w:p>
    <w:p w:rsidR="00A00A63" w:rsidRPr="005F15DA" w:rsidRDefault="00A00A63" w:rsidP="008931CD">
      <w:pPr>
        <w:pStyle w:val="Listenabsatz"/>
        <w:spacing w:line="240" w:lineRule="auto"/>
        <w:ind w:left="0"/>
        <w:jc w:val="both"/>
        <w:rPr>
          <w:rFonts w:cs="Arial"/>
          <w:szCs w:val="22"/>
        </w:rPr>
      </w:pPr>
      <w:r w:rsidRPr="005F15DA">
        <w:rPr>
          <w:rFonts w:cs="Arial"/>
          <w:szCs w:val="22"/>
        </w:rPr>
        <w:t xml:space="preserve">Zusätzlich besteht die </w:t>
      </w:r>
      <w:r w:rsidRPr="005F15DA">
        <w:rPr>
          <w:rFonts w:cs="Arial"/>
          <w:b/>
          <w:szCs w:val="22"/>
        </w:rPr>
        <w:t>Grundbuchverordnung</w:t>
      </w:r>
      <w:r w:rsidRPr="005F15DA">
        <w:rPr>
          <w:rFonts w:cs="Arial"/>
          <w:szCs w:val="22"/>
        </w:rPr>
        <w:t>, welche per 1.1.2012 total revidiert wurde.</w:t>
      </w:r>
    </w:p>
    <w:p w:rsidR="00A00A63" w:rsidRPr="005F15DA" w:rsidRDefault="00A00A63" w:rsidP="008931CD">
      <w:pPr>
        <w:pStyle w:val="Listenabsatz"/>
        <w:spacing w:line="240" w:lineRule="auto"/>
        <w:ind w:left="0"/>
        <w:jc w:val="both"/>
        <w:rPr>
          <w:rFonts w:cs="Arial"/>
          <w:szCs w:val="22"/>
        </w:rPr>
      </w:pPr>
    </w:p>
    <w:p w:rsidR="003A41F5" w:rsidRPr="005F15DA" w:rsidRDefault="003A41F5" w:rsidP="008931CD">
      <w:pPr>
        <w:pStyle w:val="Listenabsatz"/>
        <w:spacing w:line="240" w:lineRule="auto"/>
        <w:ind w:left="0"/>
        <w:jc w:val="both"/>
        <w:rPr>
          <w:rFonts w:cs="Arial"/>
          <w:szCs w:val="22"/>
        </w:rPr>
      </w:pPr>
    </w:p>
    <w:p w:rsidR="00B72354" w:rsidRPr="005F15DA" w:rsidRDefault="00B72354" w:rsidP="008931CD">
      <w:pPr>
        <w:spacing w:line="240" w:lineRule="auto"/>
        <w:jc w:val="both"/>
        <w:rPr>
          <w:rFonts w:cs="Arial"/>
          <w:spacing w:val="-2"/>
          <w:szCs w:val="22"/>
        </w:rPr>
      </w:pPr>
      <w:r w:rsidRPr="005F15DA">
        <w:rPr>
          <w:rFonts w:cs="Arial"/>
          <w:spacing w:val="-2"/>
          <w:szCs w:val="22"/>
        </w:rPr>
        <w:t>Sachen- und Obligationenrecht bilden zusammen das Vermögensrecht. Das Personenrecht (erster Teil des ZGB) spricht über die möglichen Vermögensträger; das Familienrecht handelt von den persönlichen Beziehungen innerhalb der Familie; das Erbrecht behandelt die Recht</w:t>
      </w:r>
      <w:r w:rsidRPr="005F15DA">
        <w:rPr>
          <w:rFonts w:cs="Arial"/>
          <w:spacing w:val="-2"/>
          <w:szCs w:val="22"/>
        </w:rPr>
        <w:t>s</w:t>
      </w:r>
      <w:r w:rsidRPr="005F15DA">
        <w:rPr>
          <w:rFonts w:cs="Arial"/>
          <w:spacing w:val="-2"/>
          <w:szCs w:val="22"/>
        </w:rPr>
        <w:t>nachfolge beim Tode eines Vermögensträgers.</w:t>
      </w:r>
    </w:p>
    <w:p w:rsidR="00B72354" w:rsidRPr="005F15DA" w:rsidRDefault="00B72354" w:rsidP="008931CD">
      <w:pPr>
        <w:spacing w:line="240" w:lineRule="auto"/>
        <w:jc w:val="both"/>
        <w:rPr>
          <w:rFonts w:cs="Arial"/>
          <w:spacing w:val="-2"/>
          <w:szCs w:val="22"/>
        </w:rPr>
      </w:pPr>
    </w:p>
    <w:p w:rsidR="003A41F5" w:rsidRPr="005F15DA" w:rsidRDefault="003A41F5" w:rsidP="008931CD">
      <w:pPr>
        <w:spacing w:line="240" w:lineRule="auto"/>
        <w:jc w:val="both"/>
        <w:rPr>
          <w:rFonts w:cs="Arial"/>
          <w:spacing w:val="-2"/>
          <w:szCs w:val="22"/>
        </w:rPr>
      </w:pPr>
    </w:p>
    <w:p w:rsidR="00B72354" w:rsidRPr="005F15DA" w:rsidRDefault="00B72354" w:rsidP="008931CD">
      <w:pPr>
        <w:spacing w:line="240" w:lineRule="auto"/>
        <w:jc w:val="both"/>
        <w:rPr>
          <w:rFonts w:cs="Arial"/>
          <w:spacing w:val="-2"/>
          <w:szCs w:val="22"/>
        </w:rPr>
      </w:pPr>
      <w:r w:rsidRPr="005F15DA">
        <w:rPr>
          <w:rFonts w:cs="Arial"/>
          <w:spacing w:val="-2"/>
          <w:szCs w:val="22"/>
        </w:rPr>
        <w:t xml:space="preserve">Das </w:t>
      </w:r>
      <w:r w:rsidRPr="005F15DA">
        <w:rPr>
          <w:rFonts w:cs="Arial"/>
          <w:b/>
          <w:spacing w:val="-2"/>
          <w:szCs w:val="22"/>
        </w:rPr>
        <w:t>Sachenrecht</w:t>
      </w:r>
      <w:r w:rsidRPr="005F15DA">
        <w:rPr>
          <w:rFonts w:cs="Arial"/>
          <w:spacing w:val="-2"/>
          <w:szCs w:val="22"/>
        </w:rPr>
        <w:t xml:space="preserve"> (auch dingliches Recht, droit réel, genannt) ist ein </w:t>
      </w:r>
      <w:r w:rsidRPr="005F15DA">
        <w:rPr>
          <w:rFonts w:cs="Arial"/>
          <w:b/>
          <w:spacing w:val="-2"/>
          <w:szCs w:val="22"/>
        </w:rPr>
        <w:t>die Sache selbst erfa</w:t>
      </w:r>
      <w:r w:rsidRPr="005F15DA">
        <w:rPr>
          <w:rFonts w:cs="Arial"/>
          <w:b/>
          <w:spacing w:val="-2"/>
          <w:szCs w:val="22"/>
        </w:rPr>
        <w:t>s</w:t>
      </w:r>
      <w:r w:rsidRPr="005F15DA">
        <w:rPr>
          <w:rFonts w:cs="Arial"/>
          <w:b/>
          <w:spacing w:val="-2"/>
          <w:szCs w:val="22"/>
        </w:rPr>
        <w:t>sendes Recht</w:t>
      </w:r>
      <w:r w:rsidRPr="005F15DA">
        <w:rPr>
          <w:rFonts w:cs="Arial"/>
          <w:spacing w:val="-2"/>
          <w:szCs w:val="22"/>
        </w:rPr>
        <w:t>; sein Inhalt ist ein dinglicher Anspruch (Anspruch auf die Sache selbst).</w:t>
      </w:r>
    </w:p>
    <w:p w:rsidR="00B72354" w:rsidRPr="005F15DA" w:rsidRDefault="00B72354" w:rsidP="008931CD">
      <w:pPr>
        <w:spacing w:line="240" w:lineRule="auto"/>
        <w:jc w:val="both"/>
        <w:rPr>
          <w:rFonts w:cs="Arial"/>
          <w:spacing w:val="-2"/>
          <w:szCs w:val="22"/>
        </w:rPr>
      </w:pPr>
    </w:p>
    <w:p w:rsidR="00B72354" w:rsidRPr="005F15DA" w:rsidRDefault="00B72354" w:rsidP="008931CD">
      <w:pPr>
        <w:spacing w:line="240" w:lineRule="auto"/>
        <w:jc w:val="both"/>
        <w:rPr>
          <w:rFonts w:cs="Arial"/>
          <w:spacing w:val="-2"/>
          <w:szCs w:val="22"/>
        </w:rPr>
      </w:pPr>
      <w:r w:rsidRPr="005F15DA">
        <w:rPr>
          <w:rFonts w:cs="Arial"/>
          <w:b/>
          <w:spacing w:val="-2"/>
          <w:szCs w:val="22"/>
        </w:rPr>
        <w:t>Dingliche Rechte gelten gegenüber jedermann</w:t>
      </w:r>
      <w:r w:rsidRPr="005F15DA">
        <w:rPr>
          <w:rFonts w:cs="Arial"/>
          <w:spacing w:val="-2"/>
          <w:szCs w:val="22"/>
        </w:rPr>
        <w:t>. Es handelt sich dabei um die Rechte an Sachen, die sich direkt auf die Sache (das "Ding") beziehen, nämlich Eigentum, Besitz sowie beschränkte dingliche Rechte (Dienstbarkeiten und Pfandrechte).</w:t>
      </w:r>
    </w:p>
    <w:p w:rsidR="00B72354" w:rsidRPr="005F15DA" w:rsidRDefault="00B72354" w:rsidP="008931CD">
      <w:pPr>
        <w:spacing w:line="240" w:lineRule="auto"/>
        <w:jc w:val="both"/>
        <w:rPr>
          <w:rFonts w:cs="Arial"/>
          <w:spacing w:val="-2"/>
          <w:szCs w:val="22"/>
        </w:rPr>
      </w:pPr>
    </w:p>
    <w:p w:rsidR="00B72354" w:rsidRPr="005F15DA" w:rsidRDefault="00B72354" w:rsidP="008931CD">
      <w:pPr>
        <w:spacing w:line="240" w:lineRule="auto"/>
        <w:jc w:val="both"/>
        <w:rPr>
          <w:rFonts w:cs="Arial"/>
          <w:spacing w:val="-2"/>
          <w:szCs w:val="22"/>
        </w:rPr>
      </w:pPr>
      <w:r w:rsidRPr="005F15DA">
        <w:rPr>
          <w:rFonts w:cs="Arial"/>
          <w:spacing w:val="-2"/>
          <w:szCs w:val="22"/>
        </w:rPr>
        <w:t>Der Inhaber eines dinglichen Rechtes kann sich somit gegen jedermann wehren, welcher unb</w:t>
      </w:r>
      <w:r w:rsidRPr="005F15DA">
        <w:rPr>
          <w:rFonts w:cs="Arial"/>
          <w:spacing w:val="-2"/>
          <w:szCs w:val="22"/>
        </w:rPr>
        <w:t>e</w:t>
      </w:r>
      <w:r w:rsidRPr="005F15DA">
        <w:rPr>
          <w:rFonts w:cs="Arial"/>
          <w:spacing w:val="-2"/>
          <w:szCs w:val="22"/>
        </w:rPr>
        <w:t xml:space="preserve">fugt in sein Recht eingreift. Wird zum Beispiel ein Berechtigter aus einer Wegdienstbarkeit an der Durchfahrt gehindert, kann er gegen jeden, der ihn daran hindert gerichtlich vorgehen und die Beseitigung der Behinderung und die Unterlassung künftiger Behinderungen verlangen. </w:t>
      </w:r>
    </w:p>
    <w:p w:rsidR="006854CB" w:rsidRPr="005F15DA" w:rsidRDefault="006854CB" w:rsidP="006854CB">
      <w:pPr>
        <w:spacing w:line="240" w:lineRule="auto"/>
        <w:jc w:val="both"/>
        <w:rPr>
          <w:rFonts w:cs="Arial"/>
          <w:spacing w:val="-2"/>
          <w:szCs w:val="22"/>
        </w:rPr>
      </w:pPr>
    </w:p>
    <w:p w:rsidR="003A41F5" w:rsidRPr="005F15DA" w:rsidRDefault="003A41F5" w:rsidP="006854CB">
      <w:pPr>
        <w:spacing w:line="240" w:lineRule="auto"/>
        <w:jc w:val="both"/>
        <w:rPr>
          <w:rFonts w:cs="Arial"/>
          <w:spacing w:val="-2"/>
          <w:szCs w:val="22"/>
        </w:rPr>
      </w:pPr>
    </w:p>
    <w:p w:rsidR="006854CB" w:rsidRPr="005F15DA" w:rsidRDefault="006854CB" w:rsidP="006854CB">
      <w:pPr>
        <w:spacing w:line="240" w:lineRule="auto"/>
        <w:jc w:val="both"/>
        <w:rPr>
          <w:rFonts w:cs="Arial"/>
          <w:spacing w:val="-2"/>
          <w:szCs w:val="22"/>
        </w:rPr>
      </w:pPr>
      <w:r w:rsidRPr="005F15DA">
        <w:rPr>
          <w:rFonts w:cs="Arial"/>
          <w:spacing w:val="-2"/>
          <w:szCs w:val="22"/>
        </w:rPr>
        <w:t xml:space="preserve">Das </w:t>
      </w:r>
      <w:r w:rsidRPr="005F15DA">
        <w:rPr>
          <w:rFonts w:cs="Arial"/>
          <w:b/>
          <w:spacing w:val="-2"/>
          <w:szCs w:val="22"/>
        </w:rPr>
        <w:t>Obligationenrecht</w:t>
      </w:r>
      <w:r w:rsidRPr="005F15DA">
        <w:rPr>
          <w:rFonts w:cs="Arial"/>
          <w:spacing w:val="-2"/>
          <w:szCs w:val="22"/>
        </w:rPr>
        <w:t xml:space="preserve"> dagegen (auch Forderungsrecht, droit de créance, droit personnel, genannt) </w:t>
      </w:r>
      <w:r w:rsidRPr="005F15DA">
        <w:rPr>
          <w:rFonts w:cs="Arial"/>
          <w:b/>
          <w:spacing w:val="-2"/>
          <w:szCs w:val="22"/>
        </w:rPr>
        <w:t>erfasst sein Objekt nur durch eine bestimmte Person</w:t>
      </w:r>
      <w:r w:rsidRPr="005F15DA">
        <w:rPr>
          <w:rFonts w:cs="Arial"/>
          <w:spacing w:val="-2"/>
          <w:szCs w:val="22"/>
        </w:rPr>
        <w:t xml:space="preserve"> und kann ausschliesslich ihr entgegengesetzt werden; sein Inhalt ist ein </w:t>
      </w:r>
      <w:r w:rsidRPr="005F15DA">
        <w:rPr>
          <w:rFonts w:cs="Arial"/>
          <w:b/>
          <w:spacing w:val="-2"/>
          <w:szCs w:val="22"/>
        </w:rPr>
        <w:t>persönlicher Anspruch</w:t>
      </w:r>
      <w:r w:rsidRPr="005F15DA">
        <w:rPr>
          <w:rFonts w:cs="Arial"/>
          <w:spacing w:val="-2"/>
          <w:szCs w:val="22"/>
        </w:rPr>
        <w:t xml:space="preserve">; es verpflichtet eine oder mehrere Personen (Schuldner) zu einem bestimmten Verhalten (Handeln oder Unterlassen), das einem oder mehreren Berechtigten (Gläubiger) einen Vermögensvorteil verschafft. </w:t>
      </w:r>
    </w:p>
    <w:p w:rsidR="006854CB" w:rsidRPr="005F15DA" w:rsidRDefault="006854CB" w:rsidP="006854CB">
      <w:pPr>
        <w:spacing w:line="240" w:lineRule="auto"/>
        <w:jc w:val="both"/>
        <w:rPr>
          <w:rFonts w:cs="Arial"/>
          <w:spacing w:val="-2"/>
          <w:szCs w:val="22"/>
        </w:rPr>
      </w:pPr>
    </w:p>
    <w:p w:rsidR="00B72354" w:rsidRPr="005F15DA" w:rsidRDefault="00B72354" w:rsidP="008931CD">
      <w:pPr>
        <w:spacing w:line="240" w:lineRule="auto"/>
        <w:jc w:val="both"/>
        <w:rPr>
          <w:rFonts w:cs="Arial"/>
          <w:spacing w:val="-2"/>
          <w:szCs w:val="22"/>
        </w:rPr>
      </w:pPr>
      <w:r w:rsidRPr="005F15DA">
        <w:rPr>
          <w:rFonts w:cs="Arial"/>
          <w:spacing w:val="-2"/>
          <w:szCs w:val="22"/>
        </w:rPr>
        <w:lastRenderedPageBreak/>
        <w:t xml:space="preserve">Die </w:t>
      </w:r>
      <w:r w:rsidRPr="005F15DA">
        <w:rPr>
          <w:rFonts w:cs="Arial"/>
          <w:b/>
          <w:spacing w:val="-2"/>
          <w:szCs w:val="22"/>
        </w:rPr>
        <w:t>obligatorischen Rechte sind</w:t>
      </w:r>
      <w:r w:rsidRPr="005F15DA">
        <w:rPr>
          <w:rFonts w:cs="Arial"/>
          <w:spacing w:val="-2"/>
          <w:szCs w:val="22"/>
        </w:rPr>
        <w:t xml:space="preserve"> </w:t>
      </w:r>
      <w:r w:rsidR="006854CB" w:rsidRPr="005F15DA">
        <w:rPr>
          <w:rFonts w:cs="Arial"/>
          <w:spacing w:val="-2"/>
          <w:szCs w:val="22"/>
        </w:rPr>
        <w:t xml:space="preserve">(im Gegensatz zu den dinglichen Rechten) </w:t>
      </w:r>
      <w:r w:rsidRPr="005F15DA">
        <w:rPr>
          <w:rFonts w:cs="Arial"/>
          <w:b/>
          <w:spacing w:val="-2"/>
          <w:szCs w:val="22"/>
        </w:rPr>
        <w:t>nur zwischen bestimmten</w:t>
      </w:r>
      <w:r w:rsidRPr="005F15DA">
        <w:rPr>
          <w:rFonts w:cs="Arial"/>
          <w:spacing w:val="-2"/>
          <w:szCs w:val="22"/>
        </w:rPr>
        <w:t xml:space="preserve"> (den am Vertrag mitwirkenden) </w:t>
      </w:r>
      <w:r w:rsidRPr="005F15DA">
        <w:rPr>
          <w:rFonts w:cs="Arial"/>
          <w:b/>
          <w:spacing w:val="-2"/>
          <w:szCs w:val="22"/>
        </w:rPr>
        <w:t>Personen wirksam</w:t>
      </w:r>
      <w:r w:rsidRPr="005F15DA">
        <w:rPr>
          <w:rFonts w:cs="Arial"/>
          <w:spacing w:val="-2"/>
          <w:szCs w:val="22"/>
        </w:rPr>
        <w:t>. Der Käufer einer Sache kann nur von seinem Vertragspartner die Herausgabe des Kaufgegenstandes verlangen, nicht j</w:t>
      </w:r>
      <w:r w:rsidRPr="005F15DA">
        <w:rPr>
          <w:rFonts w:cs="Arial"/>
          <w:spacing w:val="-2"/>
          <w:szCs w:val="22"/>
        </w:rPr>
        <w:t>e</w:t>
      </w:r>
      <w:r w:rsidRPr="005F15DA">
        <w:rPr>
          <w:rFonts w:cs="Arial"/>
          <w:spacing w:val="-2"/>
          <w:szCs w:val="22"/>
        </w:rPr>
        <w:t xml:space="preserve">doch von einem Dritten, bei dem sich der Kaufgegenstand allenfalls befindet. </w:t>
      </w:r>
    </w:p>
    <w:p w:rsidR="00B72354" w:rsidRPr="005F15DA" w:rsidRDefault="00B72354" w:rsidP="008931CD">
      <w:pPr>
        <w:spacing w:line="240" w:lineRule="auto"/>
        <w:jc w:val="both"/>
        <w:rPr>
          <w:rFonts w:cs="Arial"/>
          <w:spacing w:val="-2"/>
          <w:szCs w:val="22"/>
        </w:rPr>
      </w:pPr>
    </w:p>
    <w:p w:rsidR="003A41F5" w:rsidRPr="005F15DA" w:rsidRDefault="003A41F5" w:rsidP="008931CD">
      <w:pPr>
        <w:spacing w:line="240" w:lineRule="auto"/>
        <w:jc w:val="both"/>
        <w:rPr>
          <w:rFonts w:cs="Arial"/>
          <w:spacing w:val="-2"/>
          <w:szCs w:val="22"/>
        </w:rPr>
      </w:pPr>
    </w:p>
    <w:p w:rsidR="00B72354" w:rsidRPr="005F15DA" w:rsidRDefault="00B72354" w:rsidP="008931CD">
      <w:pPr>
        <w:spacing w:line="240" w:lineRule="auto"/>
        <w:jc w:val="both"/>
        <w:rPr>
          <w:rFonts w:cs="Arial"/>
          <w:spacing w:val="-2"/>
          <w:szCs w:val="22"/>
        </w:rPr>
      </w:pPr>
      <w:r w:rsidRPr="005F15DA">
        <w:rPr>
          <w:rFonts w:cs="Arial"/>
          <w:spacing w:val="-2"/>
          <w:szCs w:val="22"/>
        </w:rPr>
        <w:t xml:space="preserve">Die mit dem Sachenrecht gegebene </w:t>
      </w:r>
      <w:r w:rsidRPr="005F15DA">
        <w:rPr>
          <w:rFonts w:cs="Arial"/>
          <w:b/>
          <w:spacing w:val="-2"/>
          <w:szCs w:val="22"/>
        </w:rPr>
        <w:t>Herrschaft</w:t>
      </w:r>
      <w:r w:rsidRPr="005F15DA">
        <w:rPr>
          <w:rFonts w:cs="Arial"/>
          <w:spacing w:val="-2"/>
          <w:szCs w:val="22"/>
        </w:rPr>
        <w:t xml:space="preserve"> kann entweder eine </w:t>
      </w:r>
      <w:r w:rsidRPr="005F15DA">
        <w:rPr>
          <w:rFonts w:cs="Arial"/>
          <w:b/>
          <w:spacing w:val="-2"/>
          <w:szCs w:val="22"/>
        </w:rPr>
        <w:t>umfassende</w:t>
      </w:r>
      <w:r w:rsidRPr="005F15DA">
        <w:rPr>
          <w:rFonts w:cs="Arial"/>
          <w:spacing w:val="-2"/>
          <w:szCs w:val="22"/>
        </w:rPr>
        <w:t xml:space="preserve"> (allseitige) oder eine </w:t>
      </w:r>
      <w:r w:rsidRPr="005F15DA">
        <w:rPr>
          <w:rFonts w:cs="Arial"/>
          <w:b/>
          <w:spacing w:val="-2"/>
          <w:szCs w:val="22"/>
        </w:rPr>
        <w:t>begrenzte</w:t>
      </w:r>
      <w:r w:rsidRPr="005F15DA">
        <w:rPr>
          <w:rFonts w:cs="Arial"/>
          <w:spacing w:val="-2"/>
          <w:szCs w:val="22"/>
        </w:rPr>
        <w:t xml:space="preserve"> (teilweise) sein. Deshalb ist das Sachenrecht in die beiden Gruppen </w:t>
      </w:r>
      <w:r w:rsidRPr="005F15DA">
        <w:rPr>
          <w:rFonts w:cs="Arial"/>
          <w:b/>
          <w:spacing w:val="-2"/>
          <w:szCs w:val="22"/>
        </w:rPr>
        <w:t>E</w:t>
      </w:r>
      <w:r w:rsidRPr="005F15DA">
        <w:rPr>
          <w:rFonts w:cs="Arial"/>
          <w:b/>
          <w:spacing w:val="-2"/>
          <w:szCs w:val="22"/>
        </w:rPr>
        <w:t>i</w:t>
      </w:r>
      <w:r w:rsidRPr="005F15DA">
        <w:rPr>
          <w:rFonts w:cs="Arial"/>
          <w:b/>
          <w:spacing w:val="-2"/>
          <w:szCs w:val="22"/>
        </w:rPr>
        <w:t>gentumsrecht</w:t>
      </w:r>
      <w:r w:rsidRPr="005F15DA">
        <w:rPr>
          <w:rFonts w:cs="Arial"/>
          <w:spacing w:val="-2"/>
          <w:szCs w:val="22"/>
        </w:rPr>
        <w:t xml:space="preserve"> und </w:t>
      </w:r>
      <w:r w:rsidRPr="005F15DA">
        <w:rPr>
          <w:rFonts w:cs="Arial"/>
          <w:b/>
          <w:spacing w:val="-2"/>
          <w:szCs w:val="22"/>
        </w:rPr>
        <w:t>beschränkte dingliche Rechte</w:t>
      </w:r>
      <w:r w:rsidRPr="005F15DA">
        <w:rPr>
          <w:rFonts w:cs="Arial"/>
          <w:spacing w:val="-2"/>
          <w:szCs w:val="22"/>
        </w:rPr>
        <w:t xml:space="preserve"> eingeteilt. Daneben erfasst die gesetzliche Regelung auch tatsächliche Verhältnisse und Einrichtungen, die zwar nicht den Charakter von Rechten haben, aber trotzdem für die dinglichen Rechte von grösster Bedeutung sind, nämlich den Besitz und das Grundbuch.</w:t>
      </w:r>
    </w:p>
    <w:p w:rsidR="00A00A63" w:rsidRPr="005F15DA" w:rsidRDefault="00A00A63" w:rsidP="008931CD">
      <w:pPr>
        <w:pStyle w:val="Listenabsatz"/>
        <w:spacing w:line="240" w:lineRule="auto"/>
        <w:ind w:left="0"/>
        <w:jc w:val="both"/>
        <w:rPr>
          <w:rFonts w:cs="Arial"/>
          <w:szCs w:val="22"/>
        </w:rPr>
      </w:pPr>
    </w:p>
    <w:p w:rsidR="00490E8F" w:rsidRPr="005F15DA" w:rsidRDefault="000F490E" w:rsidP="006854CB">
      <w:pPr>
        <w:spacing w:line="240" w:lineRule="auto"/>
        <w:jc w:val="both"/>
        <w:rPr>
          <w:rFonts w:cs="Arial"/>
          <w:szCs w:val="22"/>
        </w:rPr>
      </w:pPr>
      <w:r w:rsidRPr="005F15DA">
        <w:rPr>
          <w:rFonts w:cs="Arial"/>
          <w:szCs w:val="22"/>
        </w:rPr>
        <w:t xml:space="preserve">Das </w:t>
      </w:r>
      <w:r w:rsidR="00490E8F" w:rsidRPr="005F15DA">
        <w:rPr>
          <w:rFonts w:cs="Arial"/>
          <w:szCs w:val="22"/>
        </w:rPr>
        <w:t xml:space="preserve">Sachenrecht </w:t>
      </w:r>
      <w:r w:rsidR="006854CB" w:rsidRPr="005F15DA">
        <w:rPr>
          <w:rFonts w:cs="Arial"/>
          <w:szCs w:val="22"/>
        </w:rPr>
        <w:t xml:space="preserve">regelt die Zuordnung </w:t>
      </w:r>
      <w:r w:rsidRPr="005F15DA">
        <w:rPr>
          <w:rFonts w:cs="Arial"/>
          <w:szCs w:val="22"/>
        </w:rPr>
        <w:t>von Sachen auf Personen sowie die dinglichen Rechte an Sachen</w:t>
      </w:r>
      <w:r w:rsidR="006854CB" w:rsidRPr="005F15DA">
        <w:rPr>
          <w:rFonts w:cs="Arial"/>
          <w:szCs w:val="22"/>
        </w:rPr>
        <w:t>.</w:t>
      </w:r>
    </w:p>
    <w:p w:rsidR="006854CB" w:rsidRPr="005F15DA" w:rsidRDefault="006854CB" w:rsidP="006854CB">
      <w:pPr>
        <w:spacing w:line="240" w:lineRule="auto"/>
        <w:jc w:val="both"/>
        <w:rPr>
          <w:rFonts w:cs="Arial"/>
          <w:szCs w:val="22"/>
        </w:rPr>
      </w:pPr>
    </w:p>
    <w:p w:rsidR="006854CB" w:rsidRPr="005F15DA" w:rsidRDefault="006854CB" w:rsidP="006854CB">
      <w:pPr>
        <w:spacing w:line="240" w:lineRule="auto"/>
        <w:jc w:val="both"/>
        <w:rPr>
          <w:rFonts w:cs="Arial"/>
          <w:szCs w:val="22"/>
        </w:rPr>
      </w:pPr>
      <w:r w:rsidRPr="005F15DA">
        <w:rPr>
          <w:rFonts w:cs="Arial"/>
          <w:szCs w:val="22"/>
        </w:rPr>
        <w:t>Sachenrecht bedeutet:</w:t>
      </w:r>
    </w:p>
    <w:p w:rsidR="006854CB" w:rsidRPr="005F15DA" w:rsidRDefault="006854CB" w:rsidP="009D34F3">
      <w:pPr>
        <w:pStyle w:val="Listenabsatz"/>
        <w:numPr>
          <w:ilvl w:val="0"/>
          <w:numId w:val="55"/>
        </w:numPr>
        <w:spacing w:line="240" w:lineRule="auto"/>
        <w:ind w:left="426" w:hanging="426"/>
        <w:jc w:val="both"/>
        <w:rPr>
          <w:rFonts w:cs="Arial"/>
          <w:szCs w:val="22"/>
        </w:rPr>
      </w:pPr>
      <w:r w:rsidRPr="005F15DA">
        <w:rPr>
          <w:rFonts w:cs="Arial"/>
          <w:szCs w:val="22"/>
        </w:rPr>
        <w:t>die Beherrschung von körperlichen Sachen durch Personen (Sachenrecht im objektiven Sinn);</w:t>
      </w:r>
    </w:p>
    <w:p w:rsidR="006854CB" w:rsidRPr="005F15DA" w:rsidRDefault="006854CB" w:rsidP="009D34F3">
      <w:pPr>
        <w:pStyle w:val="Listenabsatz"/>
        <w:numPr>
          <w:ilvl w:val="0"/>
          <w:numId w:val="55"/>
        </w:numPr>
        <w:spacing w:line="240" w:lineRule="auto"/>
        <w:ind w:left="426" w:hanging="426"/>
        <w:jc w:val="both"/>
        <w:rPr>
          <w:rFonts w:cs="Arial"/>
          <w:szCs w:val="22"/>
        </w:rPr>
      </w:pPr>
      <w:r w:rsidRPr="005F15DA">
        <w:rPr>
          <w:rFonts w:cs="Arial"/>
          <w:szCs w:val="22"/>
        </w:rPr>
        <w:t>das unmittelbare und ausschliessliche Recht einer Person an einer Sache (Sachenrecht im subjektiven Sinn).</w:t>
      </w:r>
    </w:p>
    <w:p w:rsidR="00460FE4" w:rsidRPr="005F15DA" w:rsidRDefault="00460FE4" w:rsidP="008931CD">
      <w:pPr>
        <w:spacing w:line="240" w:lineRule="auto"/>
        <w:jc w:val="both"/>
        <w:rPr>
          <w:rFonts w:cs="Arial"/>
          <w:szCs w:val="22"/>
        </w:rPr>
      </w:pPr>
    </w:p>
    <w:p w:rsidR="00460FE4" w:rsidRPr="005F15DA" w:rsidRDefault="00460FE4" w:rsidP="008931CD">
      <w:pPr>
        <w:spacing w:line="240" w:lineRule="auto"/>
        <w:jc w:val="both"/>
        <w:rPr>
          <w:rFonts w:cs="Arial"/>
          <w:szCs w:val="22"/>
        </w:rPr>
      </w:pPr>
      <w:r w:rsidRPr="005F15DA">
        <w:rPr>
          <w:rFonts w:cs="Arial"/>
          <w:szCs w:val="22"/>
        </w:rPr>
        <w:t xml:space="preserve">Im Sachenrecht wird </w:t>
      </w:r>
      <w:r w:rsidR="000D0347" w:rsidRPr="005F15DA">
        <w:rPr>
          <w:rFonts w:cs="Arial"/>
          <w:szCs w:val="22"/>
        </w:rPr>
        <w:t>geregelt:</w:t>
      </w:r>
    </w:p>
    <w:p w:rsidR="000D0347" w:rsidRPr="005F15DA" w:rsidRDefault="000D0347" w:rsidP="009D34F3">
      <w:pPr>
        <w:pStyle w:val="Listenabsatz"/>
        <w:numPr>
          <w:ilvl w:val="0"/>
          <w:numId w:val="2"/>
        </w:numPr>
        <w:spacing w:line="240" w:lineRule="auto"/>
        <w:ind w:left="426" w:hanging="426"/>
        <w:jc w:val="both"/>
        <w:rPr>
          <w:rFonts w:cs="Arial"/>
          <w:szCs w:val="22"/>
        </w:rPr>
      </w:pPr>
      <w:r w:rsidRPr="005F15DA">
        <w:rPr>
          <w:rFonts w:cs="Arial"/>
          <w:szCs w:val="22"/>
        </w:rPr>
        <w:t>Entstehung und Untergang von dinglichen Rechten sowie realobligatorische Rechtspos</w:t>
      </w:r>
      <w:r w:rsidRPr="005F15DA">
        <w:rPr>
          <w:rFonts w:cs="Arial"/>
          <w:szCs w:val="22"/>
        </w:rPr>
        <w:t>i</w:t>
      </w:r>
      <w:r w:rsidRPr="005F15DA">
        <w:rPr>
          <w:rFonts w:cs="Arial"/>
          <w:szCs w:val="22"/>
        </w:rPr>
        <w:t>tionen an Sachen,</w:t>
      </w:r>
    </w:p>
    <w:p w:rsidR="000D0347" w:rsidRPr="005F15DA" w:rsidRDefault="000D0347" w:rsidP="009D34F3">
      <w:pPr>
        <w:pStyle w:val="Listenabsatz"/>
        <w:numPr>
          <w:ilvl w:val="0"/>
          <w:numId w:val="2"/>
        </w:numPr>
        <w:spacing w:line="240" w:lineRule="auto"/>
        <w:ind w:left="426" w:hanging="426"/>
        <w:jc w:val="both"/>
        <w:rPr>
          <w:rFonts w:cs="Arial"/>
          <w:szCs w:val="22"/>
        </w:rPr>
      </w:pPr>
      <w:r w:rsidRPr="005F15DA">
        <w:rPr>
          <w:rFonts w:cs="Arial"/>
          <w:szCs w:val="22"/>
        </w:rPr>
        <w:t>an Sachen begründbare Rechte und Pflichten,</w:t>
      </w:r>
    </w:p>
    <w:p w:rsidR="000D0347" w:rsidRPr="005F15DA" w:rsidRDefault="000D0347" w:rsidP="009D34F3">
      <w:pPr>
        <w:pStyle w:val="Listenabsatz"/>
        <w:numPr>
          <w:ilvl w:val="0"/>
          <w:numId w:val="2"/>
        </w:numPr>
        <w:spacing w:line="240" w:lineRule="auto"/>
        <w:ind w:left="426" w:hanging="426"/>
        <w:jc w:val="both"/>
        <w:rPr>
          <w:rFonts w:cs="Arial"/>
          <w:szCs w:val="22"/>
        </w:rPr>
      </w:pPr>
      <w:r w:rsidRPr="005F15DA">
        <w:rPr>
          <w:rFonts w:cs="Arial"/>
          <w:szCs w:val="22"/>
        </w:rPr>
        <w:t>Nutzung und Verwaltung einer Sache durch mehrere Personen.</w:t>
      </w:r>
    </w:p>
    <w:p w:rsidR="000D0347" w:rsidRPr="005F15DA" w:rsidRDefault="000D0347" w:rsidP="008931CD">
      <w:pPr>
        <w:spacing w:line="240" w:lineRule="auto"/>
        <w:jc w:val="both"/>
        <w:rPr>
          <w:rFonts w:cs="Arial"/>
          <w:szCs w:val="22"/>
        </w:rPr>
      </w:pPr>
    </w:p>
    <w:p w:rsidR="003A41F5" w:rsidRPr="005F15DA" w:rsidRDefault="003A41F5" w:rsidP="008931CD">
      <w:pPr>
        <w:spacing w:line="240" w:lineRule="auto"/>
        <w:jc w:val="both"/>
        <w:rPr>
          <w:rFonts w:cs="Arial"/>
          <w:szCs w:val="22"/>
        </w:rPr>
      </w:pPr>
    </w:p>
    <w:p w:rsidR="000D0347" w:rsidRPr="005F15DA" w:rsidRDefault="000D0347" w:rsidP="008931CD">
      <w:pPr>
        <w:spacing w:line="240" w:lineRule="auto"/>
        <w:jc w:val="both"/>
        <w:rPr>
          <w:rFonts w:cs="Arial"/>
          <w:szCs w:val="22"/>
        </w:rPr>
      </w:pPr>
      <w:r w:rsidRPr="005F15DA">
        <w:rPr>
          <w:rFonts w:cs="Arial"/>
          <w:szCs w:val="22"/>
        </w:rPr>
        <w:t xml:space="preserve">Eine </w:t>
      </w:r>
      <w:r w:rsidRPr="005F15DA">
        <w:rPr>
          <w:rFonts w:cs="Arial"/>
          <w:b/>
          <w:szCs w:val="22"/>
        </w:rPr>
        <w:t>Sache</w:t>
      </w:r>
      <w:r w:rsidRPr="005F15DA">
        <w:rPr>
          <w:rFonts w:cs="Arial"/>
          <w:szCs w:val="22"/>
        </w:rPr>
        <w:t xml:space="preserve"> ist ein unpersönlicher, für sich bestehender Gegenstand, welcher der menschl</w:t>
      </w:r>
      <w:r w:rsidRPr="005F15DA">
        <w:rPr>
          <w:rFonts w:cs="Arial"/>
          <w:szCs w:val="22"/>
        </w:rPr>
        <w:t>i</w:t>
      </w:r>
      <w:r w:rsidRPr="005F15DA">
        <w:rPr>
          <w:rFonts w:cs="Arial"/>
          <w:szCs w:val="22"/>
        </w:rPr>
        <w:t>chen Herrschaft unterworfen werden kann. Damit ein Gegenstand als Sache im Sinne des Gesetzes gilt, müssen 4 Voraussetzungen erfüllt sein, nämlich:</w:t>
      </w:r>
    </w:p>
    <w:p w:rsidR="000D0347" w:rsidRPr="005F15DA" w:rsidRDefault="000D0347" w:rsidP="009D34F3">
      <w:pPr>
        <w:pStyle w:val="Listenabsatz"/>
        <w:numPr>
          <w:ilvl w:val="0"/>
          <w:numId w:val="3"/>
        </w:numPr>
        <w:spacing w:line="240" w:lineRule="auto"/>
        <w:ind w:left="426" w:hanging="426"/>
        <w:jc w:val="both"/>
        <w:rPr>
          <w:rFonts w:cs="Arial"/>
          <w:szCs w:val="22"/>
        </w:rPr>
      </w:pPr>
      <w:r w:rsidRPr="005F15DA">
        <w:rPr>
          <w:rFonts w:cs="Arial"/>
          <w:b/>
          <w:szCs w:val="22"/>
        </w:rPr>
        <w:t>Unpersönlichkeit</w:t>
      </w:r>
      <w:r w:rsidRPr="005F15DA">
        <w:rPr>
          <w:rFonts w:cs="Arial"/>
          <w:szCs w:val="22"/>
        </w:rPr>
        <w:t xml:space="preserve"> (Verschiedenheit von natürlicher Person);</w:t>
      </w:r>
    </w:p>
    <w:p w:rsidR="000D0347" w:rsidRPr="005F15DA" w:rsidRDefault="000D0347" w:rsidP="009D34F3">
      <w:pPr>
        <w:pStyle w:val="Listenabsatz"/>
        <w:numPr>
          <w:ilvl w:val="0"/>
          <w:numId w:val="3"/>
        </w:numPr>
        <w:spacing w:line="240" w:lineRule="auto"/>
        <w:ind w:left="426" w:hanging="426"/>
        <w:jc w:val="both"/>
        <w:rPr>
          <w:rFonts w:cs="Arial"/>
          <w:szCs w:val="22"/>
        </w:rPr>
      </w:pPr>
      <w:r w:rsidRPr="005F15DA">
        <w:rPr>
          <w:rFonts w:cs="Arial"/>
          <w:b/>
          <w:szCs w:val="22"/>
        </w:rPr>
        <w:t>Körperlichkeit</w:t>
      </w:r>
      <w:r w:rsidRPr="005F15DA">
        <w:rPr>
          <w:rFonts w:cs="Arial"/>
          <w:szCs w:val="22"/>
        </w:rPr>
        <w:t xml:space="preserve"> (dreidimensionale, körperlich greifbare Gegenstände) inklusive Energie und Naturkräfte, bestimmte Kategorien von Rechten;</w:t>
      </w:r>
    </w:p>
    <w:p w:rsidR="000D0347" w:rsidRPr="005F15DA" w:rsidRDefault="000D0347" w:rsidP="009D34F3">
      <w:pPr>
        <w:pStyle w:val="Listenabsatz"/>
        <w:numPr>
          <w:ilvl w:val="0"/>
          <w:numId w:val="3"/>
        </w:numPr>
        <w:spacing w:line="240" w:lineRule="auto"/>
        <w:ind w:left="426" w:hanging="426"/>
        <w:jc w:val="both"/>
        <w:rPr>
          <w:rFonts w:cs="Arial"/>
          <w:szCs w:val="22"/>
        </w:rPr>
      </w:pPr>
      <w:r w:rsidRPr="005F15DA">
        <w:rPr>
          <w:rFonts w:cs="Arial"/>
          <w:b/>
          <w:szCs w:val="22"/>
        </w:rPr>
        <w:t>Abgegrenztheit</w:t>
      </w:r>
      <w:r w:rsidRPr="005F15DA">
        <w:rPr>
          <w:rFonts w:cs="Arial"/>
          <w:szCs w:val="22"/>
        </w:rPr>
        <w:t xml:space="preserve"> (körperliche Abgrenzung, wirtschaftliche Einheit, der Gegenstand b</w:t>
      </w:r>
      <w:r w:rsidRPr="005F15DA">
        <w:rPr>
          <w:rFonts w:cs="Arial"/>
          <w:szCs w:val="22"/>
        </w:rPr>
        <w:t>e</w:t>
      </w:r>
      <w:r w:rsidRPr="005F15DA">
        <w:rPr>
          <w:rFonts w:cs="Arial"/>
          <w:szCs w:val="22"/>
        </w:rPr>
        <w:t>steht für sich, der Gegenstand ist räumlich abgegrenzt);</w:t>
      </w:r>
    </w:p>
    <w:p w:rsidR="000D0347" w:rsidRPr="005F15DA" w:rsidRDefault="000D0347" w:rsidP="009D34F3">
      <w:pPr>
        <w:pStyle w:val="Listenabsatz"/>
        <w:numPr>
          <w:ilvl w:val="0"/>
          <w:numId w:val="3"/>
        </w:numPr>
        <w:spacing w:line="240" w:lineRule="auto"/>
        <w:ind w:left="426" w:hanging="426"/>
        <w:jc w:val="both"/>
        <w:rPr>
          <w:rFonts w:cs="Arial"/>
          <w:szCs w:val="22"/>
        </w:rPr>
      </w:pPr>
      <w:r w:rsidRPr="005F15DA">
        <w:rPr>
          <w:rFonts w:cs="Arial"/>
          <w:b/>
          <w:szCs w:val="22"/>
        </w:rPr>
        <w:t>Beherrschbarkeit</w:t>
      </w:r>
      <w:r w:rsidRPr="005F15DA">
        <w:rPr>
          <w:rFonts w:cs="Arial"/>
          <w:szCs w:val="22"/>
        </w:rPr>
        <w:t xml:space="preserve"> (tatsächliche und rechtliche Beherrschbarkeit durch Erwerb oder Nu</w:t>
      </w:r>
      <w:r w:rsidRPr="005F15DA">
        <w:rPr>
          <w:rFonts w:cs="Arial"/>
          <w:szCs w:val="22"/>
        </w:rPr>
        <w:t>t</w:t>
      </w:r>
      <w:r w:rsidRPr="005F15DA">
        <w:rPr>
          <w:rFonts w:cs="Arial"/>
          <w:szCs w:val="22"/>
        </w:rPr>
        <w:t>zung).</w:t>
      </w:r>
    </w:p>
    <w:p w:rsidR="000D0347" w:rsidRPr="005F15DA" w:rsidRDefault="000D0347" w:rsidP="008931CD">
      <w:pPr>
        <w:spacing w:line="240" w:lineRule="auto"/>
        <w:jc w:val="both"/>
        <w:rPr>
          <w:rFonts w:cs="Arial"/>
          <w:szCs w:val="22"/>
        </w:rPr>
      </w:pPr>
    </w:p>
    <w:p w:rsidR="00C9668F" w:rsidRPr="005F15DA" w:rsidRDefault="00C9668F" w:rsidP="008931CD">
      <w:pPr>
        <w:rPr>
          <w:rFonts w:cs="Arial"/>
          <w:szCs w:val="22"/>
        </w:rPr>
      </w:pPr>
    </w:p>
    <w:p w:rsidR="00DF5A42" w:rsidRPr="005F15DA" w:rsidRDefault="00DF5A42">
      <w:pPr>
        <w:rPr>
          <w:rFonts w:cs="Arial"/>
          <w:szCs w:val="22"/>
        </w:rPr>
      </w:pPr>
    </w:p>
    <w:p w:rsidR="001019E0" w:rsidRPr="005F15DA" w:rsidRDefault="001019E0">
      <w:pPr>
        <w:spacing w:after="200"/>
        <w:rPr>
          <w:rFonts w:cs="Arial"/>
          <w:szCs w:val="22"/>
        </w:rPr>
      </w:pPr>
      <w:r w:rsidRPr="005F15DA">
        <w:rPr>
          <w:rFonts w:cs="Arial"/>
          <w:szCs w:val="22"/>
        </w:rPr>
        <w:br w:type="page"/>
      </w:r>
    </w:p>
    <w:p w:rsidR="00A1089D" w:rsidRPr="005F15DA" w:rsidRDefault="00AC49CC" w:rsidP="00490E8F">
      <w:pPr>
        <w:spacing w:line="240" w:lineRule="auto"/>
        <w:rPr>
          <w:rFonts w:cs="Arial"/>
          <w:szCs w:val="22"/>
        </w:rPr>
      </w:pPr>
      <w:r w:rsidRPr="005F15DA">
        <w:rPr>
          <w:rFonts w:cs="Arial"/>
          <w:szCs w:val="22"/>
        </w:rPr>
        <w:lastRenderedPageBreak/>
        <w:t>Bei den Sache</w:t>
      </w:r>
      <w:r w:rsidR="006E186F" w:rsidRPr="005F15DA">
        <w:rPr>
          <w:rFonts w:cs="Arial"/>
          <w:szCs w:val="22"/>
        </w:rPr>
        <w:t>n unterscheidet man zwischen</w:t>
      </w:r>
      <w:r w:rsidRPr="005F15DA">
        <w:rPr>
          <w:rFonts w:cs="Arial"/>
          <w:szCs w:val="22"/>
        </w:rPr>
        <w:t>:</w:t>
      </w:r>
    </w:p>
    <w:p w:rsidR="006E186F" w:rsidRPr="005F15DA" w:rsidRDefault="006E186F" w:rsidP="00490E8F">
      <w:pPr>
        <w:spacing w:line="240" w:lineRule="auto"/>
        <w:rPr>
          <w:rFonts w:cs="Arial"/>
          <w:szCs w:val="22"/>
        </w:rPr>
      </w:pPr>
    </w:p>
    <w:tbl>
      <w:tblPr>
        <w:tblW w:w="8800" w:type="dxa"/>
        <w:tblInd w:w="55" w:type="dxa"/>
        <w:tblCellMar>
          <w:left w:w="70" w:type="dxa"/>
          <w:right w:w="70" w:type="dxa"/>
        </w:tblCellMar>
        <w:tblLook w:val="04A0" w:firstRow="1" w:lastRow="0" w:firstColumn="1" w:lastColumn="0" w:noHBand="0" w:noVBand="1"/>
      </w:tblPr>
      <w:tblGrid>
        <w:gridCol w:w="4400"/>
        <w:gridCol w:w="4400"/>
      </w:tblGrid>
      <w:tr w:rsidR="00722A51" w:rsidRPr="005F15DA" w:rsidTr="00722A51">
        <w:trPr>
          <w:trHeight w:val="312"/>
        </w:trPr>
        <w:tc>
          <w:tcPr>
            <w:tcW w:w="4400" w:type="dxa"/>
            <w:tcBorders>
              <w:top w:val="single" w:sz="4" w:space="0" w:color="auto"/>
              <w:left w:val="single" w:sz="4" w:space="0" w:color="auto"/>
              <w:bottom w:val="nil"/>
              <w:right w:val="nil"/>
            </w:tcBorders>
            <w:shd w:val="clear" w:color="auto" w:fill="auto"/>
            <w:hideMark/>
          </w:tcPr>
          <w:p w:rsidR="00722A51" w:rsidRPr="005F15DA" w:rsidRDefault="00722A51" w:rsidP="00722A51">
            <w:pPr>
              <w:spacing w:line="240" w:lineRule="auto"/>
              <w:rPr>
                <w:rFonts w:eastAsia="Times New Roman" w:cs="Arial"/>
                <w:color w:val="000000"/>
                <w:szCs w:val="22"/>
                <w:lang w:eastAsia="de-CH"/>
              </w:rPr>
            </w:pPr>
            <w:r w:rsidRPr="005F15DA">
              <w:rPr>
                <w:rFonts w:eastAsia="Times New Roman" w:cs="Arial"/>
                <w:color w:val="000000"/>
                <w:szCs w:val="22"/>
                <w:lang w:eastAsia="de-CH"/>
              </w:rPr>
              <w:t xml:space="preserve">bewegliche Sachen = </w:t>
            </w:r>
            <w:r w:rsidRPr="005F15DA">
              <w:rPr>
                <w:rFonts w:eastAsia="Times New Roman" w:cs="Arial"/>
                <w:b/>
                <w:bCs/>
                <w:color w:val="000000"/>
                <w:szCs w:val="22"/>
                <w:lang w:eastAsia="de-CH"/>
              </w:rPr>
              <w:t>Fahrnis</w:t>
            </w:r>
          </w:p>
        </w:tc>
        <w:tc>
          <w:tcPr>
            <w:tcW w:w="4400" w:type="dxa"/>
            <w:tcBorders>
              <w:top w:val="single" w:sz="4" w:space="0" w:color="auto"/>
              <w:left w:val="single" w:sz="4" w:space="0" w:color="auto"/>
              <w:bottom w:val="nil"/>
              <w:right w:val="single" w:sz="4" w:space="0" w:color="auto"/>
            </w:tcBorders>
            <w:shd w:val="clear" w:color="auto" w:fill="auto"/>
            <w:hideMark/>
          </w:tcPr>
          <w:p w:rsidR="00722A51" w:rsidRPr="005F15DA" w:rsidRDefault="00722A51" w:rsidP="00722A51">
            <w:pPr>
              <w:spacing w:line="240" w:lineRule="auto"/>
              <w:rPr>
                <w:rFonts w:eastAsia="Times New Roman" w:cs="Arial"/>
                <w:color w:val="000000"/>
                <w:szCs w:val="22"/>
                <w:lang w:eastAsia="de-CH"/>
              </w:rPr>
            </w:pPr>
            <w:r w:rsidRPr="005F15DA">
              <w:rPr>
                <w:rFonts w:eastAsia="Times New Roman" w:cs="Arial"/>
                <w:color w:val="000000"/>
                <w:szCs w:val="22"/>
                <w:lang w:eastAsia="de-CH"/>
              </w:rPr>
              <w:t xml:space="preserve">unbewegliche Sachen = </w:t>
            </w:r>
            <w:r w:rsidRPr="005F15DA">
              <w:rPr>
                <w:rFonts w:eastAsia="Times New Roman" w:cs="Arial"/>
                <w:b/>
                <w:bCs/>
                <w:color w:val="000000"/>
                <w:szCs w:val="22"/>
                <w:lang w:eastAsia="de-CH"/>
              </w:rPr>
              <w:t>Grundstücke</w:t>
            </w:r>
          </w:p>
        </w:tc>
      </w:tr>
      <w:tr w:rsidR="00722A51" w:rsidRPr="005F15DA" w:rsidTr="00722A51">
        <w:trPr>
          <w:trHeight w:val="312"/>
        </w:trPr>
        <w:tc>
          <w:tcPr>
            <w:tcW w:w="4400" w:type="dxa"/>
            <w:tcBorders>
              <w:top w:val="nil"/>
              <w:left w:val="single" w:sz="4" w:space="0" w:color="auto"/>
              <w:bottom w:val="nil"/>
              <w:right w:val="nil"/>
            </w:tcBorders>
            <w:shd w:val="clear" w:color="auto" w:fill="auto"/>
            <w:hideMark/>
          </w:tcPr>
          <w:p w:rsidR="00722A51" w:rsidRPr="005F15DA" w:rsidRDefault="00722A51" w:rsidP="00722A51">
            <w:pPr>
              <w:spacing w:line="240" w:lineRule="auto"/>
              <w:rPr>
                <w:rFonts w:eastAsia="Times New Roman" w:cs="Arial"/>
                <w:color w:val="000000"/>
                <w:szCs w:val="22"/>
                <w:lang w:eastAsia="de-CH"/>
              </w:rPr>
            </w:pPr>
            <w:r w:rsidRPr="005F15DA">
              <w:rPr>
                <w:rFonts w:eastAsia="Times New Roman" w:cs="Arial"/>
                <w:color w:val="000000"/>
                <w:szCs w:val="22"/>
                <w:lang w:eastAsia="de-CH"/>
              </w:rPr>
              <w:t>(Mobiliarsachenrecht)</w:t>
            </w:r>
          </w:p>
        </w:tc>
        <w:tc>
          <w:tcPr>
            <w:tcW w:w="4400" w:type="dxa"/>
            <w:tcBorders>
              <w:top w:val="nil"/>
              <w:left w:val="single" w:sz="4" w:space="0" w:color="auto"/>
              <w:bottom w:val="nil"/>
              <w:right w:val="single" w:sz="4" w:space="0" w:color="auto"/>
            </w:tcBorders>
            <w:shd w:val="clear" w:color="auto" w:fill="auto"/>
            <w:hideMark/>
          </w:tcPr>
          <w:p w:rsidR="00722A51" w:rsidRPr="005F15DA" w:rsidRDefault="00722A51" w:rsidP="00722A51">
            <w:pPr>
              <w:spacing w:line="240" w:lineRule="auto"/>
              <w:rPr>
                <w:rFonts w:eastAsia="Times New Roman" w:cs="Arial"/>
                <w:color w:val="000000"/>
                <w:szCs w:val="22"/>
                <w:lang w:eastAsia="de-CH"/>
              </w:rPr>
            </w:pPr>
            <w:r w:rsidRPr="005F15DA">
              <w:rPr>
                <w:rFonts w:eastAsia="Times New Roman" w:cs="Arial"/>
                <w:color w:val="000000"/>
                <w:szCs w:val="22"/>
                <w:lang w:eastAsia="de-CH"/>
              </w:rPr>
              <w:t>(Immobiliarsachenrecht)</w:t>
            </w:r>
          </w:p>
        </w:tc>
      </w:tr>
      <w:tr w:rsidR="00722A51" w:rsidRPr="005F15DA" w:rsidTr="00722A51">
        <w:trPr>
          <w:trHeight w:val="312"/>
        </w:trPr>
        <w:tc>
          <w:tcPr>
            <w:tcW w:w="4400" w:type="dxa"/>
            <w:tcBorders>
              <w:top w:val="nil"/>
              <w:left w:val="single" w:sz="4" w:space="0" w:color="auto"/>
              <w:bottom w:val="nil"/>
              <w:right w:val="nil"/>
            </w:tcBorders>
            <w:shd w:val="clear" w:color="auto" w:fill="auto"/>
            <w:hideMark/>
          </w:tcPr>
          <w:p w:rsidR="00722A51" w:rsidRPr="005F15DA" w:rsidRDefault="00722A51" w:rsidP="00722A51">
            <w:pPr>
              <w:spacing w:line="240" w:lineRule="auto"/>
              <w:rPr>
                <w:rFonts w:eastAsia="Times New Roman" w:cs="Arial"/>
                <w:color w:val="000000"/>
                <w:szCs w:val="22"/>
                <w:lang w:eastAsia="de-CH"/>
              </w:rPr>
            </w:pPr>
            <w:r w:rsidRPr="005F15DA">
              <w:rPr>
                <w:rFonts w:eastAsia="Times New Roman" w:cs="Arial"/>
                <w:color w:val="000000"/>
                <w:szCs w:val="22"/>
                <w:lang w:eastAsia="de-CH"/>
              </w:rPr>
              <w:t>insbesondere ZGB 713 - 729</w:t>
            </w:r>
          </w:p>
        </w:tc>
        <w:tc>
          <w:tcPr>
            <w:tcW w:w="4400" w:type="dxa"/>
            <w:tcBorders>
              <w:top w:val="nil"/>
              <w:left w:val="single" w:sz="4" w:space="0" w:color="auto"/>
              <w:bottom w:val="nil"/>
              <w:right w:val="single" w:sz="4" w:space="0" w:color="auto"/>
            </w:tcBorders>
            <w:shd w:val="clear" w:color="auto" w:fill="auto"/>
            <w:hideMark/>
          </w:tcPr>
          <w:p w:rsidR="00722A51" w:rsidRPr="005F15DA" w:rsidRDefault="00722A51" w:rsidP="00722A51">
            <w:pPr>
              <w:spacing w:line="240" w:lineRule="auto"/>
              <w:rPr>
                <w:rFonts w:eastAsia="Times New Roman" w:cs="Arial"/>
                <w:color w:val="000000"/>
                <w:szCs w:val="22"/>
                <w:lang w:eastAsia="de-CH"/>
              </w:rPr>
            </w:pPr>
            <w:r w:rsidRPr="005F15DA">
              <w:rPr>
                <w:rFonts w:eastAsia="Times New Roman" w:cs="Arial"/>
                <w:color w:val="000000"/>
                <w:szCs w:val="22"/>
                <w:lang w:eastAsia="de-CH"/>
              </w:rPr>
              <w:t>insbesondere ZGB 655 - 666 und</w:t>
            </w:r>
          </w:p>
        </w:tc>
      </w:tr>
      <w:tr w:rsidR="00722A51" w:rsidRPr="005F15DA" w:rsidTr="00722A51">
        <w:trPr>
          <w:trHeight w:val="312"/>
        </w:trPr>
        <w:tc>
          <w:tcPr>
            <w:tcW w:w="4400" w:type="dxa"/>
            <w:tcBorders>
              <w:top w:val="nil"/>
              <w:left w:val="single" w:sz="4" w:space="0" w:color="auto"/>
              <w:bottom w:val="nil"/>
              <w:right w:val="nil"/>
            </w:tcBorders>
            <w:shd w:val="clear" w:color="auto" w:fill="auto"/>
            <w:hideMark/>
          </w:tcPr>
          <w:p w:rsidR="00722A51" w:rsidRPr="005F15DA" w:rsidRDefault="00722A51" w:rsidP="00722A51">
            <w:pPr>
              <w:spacing w:line="240" w:lineRule="auto"/>
              <w:rPr>
                <w:rFonts w:eastAsia="Times New Roman" w:cs="Arial"/>
                <w:color w:val="000000"/>
                <w:szCs w:val="22"/>
                <w:lang w:eastAsia="de-CH"/>
              </w:rPr>
            </w:pPr>
            <w:r w:rsidRPr="005F15DA">
              <w:rPr>
                <w:rFonts w:eastAsia="Times New Roman" w:cs="Arial"/>
                <w:color w:val="000000"/>
                <w:szCs w:val="22"/>
                <w:lang w:eastAsia="de-CH"/>
              </w:rPr>
              <w:t> </w:t>
            </w:r>
          </w:p>
        </w:tc>
        <w:tc>
          <w:tcPr>
            <w:tcW w:w="4400" w:type="dxa"/>
            <w:tcBorders>
              <w:top w:val="nil"/>
              <w:left w:val="single" w:sz="4" w:space="0" w:color="auto"/>
              <w:bottom w:val="nil"/>
              <w:right w:val="single" w:sz="4" w:space="0" w:color="auto"/>
            </w:tcBorders>
            <w:shd w:val="clear" w:color="auto" w:fill="auto"/>
            <w:hideMark/>
          </w:tcPr>
          <w:p w:rsidR="00722A51" w:rsidRPr="005F15DA" w:rsidRDefault="00722A51" w:rsidP="00722A51">
            <w:pPr>
              <w:spacing w:line="240" w:lineRule="auto"/>
              <w:rPr>
                <w:rFonts w:eastAsia="Times New Roman" w:cs="Arial"/>
                <w:color w:val="000000"/>
                <w:szCs w:val="22"/>
                <w:lang w:eastAsia="de-CH"/>
              </w:rPr>
            </w:pPr>
            <w:r w:rsidRPr="005F15DA">
              <w:rPr>
                <w:rFonts w:eastAsia="Times New Roman" w:cs="Arial"/>
                <w:color w:val="000000"/>
                <w:szCs w:val="22"/>
                <w:lang w:eastAsia="de-CH"/>
              </w:rPr>
              <w:t>ZGB 958 ff.</w:t>
            </w:r>
          </w:p>
        </w:tc>
      </w:tr>
      <w:tr w:rsidR="00722A51" w:rsidRPr="005F15DA" w:rsidTr="00722A51">
        <w:trPr>
          <w:trHeight w:val="312"/>
        </w:trPr>
        <w:tc>
          <w:tcPr>
            <w:tcW w:w="4400" w:type="dxa"/>
            <w:tcBorders>
              <w:top w:val="nil"/>
              <w:left w:val="single" w:sz="4" w:space="0" w:color="auto"/>
              <w:bottom w:val="nil"/>
              <w:right w:val="nil"/>
            </w:tcBorders>
            <w:shd w:val="clear" w:color="auto" w:fill="auto"/>
            <w:hideMark/>
          </w:tcPr>
          <w:p w:rsidR="00722A51" w:rsidRPr="005F15DA" w:rsidRDefault="00722A51" w:rsidP="00722A51">
            <w:pPr>
              <w:spacing w:line="240" w:lineRule="auto"/>
              <w:rPr>
                <w:rFonts w:eastAsia="Times New Roman" w:cs="Arial"/>
                <w:color w:val="000000"/>
                <w:szCs w:val="22"/>
                <w:lang w:eastAsia="de-CH"/>
              </w:rPr>
            </w:pPr>
            <w:r w:rsidRPr="005F15DA">
              <w:rPr>
                <w:rFonts w:eastAsia="Times New Roman" w:cs="Arial"/>
                <w:color w:val="000000"/>
                <w:szCs w:val="22"/>
                <w:lang w:eastAsia="de-CH"/>
              </w:rPr>
              <w:t> </w:t>
            </w:r>
          </w:p>
        </w:tc>
        <w:tc>
          <w:tcPr>
            <w:tcW w:w="4400" w:type="dxa"/>
            <w:tcBorders>
              <w:top w:val="nil"/>
              <w:left w:val="single" w:sz="4" w:space="0" w:color="auto"/>
              <w:bottom w:val="nil"/>
              <w:right w:val="single" w:sz="4" w:space="0" w:color="auto"/>
            </w:tcBorders>
            <w:shd w:val="clear" w:color="auto" w:fill="auto"/>
            <w:hideMark/>
          </w:tcPr>
          <w:p w:rsidR="00722A51" w:rsidRPr="005F15DA" w:rsidRDefault="00722A51" w:rsidP="00722A51">
            <w:pPr>
              <w:spacing w:line="240" w:lineRule="auto"/>
              <w:rPr>
                <w:rFonts w:eastAsia="Times New Roman" w:cs="Arial"/>
                <w:color w:val="000000"/>
                <w:szCs w:val="22"/>
                <w:lang w:eastAsia="de-CH"/>
              </w:rPr>
            </w:pPr>
            <w:r w:rsidRPr="005F15DA">
              <w:rPr>
                <w:rFonts w:eastAsia="Times New Roman" w:cs="Arial"/>
                <w:color w:val="000000"/>
                <w:szCs w:val="22"/>
                <w:lang w:eastAsia="de-CH"/>
              </w:rPr>
              <w:t> </w:t>
            </w:r>
          </w:p>
        </w:tc>
      </w:tr>
      <w:tr w:rsidR="00722A51" w:rsidRPr="005F15DA" w:rsidTr="00722A51">
        <w:trPr>
          <w:trHeight w:val="312"/>
        </w:trPr>
        <w:tc>
          <w:tcPr>
            <w:tcW w:w="4400" w:type="dxa"/>
            <w:tcBorders>
              <w:top w:val="nil"/>
              <w:left w:val="single" w:sz="4" w:space="0" w:color="auto"/>
              <w:bottom w:val="nil"/>
              <w:right w:val="nil"/>
            </w:tcBorders>
            <w:shd w:val="clear" w:color="auto" w:fill="auto"/>
            <w:hideMark/>
          </w:tcPr>
          <w:p w:rsidR="00722A51" w:rsidRPr="005F15DA" w:rsidRDefault="00722A51" w:rsidP="00722A51">
            <w:pPr>
              <w:spacing w:line="240" w:lineRule="auto"/>
              <w:rPr>
                <w:rFonts w:eastAsia="Times New Roman" w:cs="Arial"/>
                <w:b/>
                <w:bCs/>
                <w:color w:val="000000"/>
                <w:szCs w:val="22"/>
                <w:lang w:eastAsia="de-CH"/>
              </w:rPr>
            </w:pPr>
            <w:r w:rsidRPr="005F15DA">
              <w:rPr>
                <w:rFonts w:eastAsia="Times New Roman" w:cs="Arial"/>
                <w:b/>
                <w:bCs/>
                <w:color w:val="000000"/>
                <w:szCs w:val="22"/>
                <w:lang w:eastAsia="de-CH"/>
              </w:rPr>
              <w:t>vertretbare Sachen</w:t>
            </w:r>
          </w:p>
        </w:tc>
        <w:tc>
          <w:tcPr>
            <w:tcW w:w="4400" w:type="dxa"/>
            <w:tcBorders>
              <w:top w:val="nil"/>
              <w:left w:val="single" w:sz="4" w:space="0" w:color="auto"/>
              <w:bottom w:val="nil"/>
              <w:right w:val="single" w:sz="4" w:space="0" w:color="auto"/>
            </w:tcBorders>
            <w:shd w:val="clear" w:color="auto" w:fill="auto"/>
            <w:hideMark/>
          </w:tcPr>
          <w:p w:rsidR="00722A51" w:rsidRPr="005F15DA" w:rsidRDefault="00722A51" w:rsidP="00722A51">
            <w:pPr>
              <w:spacing w:line="240" w:lineRule="auto"/>
              <w:rPr>
                <w:rFonts w:eastAsia="Times New Roman" w:cs="Arial"/>
                <w:b/>
                <w:bCs/>
                <w:color w:val="000000"/>
                <w:szCs w:val="22"/>
                <w:lang w:eastAsia="de-CH"/>
              </w:rPr>
            </w:pPr>
            <w:r w:rsidRPr="005F15DA">
              <w:rPr>
                <w:rFonts w:eastAsia="Times New Roman" w:cs="Arial"/>
                <w:b/>
                <w:bCs/>
                <w:color w:val="000000"/>
                <w:szCs w:val="22"/>
                <w:lang w:eastAsia="de-CH"/>
              </w:rPr>
              <w:t>unvertretbare Sachen</w:t>
            </w:r>
          </w:p>
        </w:tc>
      </w:tr>
      <w:tr w:rsidR="00722A51" w:rsidRPr="005F15DA" w:rsidTr="00722A51">
        <w:trPr>
          <w:trHeight w:val="1872"/>
        </w:trPr>
        <w:tc>
          <w:tcPr>
            <w:tcW w:w="4400" w:type="dxa"/>
            <w:tcBorders>
              <w:top w:val="nil"/>
              <w:left w:val="single" w:sz="4" w:space="0" w:color="auto"/>
              <w:bottom w:val="nil"/>
              <w:right w:val="nil"/>
            </w:tcBorders>
            <w:shd w:val="clear" w:color="auto" w:fill="auto"/>
            <w:hideMark/>
          </w:tcPr>
          <w:p w:rsidR="00722A51" w:rsidRPr="005F15DA" w:rsidRDefault="00722A51" w:rsidP="00722A51">
            <w:pPr>
              <w:spacing w:line="240" w:lineRule="auto"/>
              <w:rPr>
                <w:rFonts w:eastAsia="Times New Roman" w:cs="Arial"/>
                <w:color w:val="000000"/>
                <w:szCs w:val="22"/>
                <w:lang w:eastAsia="de-CH"/>
              </w:rPr>
            </w:pPr>
            <w:r w:rsidRPr="005F15DA">
              <w:rPr>
                <w:rFonts w:eastAsia="Times New Roman" w:cs="Arial"/>
                <w:color w:val="000000"/>
                <w:szCs w:val="22"/>
                <w:lang w:eastAsia="de-CH"/>
              </w:rPr>
              <w:t>Sachen, bei denen es nach allgemeiner Verkehrsauffassung nicht auf die besond</w:t>
            </w:r>
            <w:r w:rsidRPr="005F15DA">
              <w:rPr>
                <w:rFonts w:eastAsia="Times New Roman" w:cs="Arial"/>
                <w:color w:val="000000"/>
                <w:szCs w:val="22"/>
                <w:lang w:eastAsia="de-CH"/>
              </w:rPr>
              <w:t>e</w:t>
            </w:r>
            <w:r w:rsidRPr="005F15DA">
              <w:rPr>
                <w:rFonts w:eastAsia="Times New Roman" w:cs="Arial"/>
                <w:color w:val="000000"/>
                <w:szCs w:val="22"/>
                <w:lang w:eastAsia="de-CH"/>
              </w:rPr>
              <w:t>ren Eigenschaften des einzelnen Stückes ankommt und die deshalb durch andere gleichartige Stücke ersetzt werden können</w:t>
            </w:r>
          </w:p>
        </w:tc>
        <w:tc>
          <w:tcPr>
            <w:tcW w:w="4400" w:type="dxa"/>
            <w:tcBorders>
              <w:top w:val="nil"/>
              <w:left w:val="single" w:sz="4" w:space="0" w:color="auto"/>
              <w:bottom w:val="nil"/>
              <w:right w:val="single" w:sz="4" w:space="0" w:color="auto"/>
            </w:tcBorders>
            <w:shd w:val="clear" w:color="auto" w:fill="auto"/>
            <w:hideMark/>
          </w:tcPr>
          <w:p w:rsidR="00722A51" w:rsidRPr="005F15DA" w:rsidRDefault="00722A51" w:rsidP="00722A51">
            <w:pPr>
              <w:spacing w:line="240" w:lineRule="auto"/>
              <w:rPr>
                <w:rFonts w:eastAsia="Times New Roman" w:cs="Arial"/>
                <w:color w:val="000000"/>
                <w:szCs w:val="22"/>
                <w:lang w:eastAsia="de-CH"/>
              </w:rPr>
            </w:pPr>
            <w:r w:rsidRPr="005F15DA">
              <w:rPr>
                <w:rFonts w:eastAsia="Times New Roman" w:cs="Arial"/>
                <w:color w:val="000000"/>
                <w:szCs w:val="22"/>
                <w:lang w:eastAsia="de-CH"/>
              </w:rPr>
              <w:t>Sachen, bei denen es nach allgemeiner Verkehrsanschauung auf die besonderen Eigenschaften des einzelnen Stückes a</w:t>
            </w:r>
            <w:r w:rsidRPr="005F15DA">
              <w:rPr>
                <w:rFonts w:eastAsia="Times New Roman" w:cs="Arial"/>
                <w:color w:val="000000"/>
                <w:szCs w:val="22"/>
                <w:lang w:eastAsia="de-CH"/>
              </w:rPr>
              <w:t>n</w:t>
            </w:r>
            <w:r w:rsidRPr="005F15DA">
              <w:rPr>
                <w:rFonts w:eastAsia="Times New Roman" w:cs="Arial"/>
                <w:color w:val="000000"/>
                <w:szCs w:val="22"/>
                <w:lang w:eastAsia="de-CH"/>
              </w:rPr>
              <w:t>kommt und die deshalb nicht durch andere Stücke ersetzt werden können</w:t>
            </w:r>
          </w:p>
        </w:tc>
      </w:tr>
      <w:tr w:rsidR="00722A51" w:rsidRPr="005F15DA" w:rsidTr="00722A51">
        <w:trPr>
          <w:trHeight w:val="312"/>
        </w:trPr>
        <w:tc>
          <w:tcPr>
            <w:tcW w:w="4400" w:type="dxa"/>
            <w:tcBorders>
              <w:top w:val="nil"/>
              <w:left w:val="single" w:sz="4" w:space="0" w:color="auto"/>
              <w:bottom w:val="nil"/>
              <w:right w:val="nil"/>
            </w:tcBorders>
            <w:shd w:val="clear" w:color="auto" w:fill="auto"/>
            <w:hideMark/>
          </w:tcPr>
          <w:p w:rsidR="00722A51" w:rsidRPr="005F15DA" w:rsidRDefault="00722A51" w:rsidP="00722A51">
            <w:pPr>
              <w:spacing w:line="240" w:lineRule="auto"/>
              <w:rPr>
                <w:rFonts w:eastAsia="Times New Roman" w:cs="Arial"/>
                <w:color w:val="000000"/>
                <w:szCs w:val="22"/>
                <w:lang w:eastAsia="de-CH"/>
              </w:rPr>
            </w:pPr>
            <w:r w:rsidRPr="005F15DA">
              <w:rPr>
                <w:rFonts w:eastAsia="Times New Roman" w:cs="Arial"/>
                <w:color w:val="000000"/>
                <w:szCs w:val="22"/>
                <w:lang w:eastAsia="de-CH"/>
              </w:rPr>
              <w:t>(</w:t>
            </w:r>
            <w:r w:rsidR="0076718A" w:rsidRPr="005F15DA">
              <w:rPr>
                <w:rFonts w:eastAsia="Times New Roman" w:cs="Arial"/>
                <w:color w:val="000000"/>
                <w:szCs w:val="22"/>
                <w:lang w:eastAsia="de-CH"/>
              </w:rPr>
              <w:t>Bsp.</w:t>
            </w:r>
            <w:r w:rsidRPr="005F15DA">
              <w:rPr>
                <w:rFonts w:eastAsia="Times New Roman" w:cs="Arial"/>
                <w:color w:val="000000"/>
                <w:szCs w:val="22"/>
                <w:lang w:eastAsia="de-CH"/>
              </w:rPr>
              <w:t>: Geld, Serienfabrikate)</w:t>
            </w:r>
          </w:p>
        </w:tc>
        <w:tc>
          <w:tcPr>
            <w:tcW w:w="4400" w:type="dxa"/>
            <w:tcBorders>
              <w:top w:val="nil"/>
              <w:left w:val="single" w:sz="4" w:space="0" w:color="auto"/>
              <w:bottom w:val="nil"/>
              <w:right w:val="single" w:sz="4" w:space="0" w:color="auto"/>
            </w:tcBorders>
            <w:shd w:val="clear" w:color="auto" w:fill="auto"/>
            <w:hideMark/>
          </w:tcPr>
          <w:p w:rsidR="00722A51" w:rsidRPr="005F15DA" w:rsidRDefault="00722A51" w:rsidP="00722A51">
            <w:pPr>
              <w:spacing w:line="240" w:lineRule="auto"/>
              <w:rPr>
                <w:rFonts w:eastAsia="Times New Roman" w:cs="Arial"/>
                <w:color w:val="000000"/>
                <w:szCs w:val="22"/>
                <w:lang w:eastAsia="de-CH"/>
              </w:rPr>
            </w:pPr>
            <w:r w:rsidRPr="005F15DA">
              <w:rPr>
                <w:rFonts w:eastAsia="Times New Roman" w:cs="Arial"/>
                <w:color w:val="000000"/>
                <w:szCs w:val="22"/>
                <w:lang w:eastAsia="de-CH"/>
              </w:rPr>
              <w:t>(</w:t>
            </w:r>
            <w:r w:rsidR="0076718A" w:rsidRPr="005F15DA">
              <w:rPr>
                <w:rFonts w:eastAsia="Times New Roman" w:cs="Arial"/>
                <w:color w:val="000000"/>
                <w:szCs w:val="22"/>
                <w:lang w:eastAsia="de-CH"/>
              </w:rPr>
              <w:t>Bsp.</w:t>
            </w:r>
            <w:r w:rsidRPr="005F15DA">
              <w:rPr>
                <w:rFonts w:eastAsia="Times New Roman" w:cs="Arial"/>
                <w:color w:val="000000"/>
                <w:szCs w:val="22"/>
                <w:lang w:eastAsia="de-CH"/>
              </w:rPr>
              <w:t>: Grundstücke, Kunstwerke)</w:t>
            </w:r>
          </w:p>
        </w:tc>
      </w:tr>
      <w:tr w:rsidR="00722A51" w:rsidRPr="005F15DA" w:rsidTr="00722A51">
        <w:trPr>
          <w:trHeight w:val="312"/>
        </w:trPr>
        <w:tc>
          <w:tcPr>
            <w:tcW w:w="4400" w:type="dxa"/>
            <w:tcBorders>
              <w:top w:val="nil"/>
              <w:left w:val="single" w:sz="4" w:space="0" w:color="auto"/>
              <w:bottom w:val="nil"/>
              <w:right w:val="nil"/>
            </w:tcBorders>
            <w:shd w:val="clear" w:color="auto" w:fill="auto"/>
            <w:hideMark/>
          </w:tcPr>
          <w:p w:rsidR="00722A51" w:rsidRPr="005F15DA" w:rsidRDefault="00722A51" w:rsidP="00722A51">
            <w:pPr>
              <w:spacing w:line="240" w:lineRule="auto"/>
              <w:rPr>
                <w:rFonts w:eastAsia="Times New Roman" w:cs="Arial"/>
                <w:color w:val="000000"/>
                <w:szCs w:val="22"/>
                <w:lang w:eastAsia="de-CH"/>
              </w:rPr>
            </w:pPr>
            <w:r w:rsidRPr="005F15DA">
              <w:rPr>
                <w:rFonts w:eastAsia="Times New Roman" w:cs="Arial"/>
                <w:color w:val="000000"/>
                <w:szCs w:val="22"/>
                <w:lang w:eastAsia="de-CH"/>
              </w:rPr>
              <w:t> </w:t>
            </w:r>
          </w:p>
        </w:tc>
        <w:tc>
          <w:tcPr>
            <w:tcW w:w="4400" w:type="dxa"/>
            <w:tcBorders>
              <w:top w:val="nil"/>
              <w:left w:val="single" w:sz="4" w:space="0" w:color="auto"/>
              <w:bottom w:val="nil"/>
              <w:right w:val="single" w:sz="4" w:space="0" w:color="auto"/>
            </w:tcBorders>
            <w:shd w:val="clear" w:color="auto" w:fill="auto"/>
            <w:hideMark/>
          </w:tcPr>
          <w:p w:rsidR="00722A51" w:rsidRPr="005F15DA" w:rsidRDefault="00722A51" w:rsidP="00722A51">
            <w:pPr>
              <w:spacing w:line="240" w:lineRule="auto"/>
              <w:rPr>
                <w:rFonts w:eastAsia="Times New Roman" w:cs="Arial"/>
                <w:color w:val="000000"/>
                <w:szCs w:val="22"/>
                <w:lang w:eastAsia="de-CH"/>
              </w:rPr>
            </w:pPr>
            <w:r w:rsidRPr="005F15DA">
              <w:rPr>
                <w:rFonts w:eastAsia="Times New Roman" w:cs="Arial"/>
                <w:color w:val="000000"/>
                <w:szCs w:val="22"/>
                <w:lang w:eastAsia="de-CH"/>
              </w:rPr>
              <w:t> </w:t>
            </w:r>
          </w:p>
        </w:tc>
      </w:tr>
      <w:tr w:rsidR="00722A51" w:rsidRPr="005F15DA" w:rsidTr="00722A51">
        <w:trPr>
          <w:trHeight w:val="312"/>
        </w:trPr>
        <w:tc>
          <w:tcPr>
            <w:tcW w:w="4400" w:type="dxa"/>
            <w:tcBorders>
              <w:top w:val="nil"/>
              <w:left w:val="single" w:sz="4" w:space="0" w:color="auto"/>
              <w:bottom w:val="nil"/>
              <w:right w:val="nil"/>
            </w:tcBorders>
            <w:shd w:val="clear" w:color="auto" w:fill="auto"/>
            <w:hideMark/>
          </w:tcPr>
          <w:p w:rsidR="00722A51" w:rsidRPr="005F15DA" w:rsidRDefault="00722A51" w:rsidP="00722A51">
            <w:pPr>
              <w:spacing w:line="240" w:lineRule="auto"/>
              <w:rPr>
                <w:rFonts w:eastAsia="Times New Roman" w:cs="Arial"/>
                <w:b/>
                <w:bCs/>
                <w:color w:val="000000"/>
                <w:szCs w:val="22"/>
                <w:lang w:eastAsia="de-CH"/>
              </w:rPr>
            </w:pPr>
            <w:r w:rsidRPr="005F15DA">
              <w:rPr>
                <w:rFonts w:eastAsia="Times New Roman" w:cs="Arial"/>
                <w:b/>
                <w:bCs/>
                <w:color w:val="000000"/>
                <w:szCs w:val="22"/>
                <w:lang w:eastAsia="de-CH"/>
              </w:rPr>
              <w:t>Gattungs-Sachen</w:t>
            </w:r>
          </w:p>
        </w:tc>
        <w:tc>
          <w:tcPr>
            <w:tcW w:w="4400" w:type="dxa"/>
            <w:tcBorders>
              <w:top w:val="nil"/>
              <w:left w:val="single" w:sz="4" w:space="0" w:color="auto"/>
              <w:bottom w:val="nil"/>
              <w:right w:val="single" w:sz="4" w:space="0" w:color="auto"/>
            </w:tcBorders>
            <w:shd w:val="clear" w:color="auto" w:fill="auto"/>
            <w:hideMark/>
          </w:tcPr>
          <w:p w:rsidR="00722A51" w:rsidRPr="005F15DA" w:rsidRDefault="00722A51" w:rsidP="00722A51">
            <w:pPr>
              <w:spacing w:line="240" w:lineRule="auto"/>
              <w:rPr>
                <w:rFonts w:eastAsia="Times New Roman" w:cs="Arial"/>
                <w:b/>
                <w:bCs/>
                <w:color w:val="000000"/>
                <w:szCs w:val="22"/>
                <w:lang w:eastAsia="de-CH"/>
              </w:rPr>
            </w:pPr>
            <w:r w:rsidRPr="005F15DA">
              <w:rPr>
                <w:rFonts w:eastAsia="Times New Roman" w:cs="Arial"/>
                <w:b/>
                <w:bCs/>
                <w:color w:val="000000"/>
                <w:szCs w:val="22"/>
                <w:lang w:eastAsia="de-CH"/>
              </w:rPr>
              <w:t>Spezies-Sachen</w:t>
            </w:r>
          </w:p>
        </w:tc>
      </w:tr>
      <w:tr w:rsidR="00722A51" w:rsidRPr="005F15DA" w:rsidTr="00722A51">
        <w:trPr>
          <w:trHeight w:val="624"/>
        </w:trPr>
        <w:tc>
          <w:tcPr>
            <w:tcW w:w="4400" w:type="dxa"/>
            <w:tcBorders>
              <w:top w:val="nil"/>
              <w:left w:val="single" w:sz="4" w:space="0" w:color="auto"/>
              <w:bottom w:val="nil"/>
              <w:right w:val="nil"/>
            </w:tcBorders>
            <w:shd w:val="clear" w:color="auto" w:fill="auto"/>
            <w:hideMark/>
          </w:tcPr>
          <w:p w:rsidR="00722A51" w:rsidRPr="005F15DA" w:rsidRDefault="00722A51" w:rsidP="00722A51">
            <w:pPr>
              <w:spacing w:line="240" w:lineRule="auto"/>
              <w:rPr>
                <w:rFonts w:eastAsia="Times New Roman" w:cs="Arial"/>
                <w:color w:val="000000"/>
                <w:szCs w:val="22"/>
                <w:lang w:eastAsia="de-CH"/>
              </w:rPr>
            </w:pPr>
            <w:r w:rsidRPr="005F15DA">
              <w:rPr>
                <w:rFonts w:eastAsia="Times New Roman" w:cs="Arial"/>
                <w:color w:val="000000"/>
                <w:szCs w:val="22"/>
                <w:lang w:eastAsia="de-CH"/>
              </w:rPr>
              <w:t>Der Parteiwille bestimmt die Quantität und Qualität einer Sache</w:t>
            </w:r>
          </w:p>
        </w:tc>
        <w:tc>
          <w:tcPr>
            <w:tcW w:w="4400" w:type="dxa"/>
            <w:tcBorders>
              <w:top w:val="nil"/>
              <w:left w:val="single" w:sz="4" w:space="0" w:color="auto"/>
              <w:bottom w:val="nil"/>
              <w:right w:val="single" w:sz="4" w:space="0" w:color="auto"/>
            </w:tcBorders>
            <w:shd w:val="clear" w:color="auto" w:fill="auto"/>
            <w:hideMark/>
          </w:tcPr>
          <w:p w:rsidR="00722A51" w:rsidRPr="005F15DA" w:rsidRDefault="00722A51" w:rsidP="00722A51">
            <w:pPr>
              <w:spacing w:line="240" w:lineRule="auto"/>
              <w:rPr>
                <w:rFonts w:eastAsia="Times New Roman" w:cs="Arial"/>
                <w:color w:val="000000"/>
                <w:szCs w:val="22"/>
                <w:lang w:eastAsia="de-CH"/>
              </w:rPr>
            </w:pPr>
            <w:r w:rsidRPr="005F15DA">
              <w:rPr>
                <w:rFonts w:eastAsia="Times New Roman" w:cs="Arial"/>
                <w:color w:val="000000"/>
                <w:szCs w:val="22"/>
                <w:lang w:eastAsia="de-CH"/>
              </w:rPr>
              <w:t>Eine individuell bestimmt Sache (der Pa</w:t>
            </w:r>
            <w:r w:rsidRPr="005F15DA">
              <w:rPr>
                <w:rFonts w:eastAsia="Times New Roman" w:cs="Arial"/>
                <w:color w:val="000000"/>
                <w:szCs w:val="22"/>
                <w:lang w:eastAsia="de-CH"/>
              </w:rPr>
              <w:t>r</w:t>
            </w:r>
            <w:r w:rsidRPr="005F15DA">
              <w:rPr>
                <w:rFonts w:eastAsia="Times New Roman" w:cs="Arial"/>
                <w:color w:val="000000"/>
                <w:szCs w:val="22"/>
                <w:lang w:eastAsia="de-CH"/>
              </w:rPr>
              <w:t>teiwille bestimmt die Sache)</w:t>
            </w:r>
          </w:p>
        </w:tc>
      </w:tr>
      <w:tr w:rsidR="00722A51" w:rsidRPr="005F15DA" w:rsidTr="00722A51">
        <w:trPr>
          <w:trHeight w:val="312"/>
        </w:trPr>
        <w:tc>
          <w:tcPr>
            <w:tcW w:w="4400" w:type="dxa"/>
            <w:tcBorders>
              <w:top w:val="nil"/>
              <w:left w:val="single" w:sz="4" w:space="0" w:color="auto"/>
              <w:bottom w:val="nil"/>
              <w:right w:val="nil"/>
            </w:tcBorders>
            <w:shd w:val="clear" w:color="auto" w:fill="auto"/>
            <w:hideMark/>
          </w:tcPr>
          <w:p w:rsidR="00722A51" w:rsidRPr="005F15DA" w:rsidRDefault="00722A51" w:rsidP="00722A51">
            <w:pPr>
              <w:spacing w:line="240" w:lineRule="auto"/>
              <w:rPr>
                <w:rFonts w:eastAsia="Times New Roman" w:cs="Arial"/>
                <w:color w:val="000000"/>
                <w:szCs w:val="22"/>
                <w:lang w:eastAsia="de-CH"/>
              </w:rPr>
            </w:pPr>
            <w:r w:rsidRPr="005F15DA">
              <w:rPr>
                <w:rFonts w:eastAsia="Times New Roman" w:cs="Arial"/>
                <w:color w:val="000000"/>
                <w:szCs w:val="22"/>
                <w:lang w:eastAsia="de-CH"/>
              </w:rPr>
              <w:t>(</w:t>
            </w:r>
            <w:r w:rsidR="0076718A" w:rsidRPr="005F15DA">
              <w:rPr>
                <w:rFonts w:eastAsia="Times New Roman" w:cs="Arial"/>
                <w:color w:val="000000"/>
                <w:szCs w:val="22"/>
                <w:lang w:eastAsia="de-CH"/>
              </w:rPr>
              <w:t>Bsp.</w:t>
            </w:r>
            <w:r w:rsidRPr="005F15DA">
              <w:rPr>
                <w:rFonts w:eastAsia="Times New Roman" w:cs="Arial"/>
                <w:color w:val="000000"/>
                <w:szCs w:val="22"/>
                <w:lang w:eastAsia="de-CH"/>
              </w:rPr>
              <w:t>: 100 kg Weissmehl)</w:t>
            </w:r>
          </w:p>
        </w:tc>
        <w:tc>
          <w:tcPr>
            <w:tcW w:w="4400" w:type="dxa"/>
            <w:tcBorders>
              <w:top w:val="nil"/>
              <w:left w:val="single" w:sz="4" w:space="0" w:color="auto"/>
              <w:bottom w:val="nil"/>
              <w:right w:val="single" w:sz="4" w:space="0" w:color="auto"/>
            </w:tcBorders>
            <w:shd w:val="clear" w:color="auto" w:fill="auto"/>
            <w:hideMark/>
          </w:tcPr>
          <w:p w:rsidR="00722A51" w:rsidRPr="005F15DA" w:rsidRDefault="00722A51" w:rsidP="00722A51">
            <w:pPr>
              <w:spacing w:line="240" w:lineRule="auto"/>
              <w:rPr>
                <w:rFonts w:eastAsia="Times New Roman" w:cs="Arial"/>
                <w:color w:val="000000"/>
                <w:szCs w:val="22"/>
                <w:lang w:eastAsia="de-CH"/>
              </w:rPr>
            </w:pPr>
            <w:r w:rsidRPr="005F15DA">
              <w:rPr>
                <w:rFonts w:eastAsia="Times New Roman" w:cs="Arial"/>
                <w:color w:val="000000"/>
                <w:szCs w:val="22"/>
                <w:lang w:eastAsia="de-CH"/>
              </w:rPr>
              <w:t>(</w:t>
            </w:r>
            <w:r w:rsidR="0076718A" w:rsidRPr="005F15DA">
              <w:rPr>
                <w:rFonts w:eastAsia="Times New Roman" w:cs="Arial"/>
                <w:color w:val="000000"/>
                <w:szCs w:val="22"/>
                <w:lang w:eastAsia="de-CH"/>
              </w:rPr>
              <w:t>Bsp.</w:t>
            </w:r>
            <w:r w:rsidRPr="005F15DA">
              <w:rPr>
                <w:rFonts w:eastAsia="Times New Roman" w:cs="Arial"/>
                <w:color w:val="000000"/>
                <w:szCs w:val="22"/>
                <w:lang w:eastAsia="de-CH"/>
              </w:rPr>
              <w:t>: ein bestimmtes Auto)</w:t>
            </w:r>
          </w:p>
        </w:tc>
      </w:tr>
      <w:tr w:rsidR="00722A51" w:rsidRPr="005F15DA" w:rsidTr="00722A51">
        <w:trPr>
          <w:trHeight w:val="312"/>
        </w:trPr>
        <w:tc>
          <w:tcPr>
            <w:tcW w:w="4400" w:type="dxa"/>
            <w:tcBorders>
              <w:top w:val="nil"/>
              <w:left w:val="single" w:sz="4" w:space="0" w:color="auto"/>
              <w:bottom w:val="nil"/>
              <w:right w:val="nil"/>
            </w:tcBorders>
            <w:shd w:val="clear" w:color="auto" w:fill="auto"/>
            <w:hideMark/>
          </w:tcPr>
          <w:p w:rsidR="00722A51" w:rsidRPr="005F15DA" w:rsidRDefault="00722A51" w:rsidP="00722A51">
            <w:pPr>
              <w:spacing w:line="240" w:lineRule="auto"/>
              <w:rPr>
                <w:rFonts w:eastAsia="Times New Roman" w:cs="Arial"/>
                <w:color w:val="000000"/>
                <w:szCs w:val="22"/>
                <w:lang w:eastAsia="de-CH"/>
              </w:rPr>
            </w:pPr>
            <w:r w:rsidRPr="005F15DA">
              <w:rPr>
                <w:rFonts w:eastAsia="Times New Roman" w:cs="Arial"/>
                <w:color w:val="000000"/>
                <w:szCs w:val="22"/>
                <w:lang w:eastAsia="de-CH"/>
              </w:rPr>
              <w:t>(Meist vertretbare Sachen)</w:t>
            </w:r>
          </w:p>
        </w:tc>
        <w:tc>
          <w:tcPr>
            <w:tcW w:w="4400" w:type="dxa"/>
            <w:tcBorders>
              <w:top w:val="nil"/>
              <w:left w:val="single" w:sz="4" w:space="0" w:color="auto"/>
              <w:bottom w:val="nil"/>
              <w:right w:val="single" w:sz="4" w:space="0" w:color="auto"/>
            </w:tcBorders>
            <w:shd w:val="clear" w:color="auto" w:fill="auto"/>
            <w:hideMark/>
          </w:tcPr>
          <w:p w:rsidR="00722A51" w:rsidRPr="005F15DA" w:rsidRDefault="00722A51" w:rsidP="00722A51">
            <w:pPr>
              <w:spacing w:line="240" w:lineRule="auto"/>
              <w:rPr>
                <w:rFonts w:eastAsia="Times New Roman" w:cs="Arial"/>
                <w:color w:val="000000"/>
                <w:szCs w:val="22"/>
                <w:lang w:eastAsia="de-CH"/>
              </w:rPr>
            </w:pPr>
            <w:r w:rsidRPr="005F15DA">
              <w:rPr>
                <w:rFonts w:eastAsia="Times New Roman" w:cs="Arial"/>
                <w:color w:val="000000"/>
                <w:szCs w:val="22"/>
                <w:lang w:eastAsia="de-CH"/>
              </w:rPr>
              <w:t>(Meist unvertretbare Sachen)</w:t>
            </w:r>
          </w:p>
        </w:tc>
      </w:tr>
      <w:tr w:rsidR="00722A51" w:rsidRPr="005F15DA" w:rsidTr="00722A51">
        <w:trPr>
          <w:trHeight w:val="312"/>
        </w:trPr>
        <w:tc>
          <w:tcPr>
            <w:tcW w:w="4400" w:type="dxa"/>
            <w:tcBorders>
              <w:top w:val="nil"/>
              <w:left w:val="single" w:sz="4" w:space="0" w:color="auto"/>
              <w:bottom w:val="nil"/>
              <w:right w:val="nil"/>
            </w:tcBorders>
            <w:shd w:val="clear" w:color="auto" w:fill="auto"/>
            <w:hideMark/>
          </w:tcPr>
          <w:p w:rsidR="00722A51" w:rsidRPr="005F15DA" w:rsidRDefault="00722A51" w:rsidP="00722A51">
            <w:pPr>
              <w:spacing w:line="240" w:lineRule="auto"/>
              <w:rPr>
                <w:rFonts w:eastAsia="Times New Roman" w:cs="Arial"/>
                <w:color w:val="000000"/>
                <w:szCs w:val="22"/>
                <w:lang w:eastAsia="de-CH"/>
              </w:rPr>
            </w:pPr>
            <w:r w:rsidRPr="005F15DA">
              <w:rPr>
                <w:rFonts w:eastAsia="Times New Roman" w:cs="Arial"/>
                <w:color w:val="000000"/>
                <w:szCs w:val="22"/>
                <w:lang w:eastAsia="de-CH"/>
              </w:rPr>
              <w:t> </w:t>
            </w:r>
          </w:p>
        </w:tc>
        <w:tc>
          <w:tcPr>
            <w:tcW w:w="4400" w:type="dxa"/>
            <w:tcBorders>
              <w:top w:val="nil"/>
              <w:left w:val="single" w:sz="4" w:space="0" w:color="auto"/>
              <w:bottom w:val="nil"/>
              <w:right w:val="single" w:sz="4" w:space="0" w:color="auto"/>
            </w:tcBorders>
            <w:shd w:val="clear" w:color="auto" w:fill="auto"/>
            <w:hideMark/>
          </w:tcPr>
          <w:p w:rsidR="00722A51" w:rsidRPr="005F15DA" w:rsidRDefault="00722A51" w:rsidP="00722A51">
            <w:pPr>
              <w:spacing w:line="240" w:lineRule="auto"/>
              <w:rPr>
                <w:rFonts w:eastAsia="Times New Roman" w:cs="Arial"/>
                <w:color w:val="000000"/>
                <w:szCs w:val="22"/>
                <w:lang w:eastAsia="de-CH"/>
              </w:rPr>
            </w:pPr>
            <w:r w:rsidRPr="005F15DA">
              <w:rPr>
                <w:rFonts w:eastAsia="Times New Roman" w:cs="Arial"/>
                <w:color w:val="000000"/>
                <w:szCs w:val="22"/>
                <w:lang w:eastAsia="de-CH"/>
              </w:rPr>
              <w:t> </w:t>
            </w:r>
          </w:p>
        </w:tc>
      </w:tr>
      <w:tr w:rsidR="00722A51" w:rsidRPr="005F15DA" w:rsidTr="00722A51">
        <w:trPr>
          <w:trHeight w:val="312"/>
        </w:trPr>
        <w:tc>
          <w:tcPr>
            <w:tcW w:w="4400" w:type="dxa"/>
            <w:tcBorders>
              <w:top w:val="nil"/>
              <w:left w:val="single" w:sz="4" w:space="0" w:color="auto"/>
              <w:bottom w:val="nil"/>
              <w:right w:val="nil"/>
            </w:tcBorders>
            <w:shd w:val="clear" w:color="auto" w:fill="auto"/>
            <w:hideMark/>
          </w:tcPr>
          <w:p w:rsidR="00722A51" w:rsidRPr="005F15DA" w:rsidRDefault="00722A51" w:rsidP="00722A51">
            <w:pPr>
              <w:spacing w:line="240" w:lineRule="auto"/>
              <w:rPr>
                <w:rFonts w:eastAsia="Times New Roman" w:cs="Arial"/>
                <w:b/>
                <w:bCs/>
                <w:color w:val="000000"/>
                <w:szCs w:val="22"/>
                <w:lang w:eastAsia="de-CH"/>
              </w:rPr>
            </w:pPr>
            <w:r w:rsidRPr="005F15DA">
              <w:rPr>
                <w:rFonts w:eastAsia="Times New Roman" w:cs="Arial"/>
                <w:b/>
                <w:bCs/>
                <w:color w:val="000000"/>
                <w:szCs w:val="22"/>
                <w:lang w:eastAsia="de-CH"/>
              </w:rPr>
              <w:t>Teilbare Sachen</w:t>
            </w:r>
          </w:p>
        </w:tc>
        <w:tc>
          <w:tcPr>
            <w:tcW w:w="4400" w:type="dxa"/>
            <w:tcBorders>
              <w:top w:val="nil"/>
              <w:left w:val="single" w:sz="4" w:space="0" w:color="auto"/>
              <w:bottom w:val="nil"/>
              <w:right w:val="single" w:sz="4" w:space="0" w:color="auto"/>
            </w:tcBorders>
            <w:shd w:val="clear" w:color="auto" w:fill="auto"/>
            <w:hideMark/>
          </w:tcPr>
          <w:p w:rsidR="00722A51" w:rsidRPr="005F15DA" w:rsidRDefault="00722A51" w:rsidP="00722A51">
            <w:pPr>
              <w:spacing w:line="240" w:lineRule="auto"/>
              <w:rPr>
                <w:rFonts w:eastAsia="Times New Roman" w:cs="Arial"/>
                <w:b/>
                <w:bCs/>
                <w:color w:val="000000"/>
                <w:szCs w:val="22"/>
                <w:lang w:eastAsia="de-CH"/>
              </w:rPr>
            </w:pPr>
            <w:r w:rsidRPr="005F15DA">
              <w:rPr>
                <w:rFonts w:eastAsia="Times New Roman" w:cs="Arial"/>
                <w:b/>
                <w:bCs/>
                <w:color w:val="000000"/>
                <w:szCs w:val="22"/>
                <w:lang w:eastAsia="de-CH"/>
              </w:rPr>
              <w:t>Unteilbare Sachen</w:t>
            </w:r>
          </w:p>
        </w:tc>
      </w:tr>
      <w:tr w:rsidR="00722A51" w:rsidRPr="005F15DA" w:rsidTr="00722A51">
        <w:trPr>
          <w:trHeight w:val="312"/>
        </w:trPr>
        <w:tc>
          <w:tcPr>
            <w:tcW w:w="4400" w:type="dxa"/>
            <w:tcBorders>
              <w:top w:val="nil"/>
              <w:left w:val="single" w:sz="4" w:space="0" w:color="auto"/>
              <w:bottom w:val="nil"/>
              <w:right w:val="nil"/>
            </w:tcBorders>
            <w:shd w:val="clear" w:color="auto" w:fill="auto"/>
            <w:hideMark/>
          </w:tcPr>
          <w:p w:rsidR="00722A51" w:rsidRPr="005F15DA" w:rsidRDefault="00722A51" w:rsidP="00722A51">
            <w:pPr>
              <w:spacing w:line="240" w:lineRule="auto"/>
              <w:rPr>
                <w:rFonts w:eastAsia="Times New Roman" w:cs="Arial"/>
                <w:color w:val="000000"/>
                <w:szCs w:val="22"/>
                <w:lang w:eastAsia="de-CH"/>
              </w:rPr>
            </w:pPr>
            <w:r w:rsidRPr="005F15DA">
              <w:rPr>
                <w:rFonts w:eastAsia="Times New Roman" w:cs="Arial"/>
                <w:color w:val="000000"/>
                <w:szCs w:val="22"/>
                <w:lang w:eastAsia="de-CH"/>
              </w:rPr>
              <w:t>(</w:t>
            </w:r>
            <w:r w:rsidR="0076718A" w:rsidRPr="005F15DA">
              <w:rPr>
                <w:rFonts w:eastAsia="Times New Roman" w:cs="Arial"/>
                <w:color w:val="000000"/>
                <w:szCs w:val="22"/>
                <w:lang w:eastAsia="de-CH"/>
              </w:rPr>
              <w:t>Bsp.</w:t>
            </w:r>
            <w:r w:rsidRPr="005F15DA">
              <w:rPr>
                <w:rFonts w:eastAsia="Times New Roman" w:cs="Arial"/>
                <w:color w:val="000000"/>
                <w:szCs w:val="22"/>
                <w:lang w:eastAsia="de-CH"/>
              </w:rPr>
              <w:t>: 1 kg Mehl)</w:t>
            </w:r>
          </w:p>
        </w:tc>
        <w:tc>
          <w:tcPr>
            <w:tcW w:w="4400" w:type="dxa"/>
            <w:tcBorders>
              <w:top w:val="nil"/>
              <w:left w:val="single" w:sz="4" w:space="0" w:color="auto"/>
              <w:bottom w:val="nil"/>
              <w:right w:val="single" w:sz="4" w:space="0" w:color="auto"/>
            </w:tcBorders>
            <w:shd w:val="clear" w:color="auto" w:fill="auto"/>
            <w:hideMark/>
          </w:tcPr>
          <w:p w:rsidR="00722A51" w:rsidRPr="005F15DA" w:rsidRDefault="00722A51" w:rsidP="00722A51">
            <w:pPr>
              <w:spacing w:line="240" w:lineRule="auto"/>
              <w:rPr>
                <w:rFonts w:eastAsia="Times New Roman" w:cs="Arial"/>
                <w:color w:val="000000"/>
                <w:szCs w:val="22"/>
                <w:lang w:eastAsia="de-CH"/>
              </w:rPr>
            </w:pPr>
            <w:r w:rsidRPr="005F15DA">
              <w:rPr>
                <w:rFonts w:eastAsia="Times New Roman" w:cs="Arial"/>
                <w:color w:val="000000"/>
                <w:szCs w:val="22"/>
                <w:lang w:eastAsia="de-CH"/>
              </w:rPr>
              <w:t>(</w:t>
            </w:r>
            <w:r w:rsidR="0076718A" w:rsidRPr="005F15DA">
              <w:rPr>
                <w:rFonts w:eastAsia="Times New Roman" w:cs="Arial"/>
                <w:color w:val="000000"/>
                <w:szCs w:val="22"/>
                <w:lang w:eastAsia="de-CH"/>
              </w:rPr>
              <w:t>Bsp.</w:t>
            </w:r>
            <w:r w:rsidRPr="005F15DA">
              <w:rPr>
                <w:rFonts w:eastAsia="Times New Roman" w:cs="Arial"/>
                <w:color w:val="000000"/>
                <w:szCs w:val="22"/>
                <w:lang w:eastAsia="de-CH"/>
              </w:rPr>
              <w:t>: 1 Apfel)</w:t>
            </w:r>
          </w:p>
        </w:tc>
      </w:tr>
      <w:tr w:rsidR="00722A51" w:rsidRPr="005F15DA" w:rsidTr="00722A51">
        <w:trPr>
          <w:trHeight w:val="312"/>
        </w:trPr>
        <w:tc>
          <w:tcPr>
            <w:tcW w:w="4400" w:type="dxa"/>
            <w:tcBorders>
              <w:top w:val="nil"/>
              <w:left w:val="single" w:sz="4" w:space="0" w:color="auto"/>
              <w:bottom w:val="nil"/>
              <w:right w:val="nil"/>
            </w:tcBorders>
            <w:shd w:val="clear" w:color="auto" w:fill="auto"/>
            <w:hideMark/>
          </w:tcPr>
          <w:p w:rsidR="00722A51" w:rsidRPr="005F15DA" w:rsidRDefault="00722A51" w:rsidP="00722A51">
            <w:pPr>
              <w:spacing w:line="240" w:lineRule="auto"/>
              <w:rPr>
                <w:rFonts w:eastAsia="Times New Roman" w:cs="Arial"/>
                <w:color w:val="000000"/>
                <w:szCs w:val="22"/>
                <w:lang w:eastAsia="de-CH"/>
              </w:rPr>
            </w:pPr>
            <w:r w:rsidRPr="005F15DA">
              <w:rPr>
                <w:rFonts w:eastAsia="Times New Roman" w:cs="Arial"/>
                <w:color w:val="000000"/>
                <w:szCs w:val="22"/>
                <w:lang w:eastAsia="de-CH"/>
              </w:rPr>
              <w:t> </w:t>
            </w:r>
          </w:p>
        </w:tc>
        <w:tc>
          <w:tcPr>
            <w:tcW w:w="4400" w:type="dxa"/>
            <w:tcBorders>
              <w:top w:val="nil"/>
              <w:left w:val="single" w:sz="4" w:space="0" w:color="auto"/>
              <w:bottom w:val="nil"/>
              <w:right w:val="single" w:sz="4" w:space="0" w:color="auto"/>
            </w:tcBorders>
            <w:shd w:val="clear" w:color="auto" w:fill="auto"/>
            <w:hideMark/>
          </w:tcPr>
          <w:p w:rsidR="00722A51" w:rsidRPr="005F15DA" w:rsidRDefault="00722A51" w:rsidP="00722A51">
            <w:pPr>
              <w:spacing w:line="240" w:lineRule="auto"/>
              <w:rPr>
                <w:rFonts w:eastAsia="Times New Roman" w:cs="Arial"/>
                <w:color w:val="000000"/>
                <w:szCs w:val="22"/>
                <w:lang w:eastAsia="de-CH"/>
              </w:rPr>
            </w:pPr>
            <w:r w:rsidRPr="005F15DA">
              <w:rPr>
                <w:rFonts w:eastAsia="Times New Roman" w:cs="Arial"/>
                <w:color w:val="000000"/>
                <w:szCs w:val="22"/>
                <w:lang w:eastAsia="de-CH"/>
              </w:rPr>
              <w:t> </w:t>
            </w:r>
          </w:p>
        </w:tc>
      </w:tr>
      <w:tr w:rsidR="00722A51" w:rsidRPr="005F15DA" w:rsidTr="00722A51">
        <w:trPr>
          <w:trHeight w:val="624"/>
        </w:trPr>
        <w:tc>
          <w:tcPr>
            <w:tcW w:w="4400" w:type="dxa"/>
            <w:tcBorders>
              <w:top w:val="nil"/>
              <w:left w:val="single" w:sz="4" w:space="0" w:color="auto"/>
              <w:bottom w:val="nil"/>
              <w:right w:val="nil"/>
            </w:tcBorders>
            <w:shd w:val="clear" w:color="auto" w:fill="auto"/>
            <w:hideMark/>
          </w:tcPr>
          <w:p w:rsidR="00722A51" w:rsidRPr="005F15DA" w:rsidRDefault="00722A51" w:rsidP="00722A51">
            <w:pPr>
              <w:spacing w:line="240" w:lineRule="auto"/>
              <w:rPr>
                <w:rFonts w:eastAsia="Times New Roman" w:cs="Arial"/>
                <w:b/>
                <w:bCs/>
                <w:color w:val="000000"/>
                <w:szCs w:val="22"/>
                <w:lang w:eastAsia="de-CH"/>
              </w:rPr>
            </w:pPr>
            <w:r w:rsidRPr="005F15DA">
              <w:rPr>
                <w:rFonts w:eastAsia="Times New Roman" w:cs="Arial"/>
                <w:b/>
                <w:bCs/>
                <w:color w:val="000000"/>
                <w:szCs w:val="22"/>
                <w:lang w:eastAsia="de-CH"/>
              </w:rPr>
              <w:t>Verkehrsfähige Sachen</w:t>
            </w:r>
          </w:p>
          <w:p w:rsidR="006D32F2" w:rsidRPr="005F15DA" w:rsidRDefault="006D32F2" w:rsidP="00722A51">
            <w:pPr>
              <w:spacing w:line="240" w:lineRule="auto"/>
              <w:rPr>
                <w:rFonts w:eastAsia="Times New Roman" w:cs="Arial"/>
                <w:bCs/>
                <w:color w:val="000000"/>
                <w:szCs w:val="22"/>
                <w:lang w:eastAsia="de-CH"/>
              </w:rPr>
            </w:pPr>
            <w:r w:rsidRPr="005F15DA">
              <w:rPr>
                <w:rFonts w:eastAsia="Times New Roman" w:cs="Arial"/>
                <w:bCs/>
                <w:color w:val="000000"/>
                <w:szCs w:val="22"/>
                <w:lang w:eastAsia="de-CH"/>
              </w:rPr>
              <w:t>(Bsp.: Buch)</w:t>
            </w:r>
          </w:p>
        </w:tc>
        <w:tc>
          <w:tcPr>
            <w:tcW w:w="4400" w:type="dxa"/>
            <w:tcBorders>
              <w:top w:val="nil"/>
              <w:left w:val="single" w:sz="4" w:space="0" w:color="auto"/>
              <w:bottom w:val="nil"/>
              <w:right w:val="single" w:sz="4" w:space="0" w:color="auto"/>
            </w:tcBorders>
            <w:shd w:val="clear" w:color="auto" w:fill="auto"/>
            <w:hideMark/>
          </w:tcPr>
          <w:p w:rsidR="006D32F2" w:rsidRPr="005F15DA" w:rsidRDefault="00722A51" w:rsidP="00722A51">
            <w:pPr>
              <w:spacing w:line="240" w:lineRule="auto"/>
              <w:rPr>
                <w:rFonts w:eastAsia="Times New Roman" w:cs="Arial"/>
                <w:b/>
                <w:bCs/>
                <w:color w:val="000000"/>
                <w:szCs w:val="22"/>
                <w:lang w:eastAsia="de-CH"/>
              </w:rPr>
            </w:pPr>
            <w:r w:rsidRPr="005F15DA">
              <w:rPr>
                <w:rFonts w:eastAsia="Times New Roman" w:cs="Arial"/>
                <w:b/>
                <w:bCs/>
                <w:color w:val="000000"/>
                <w:szCs w:val="22"/>
                <w:lang w:eastAsia="de-CH"/>
              </w:rPr>
              <w:t>Nicht bzw. beschränkt verkehrsfähige</w:t>
            </w:r>
          </w:p>
          <w:p w:rsidR="00722A51" w:rsidRPr="005F15DA" w:rsidRDefault="00722A51" w:rsidP="00722A51">
            <w:pPr>
              <w:spacing w:line="240" w:lineRule="auto"/>
              <w:rPr>
                <w:rFonts w:eastAsia="Times New Roman" w:cs="Arial"/>
                <w:b/>
                <w:bCs/>
                <w:color w:val="000000"/>
                <w:szCs w:val="22"/>
                <w:lang w:eastAsia="de-CH"/>
              </w:rPr>
            </w:pPr>
            <w:r w:rsidRPr="005F15DA">
              <w:rPr>
                <w:rFonts w:eastAsia="Times New Roman" w:cs="Arial"/>
                <w:b/>
                <w:bCs/>
                <w:color w:val="000000"/>
                <w:szCs w:val="22"/>
                <w:lang w:eastAsia="de-CH"/>
              </w:rPr>
              <w:t>Sachen</w:t>
            </w:r>
          </w:p>
        </w:tc>
      </w:tr>
      <w:tr w:rsidR="00722A51" w:rsidRPr="005F15DA" w:rsidTr="00722A51">
        <w:trPr>
          <w:trHeight w:val="312"/>
        </w:trPr>
        <w:tc>
          <w:tcPr>
            <w:tcW w:w="4400" w:type="dxa"/>
            <w:tcBorders>
              <w:top w:val="nil"/>
              <w:left w:val="single" w:sz="4" w:space="0" w:color="auto"/>
              <w:bottom w:val="nil"/>
              <w:right w:val="nil"/>
            </w:tcBorders>
            <w:shd w:val="clear" w:color="auto" w:fill="auto"/>
            <w:hideMark/>
          </w:tcPr>
          <w:p w:rsidR="00722A51" w:rsidRPr="005F15DA" w:rsidRDefault="00722A51" w:rsidP="00722A51">
            <w:pPr>
              <w:spacing w:line="240" w:lineRule="auto"/>
              <w:rPr>
                <w:rFonts w:eastAsia="Times New Roman" w:cs="Arial"/>
                <w:color w:val="000000"/>
                <w:szCs w:val="22"/>
                <w:lang w:eastAsia="de-CH"/>
              </w:rPr>
            </w:pPr>
          </w:p>
        </w:tc>
        <w:tc>
          <w:tcPr>
            <w:tcW w:w="4400" w:type="dxa"/>
            <w:tcBorders>
              <w:top w:val="nil"/>
              <w:left w:val="single" w:sz="4" w:space="0" w:color="auto"/>
              <w:bottom w:val="nil"/>
              <w:right w:val="single" w:sz="4" w:space="0" w:color="auto"/>
            </w:tcBorders>
            <w:shd w:val="clear" w:color="auto" w:fill="auto"/>
            <w:hideMark/>
          </w:tcPr>
          <w:p w:rsidR="00722A51" w:rsidRPr="005F15DA" w:rsidRDefault="00722A51" w:rsidP="00722A51">
            <w:pPr>
              <w:spacing w:line="240" w:lineRule="auto"/>
              <w:rPr>
                <w:rFonts w:eastAsia="Times New Roman" w:cs="Arial"/>
                <w:color w:val="000000"/>
                <w:szCs w:val="22"/>
                <w:lang w:eastAsia="de-CH"/>
              </w:rPr>
            </w:pPr>
            <w:r w:rsidRPr="005F15DA">
              <w:rPr>
                <w:rFonts w:eastAsia="Times New Roman" w:cs="Arial"/>
                <w:color w:val="000000"/>
                <w:szCs w:val="22"/>
                <w:lang w:eastAsia="de-CH"/>
              </w:rPr>
              <w:t>(</w:t>
            </w:r>
            <w:r w:rsidR="0076718A" w:rsidRPr="005F15DA">
              <w:rPr>
                <w:rFonts w:eastAsia="Times New Roman" w:cs="Arial"/>
                <w:color w:val="000000"/>
                <w:szCs w:val="22"/>
                <w:lang w:eastAsia="de-CH"/>
              </w:rPr>
              <w:t>Bsp.</w:t>
            </w:r>
            <w:r w:rsidRPr="005F15DA">
              <w:rPr>
                <w:rFonts w:eastAsia="Times New Roman" w:cs="Arial"/>
                <w:color w:val="000000"/>
                <w:szCs w:val="22"/>
                <w:lang w:eastAsia="de-CH"/>
              </w:rPr>
              <w:t>: Naturkräfte)</w:t>
            </w:r>
          </w:p>
        </w:tc>
      </w:tr>
      <w:tr w:rsidR="00722A51" w:rsidRPr="005F15DA" w:rsidTr="00722A51">
        <w:trPr>
          <w:trHeight w:val="312"/>
        </w:trPr>
        <w:tc>
          <w:tcPr>
            <w:tcW w:w="4400" w:type="dxa"/>
            <w:tcBorders>
              <w:top w:val="nil"/>
              <w:left w:val="single" w:sz="4" w:space="0" w:color="auto"/>
              <w:bottom w:val="nil"/>
              <w:right w:val="nil"/>
            </w:tcBorders>
            <w:shd w:val="clear" w:color="auto" w:fill="auto"/>
            <w:hideMark/>
          </w:tcPr>
          <w:p w:rsidR="00722A51" w:rsidRPr="005F15DA" w:rsidRDefault="00722A51" w:rsidP="00722A51">
            <w:pPr>
              <w:spacing w:line="240" w:lineRule="auto"/>
              <w:rPr>
                <w:rFonts w:eastAsia="Times New Roman" w:cs="Arial"/>
                <w:color w:val="000000"/>
                <w:szCs w:val="22"/>
                <w:lang w:eastAsia="de-CH"/>
              </w:rPr>
            </w:pPr>
            <w:r w:rsidRPr="005F15DA">
              <w:rPr>
                <w:rFonts w:eastAsia="Times New Roman" w:cs="Arial"/>
                <w:color w:val="000000"/>
                <w:szCs w:val="22"/>
                <w:lang w:eastAsia="de-CH"/>
              </w:rPr>
              <w:t> </w:t>
            </w:r>
          </w:p>
        </w:tc>
        <w:tc>
          <w:tcPr>
            <w:tcW w:w="4400" w:type="dxa"/>
            <w:tcBorders>
              <w:top w:val="nil"/>
              <w:left w:val="single" w:sz="4" w:space="0" w:color="auto"/>
              <w:bottom w:val="nil"/>
              <w:right w:val="single" w:sz="4" w:space="0" w:color="auto"/>
            </w:tcBorders>
            <w:shd w:val="clear" w:color="auto" w:fill="auto"/>
            <w:hideMark/>
          </w:tcPr>
          <w:p w:rsidR="00722A51" w:rsidRPr="005F15DA" w:rsidRDefault="00722A51" w:rsidP="00722A51">
            <w:pPr>
              <w:spacing w:line="240" w:lineRule="auto"/>
              <w:rPr>
                <w:rFonts w:eastAsia="Times New Roman" w:cs="Arial"/>
                <w:color w:val="000000"/>
                <w:szCs w:val="22"/>
                <w:lang w:eastAsia="de-CH"/>
              </w:rPr>
            </w:pPr>
            <w:r w:rsidRPr="005F15DA">
              <w:rPr>
                <w:rFonts w:eastAsia="Times New Roman" w:cs="Arial"/>
                <w:color w:val="000000"/>
                <w:szCs w:val="22"/>
                <w:lang w:eastAsia="de-CH"/>
              </w:rPr>
              <w:t> </w:t>
            </w:r>
          </w:p>
        </w:tc>
      </w:tr>
      <w:tr w:rsidR="00722A51" w:rsidRPr="005F15DA" w:rsidTr="00722A51">
        <w:trPr>
          <w:trHeight w:val="312"/>
        </w:trPr>
        <w:tc>
          <w:tcPr>
            <w:tcW w:w="4400" w:type="dxa"/>
            <w:tcBorders>
              <w:top w:val="nil"/>
              <w:left w:val="single" w:sz="4" w:space="0" w:color="auto"/>
              <w:bottom w:val="nil"/>
              <w:right w:val="nil"/>
            </w:tcBorders>
            <w:shd w:val="clear" w:color="auto" w:fill="auto"/>
            <w:hideMark/>
          </w:tcPr>
          <w:p w:rsidR="00722A51" w:rsidRPr="005F15DA" w:rsidRDefault="00722A51" w:rsidP="00722A51">
            <w:pPr>
              <w:spacing w:line="240" w:lineRule="auto"/>
              <w:rPr>
                <w:rFonts w:eastAsia="Times New Roman" w:cs="Arial"/>
                <w:b/>
                <w:bCs/>
                <w:color w:val="000000"/>
                <w:szCs w:val="22"/>
                <w:lang w:eastAsia="de-CH"/>
              </w:rPr>
            </w:pPr>
            <w:r w:rsidRPr="005F15DA">
              <w:rPr>
                <w:rFonts w:eastAsia="Times New Roman" w:cs="Arial"/>
                <w:b/>
                <w:bCs/>
                <w:color w:val="000000"/>
                <w:szCs w:val="22"/>
                <w:lang w:eastAsia="de-CH"/>
              </w:rPr>
              <w:t>Verbrauchbare Sachen</w:t>
            </w:r>
          </w:p>
        </w:tc>
        <w:tc>
          <w:tcPr>
            <w:tcW w:w="4400" w:type="dxa"/>
            <w:tcBorders>
              <w:top w:val="nil"/>
              <w:left w:val="single" w:sz="4" w:space="0" w:color="auto"/>
              <w:bottom w:val="nil"/>
              <w:right w:val="single" w:sz="4" w:space="0" w:color="auto"/>
            </w:tcBorders>
            <w:shd w:val="clear" w:color="auto" w:fill="auto"/>
            <w:hideMark/>
          </w:tcPr>
          <w:p w:rsidR="00722A51" w:rsidRPr="005F15DA" w:rsidRDefault="00722A51" w:rsidP="00722A51">
            <w:pPr>
              <w:spacing w:line="240" w:lineRule="auto"/>
              <w:rPr>
                <w:rFonts w:eastAsia="Times New Roman" w:cs="Arial"/>
                <w:b/>
                <w:bCs/>
                <w:color w:val="000000"/>
                <w:szCs w:val="22"/>
                <w:lang w:eastAsia="de-CH"/>
              </w:rPr>
            </w:pPr>
            <w:r w:rsidRPr="005F15DA">
              <w:rPr>
                <w:rFonts w:eastAsia="Times New Roman" w:cs="Arial"/>
                <w:b/>
                <w:bCs/>
                <w:color w:val="000000"/>
                <w:szCs w:val="22"/>
                <w:lang w:eastAsia="de-CH"/>
              </w:rPr>
              <w:t>Unverbrauchbare Sachen</w:t>
            </w:r>
          </w:p>
        </w:tc>
      </w:tr>
      <w:tr w:rsidR="00722A51" w:rsidRPr="005F15DA" w:rsidTr="00722A51">
        <w:trPr>
          <w:trHeight w:val="312"/>
        </w:trPr>
        <w:tc>
          <w:tcPr>
            <w:tcW w:w="4400" w:type="dxa"/>
            <w:tcBorders>
              <w:top w:val="nil"/>
              <w:left w:val="single" w:sz="4" w:space="0" w:color="auto"/>
              <w:bottom w:val="nil"/>
              <w:right w:val="nil"/>
            </w:tcBorders>
            <w:shd w:val="clear" w:color="auto" w:fill="auto"/>
            <w:hideMark/>
          </w:tcPr>
          <w:p w:rsidR="00722A51" w:rsidRPr="005F15DA" w:rsidRDefault="00722A51" w:rsidP="00722A51">
            <w:pPr>
              <w:spacing w:line="240" w:lineRule="auto"/>
              <w:rPr>
                <w:rFonts w:eastAsia="Times New Roman" w:cs="Arial"/>
                <w:color w:val="000000"/>
                <w:szCs w:val="22"/>
                <w:lang w:eastAsia="de-CH"/>
              </w:rPr>
            </w:pPr>
            <w:r w:rsidRPr="005F15DA">
              <w:rPr>
                <w:rFonts w:eastAsia="Times New Roman" w:cs="Arial"/>
                <w:color w:val="000000"/>
                <w:szCs w:val="22"/>
                <w:lang w:eastAsia="de-CH"/>
              </w:rPr>
              <w:t>(</w:t>
            </w:r>
            <w:r w:rsidR="0076718A" w:rsidRPr="005F15DA">
              <w:rPr>
                <w:rFonts w:eastAsia="Times New Roman" w:cs="Arial"/>
                <w:color w:val="000000"/>
                <w:szCs w:val="22"/>
                <w:lang w:eastAsia="de-CH"/>
              </w:rPr>
              <w:t>Bsp.</w:t>
            </w:r>
            <w:r w:rsidRPr="005F15DA">
              <w:rPr>
                <w:rFonts w:eastAsia="Times New Roman" w:cs="Arial"/>
                <w:color w:val="000000"/>
                <w:szCs w:val="22"/>
                <w:lang w:eastAsia="de-CH"/>
              </w:rPr>
              <w:t>: Lebensmittel)</w:t>
            </w:r>
          </w:p>
        </w:tc>
        <w:tc>
          <w:tcPr>
            <w:tcW w:w="4400" w:type="dxa"/>
            <w:tcBorders>
              <w:top w:val="nil"/>
              <w:left w:val="single" w:sz="4" w:space="0" w:color="auto"/>
              <w:bottom w:val="nil"/>
              <w:right w:val="single" w:sz="4" w:space="0" w:color="auto"/>
            </w:tcBorders>
            <w:shd w:val="clear" w:color="auto" w:fill="auto"/>
            <w:hideMark/>
          </w:tcPr>
          <w:p w:rsidR="00722A51" w:rsidRPr="005F15DA" w:rsidRDefault="00722A51" w:rsidP="00722A51">
            <w:pPr>
              <w:spacing w:line="240" w:lineRule="auto"/>
              <w:rPr>
                <w:rFonts w:eastAsia="Times New Roman" w:cs="Arial"/>
                <w:color w:val="000000"/>
                <w:szCs w:val="22"/>
                <w:lang w:eastAsia="de-CH"/>
              </w:rPr>
            </w:pPr>
            <w:r w:rsidRPr="005F15DA">
              <w:rPr>
                <w:rFonts w:eastAsia="Times New Roman" w:cs="Arial"/>
                <w:color w:val="000000"/>
                <w:szCs w:val="22"/>
                <w:lang w:eastAsia="de-CH"/>
              </w:rPr>
              <w:t>(</w:t>
            </w:r>
            <w:r w:rsidR="0076718A" w:rsidRPr="005F15DA">
              <w:rPr>
                <w:rFonts w:eastAsia="Times New Roman" w:cs="Arial"/>
                <w:color w:val="000000"/>
                <w:szCs w:val="22"/>
                <w:lang w:eastAsia="de-CH"/>
              </w:rPr>
              <w:t>Bsp.</w:t>
            </w:r>
            <w:r w:rsidRPr="005F15DA">
              <w:rPr>
                <w:rFonts w:eastAsia="Times New Roman" w:cs="Arial"/>
                <w:color w:val="000000"/>
                <w:szCs w:val="22"/>
                <w:lang w:eastAsia="de-CH"/>
              </w:rPr>
              <w:t>: 1 Edelstein)</w:t>
            </w:r>
          </w:p>
        </w:tc>
      </w:tr>
      <w:tr w:rsidR="00722A51" w:rsidRPr="005F15DA" w:rsidTr="00722A51">
        <w:trPr>
          <w:trHeight w:val="312"/>
        </w:trPr>
        <w:tc>
          <w:tcPr>
            <w:tcW w:w="4400" w:type="dxa"/>
            <w:tcBorders>
              <w:top w:val="nil"/>
              <w:left w:val="single" w:sz="4" w:space="0" w:color="auto"/>
              <w:bottom w:val="nil"/>
              <w:right w:val="nil"/>
            </w:tcBorders>
            <w:shd w:val="clear" w:color="auto" w:fill="auto"/>
            <w:hideMark/>
          </w:tcPr>
          <w:p w:rsidR="00722A51" w:rsidRPr="005F15DA" w:rsidRDefault="00722A51" w:rsidP="00722A51">
            <w:pPr>
              <w:spacing w:line="240" w:lineRule="auto"/>
              <w:rPr>
                <w:rFonts w:eastAsia="Times New Roman" w:cs="Arial"/>
                <w:color w:val="000000"/>
                <w:szCs w:val="22"/>
                <w:lang w:eastAsia="de-CH"/>
              </w:rPr>
            </w:pPr>
            <w:r w:rsidRPr="005F15DA">
              <w:rPr>
                <w:rFonts w:eastAsia="Times New Roman" w:cs="Arial"/>
                <w:color w:val="000000"/>
                <w:szCs w:val="22"/>
                <w:lang w:eastAsia="de-CH"/>
              </w:rPr>
              <w:t> </w:t>
            </w:r>
          </w:p>
        </w:tc>
        <w:tc>
          <w:tcPr>
            <w:tcW w:w="4400" w:type="dxa"/>
            <w:tcBorders>
              <w:top w:val="nil"/>
              <w:left w:val="single" w:sz="4" w:space="0" w:color="auto"/>
              <w:bottom w:val="nil"/>
              <w:right w:val="single" w:sz="4" w:space="0" w:color="auto"/>
            </w:tcBorders>
            <w:shd w:val="clear" w:color="auto" w:fill="auto"/>
            <w:hideMark/>
          </w:tcPr>
          <w:p w:rsidR="00722A51" w:rsidRPr="005F15DA" w:rsidRDefault="00722A51" w:rsidP="00722A51">
            <w:pPr>
              <w:spacing w:line="240" w:lineRule="auto"/>
              <w:rPr>
                <w:rFonts w:eastAsia="Times New Roman" w:cs="Arial"/>
                <w:color w:val="000000"/>
                <w:szCs w:val="22"/>
                <w:lang w:eastAsia="de-CH"/>
              </w:rPr>
            </w:pPr>
            <w:r w:rsidRPr="005F15DA">
              <w:rPr>
                <w:rFonts w:eastAsia="Times New Roman" w:cs="Arial"/>
                <w:color w:val="000000"/>
                <w:szCs w:val="22"/>
                <w:lang w:eastAsia="de-CH"/>
              </w:rPr>
              <w:t> </w:t>
            </w:r>
          </w:p>
        </w:tc>
      </w:tr>
      <w:tr w:rsidR="00722A51" w:rsidRPr="005F15DA" w:rsidTr="00722A51">
        <w:trPr>
          <w:trHeight w:val="312"/>
        </w:trPr>
        <w:tc>
          <w:tcPr>
            <w:tcW w:w="4400" w:type="dxa"/>
            <w:tcBorders>
              <w:top w:val="nil"/>
              <w:left w:val="single" w:sz="4" w:space="0" w:color="auto"/>
              <w:bottom w:val="nil"/>
              <w:right w:val="nil"/>
            </w:tcBorders>
            <w:shd w:val="clear" w:color="auto" w:fill="auto"/>
            <w:hideMark/>
          </w:tcPr>
          <w:p w:rsidR="00722A51" w:rsidRPr="005F15DA" w:rsidRDefault="00722A51" w:rsidP="00722A51">
            <w:pPr>
              <w:spacing w:line="240" w:lineRule="auto"/>
              <w:rPr>
                <w:rFonts w:eastAsia="Times New Roman" w:cs="Arial"/>
                <w:b/>
                <w:bCs/>
                <w:color w:val="000000"/>
                <w:szCs w:val="22"/>
                <w:lang w:eastAsia="de-CH"/>
              </w:rPr>
            </w:pPr>
            <w:r w:rsidRPr="005F15DA">
              <w:rPr>
                <w:rFonts w:eastAsia="Times New Roman" w:cs="Arial"/>
                <w:b/>
                <w:bCs/>
                <w:color w:val="000000"/>
                <w:szCs w:val="22"/>
                <w:lang w:eastAsia="de-CH"/>
              </w:rPr>
              <w:t>Sachgesamtheiten</w:t>
            </w:r>
          </w:p>
        </w:tc>
        <w:tc>
          <w:tcPr>
            <w:tcW w:w="4400" w:type="dxa"/>
            <w:tcBorders>
              <w:top w:val="nil"/>
              <w:left w:val="single" w:sz="4" w:space="0" w:color="auto"/>
              <w:bottom w:val="nil"/>
              <w:right w:val="single" w:sz="4" w:space="0" w:color="auto"/>
            </w:tcBorders>
            <w:shd w:val="clear" w:color="auto" w:fill="auto"/>
            <w:hideMark/>
          </w:tcPr>
          <w:p w:rsidR="00722A51" w:rsidRPr="005F15DA" w:rsidRDefault="00722A51" w:rsidP="00722A51">
            <w:pPr>
              <w:spacing w:line="240" w:lineRule="auto"/>
              <w:rPr>
                <w:rFonts w:eastAsia="Times New Roman" w:cs="Arial"/>
                <w:b/>
                <w:bCs/>
                <w:color w:val="000000"/>
                <w:szCs w:val="22"/>
                <w:lang w:eastAsia="de-CH"/>
              </w:rPr>
            </w:pPr>
            <w:r w:rsidRPr="005F15DA">
              <w:rPr>
                <w:rFonts w:eastAsia="Times New Roman" w:cs="Arial"/>
                <w:b/>
                <w:bCs/>
                <w:color w:val="000000"/>
                <w:szCs w:val="22"/>
                <w:lang w:eastAsia="de-CH"/>
              </w:rPr>
              <w:t>Rechtsgesamtheiten</w:t>
            </w:r>
          </w:p>
        </w:tc>
      </w:tr>
      <w:tr w:rsidR="00722A51" w:rsidRPr="005F15DA" w:rsidTr="00C9333A">
        <w:trPr>
          <w:trHeight w:val="1140"/>
        </w:trPr>
        <w:tc>
          <w:tcPr>
            <w:tcW w:w="4400" w:type="dxa"/>
            <w:tcBorders>
              <w:top w:val="nil"/>
              <w:left w:val="single" w:sz="4" w:space="0" w:color="auto"/>
              <w:bottom w:val="nil"/>
              <w:right w:val="nil"/>
            </w:tcBorders>
            <w:shd w:val="clear" w:color="auto" w:fill="auto"/>
            <w:hideMark/>
          </w:tcPr>
          <w:p w:rsidR="00722A51" w:rsidRPr="005F15DA" w:rsidRDefault="00722A51" w:rsidP="00722A51">
            <w:pPr>
              <w:spacing w:line="240" w:lineRule="auto"/>
              <w:rPr>
                <w:rFonts w:eastAsia="Times New Roman" w:cs="Arial"/>
                <w:color w:val="000000"/>
                <w:szCs w:val="22"/>
                <w:lang w:eastAsia="de-CH"/>
              </w:rPr>
            </w:pPr>
            <w:r w:rsidRPr="005F15DA">
              <w:rPr>
                <w:rFonts w:eastAsia="Times New Roman" w:cs="Arial"/>
                <w:color w:val="000000"/>
                <w:szCs w:val="22"/>
                <w:lang w:eastAsia="de-CH"/>
              </w:rPr>
              <w:t>Mehrere selbständige Sachen, die au</w:t>
            </w:r>
            <w:r w:rsidRPr="005F15DA">
              <w:rPr>
                <w:rFonts w:eastAsia="Times New Roman" w:cs="Arial"/>
                <w:color w:val="000000"/>
                <w:szCs w:val="22"/>
                <w:lang w:eastAsia="de-CH"/>
              </w:rPr>
              <w:t>f</w:t>
            </w:r>
            <w:r w:rsidRPr="005F15DA">
              <w:rPr>
                <w:rFonts w:eastAsia="Times New Roman" w:cs="Arial"/>
                <w:color w:val="000000"/>
                <w:szCs w:val="22"/>
                <w:lang w:eastAsia="de-CH"/>
              </w:rPr>
              <w:t>grund gemeinsamer Zweckbestimmung eine wirtschaftliche Einheit bilden und sich gleich geordnet sind</w:t>
            </w:r>
          </w:p>
        </w:tc>
        <w:tc>
          <w:tcPr>
            <w:tcW w:w="4400" w:type="dxa"/>
            <w:tcBorders>
              <w:top w:val="nil"/>
              <w:left w:val="single" w:sz="4" w:space="0" w:color="auto"/>
              <w:bottom w:val="nil"/>
              <w:right w:val="single" w:sz="4" w:space="0" w:color="auto"/>
            </w:tcBorders>
            <w:shd w:val="clear" w:color="auto" w:fill="auto"/>
            <w:hideMark/>
          </w:tcPr>
          <w:p w:rsidR="00722A51" w:rsidRPr="005F15DA" w:rsidRDefault="00722A51" w:rsidP="00722A51">
            <w:pPr>
              <w:spacing w:line="240" w:lineRule="auto"/>
              <w:rPr>
                <w:rFonts w:eastAsia="Times New Roman" w:cs="Arial"/>
                <w:color w:val="000000"/>
                <w:szCs w:val="22"/>
                <w:lang w:eastAsia="de-CH"/>
              </w:rPr>
            </w:pPr>
            <w:r w:rsidRPr="005F15DA">
              <w:rPr>
                <w:rFonts w:eastAsia="Times New Roman" w:cs="Arial"/>
                <w:color w:val="000000"/>
                <w:szCs w:val="22"/>
                <w:lang w:eastAsia="de-CH"/>
              </w:rPr>
              <w:t>Zweckgebundene Zusammenfassung sel</w:t>
            </w:r>
            <w:r w:rsidRPr="005F15DA">
              <w:rPr>
                <w:rFonts w:eastAsia="Times New Roman" w:cs="Arial"/>
                <w:color w:val="000000"/>
                <w:szCs w:val="22"/>
                <w:lang w:eastAsia="de-CH"/>
              </w:rPr>
              <w:t>b</w:t>
            </w:r>
            <w:r w:rsidRPr="005F15DA">
              <w:rPr>
                <w:rFonts w:eastAsia="Times New Roman" w:cs="Arial"/>
                <w:color w:val="000000"/>
                <w:szCs w:val="22"/>
                <w:lang w:eastAsia="de-CH"/>
              </w:rPr>
              <w:t>ständiger Sachen und Rechte zu gewissen Einheiten</w:t>
            </w:r>
          </w:p>
        </w:tc>
      </w:tr>
      <w:tr w:rsidR="00722A51" w:rsidRPr="005F15DA" w:rsidTr="00C9333A">
        <w:trPr>
          <w:trHeight w:val="647"/>
        </w:trPr>
        <w:tc>
          <w:tcPr>
            <w:tcW w:w="4400" w:type="dxa"/>
            <w:tcBorders>
              <w:top w:val="nil"/>
              <w:left w:val="single" w:sz="4" w:space="0" w:color="auto"/>
              <w:bottom w:val="nil"/>
              <w:right w:val="nil"/>
            </w:tcBorders>
            <w:shd w:val="clear" w:color="auto" w:fill="auto"/>
            <w:hideMark/>
          </w:tcPr>
          <w:p w:rsidR="00722A51" w:rsidRPr="005F15DA" w:rsidRDefault="00722A51" w:rsidP="00722A51">
            <w:pPr>
              <w:spacing w:line="240" w:lineRule="auto"/>
              <w:rPr>
                <w:rFonts w:eastAsia="Times New Roman" w:cs="Arial"/>
                <w:color w:val="000000"/>
                <w:szCs w:val="22"/>
                <w:lang w:eastAsia="de-CH"/>
              </w:rPr>
            </w:pPr>
            <w:r w:rsidRPr="005F15DA">
              <w:rPr>
                <w:rFonts w:eastAsia="Times New Roman" w:cs="Arial"/>
                <w:color w:val="000000"/>
                <w:szCs w:val="22"/>
                <w:lang w:eastAsia="de-CH"/>
              </w:rPr>
              <w:t>(</w:t>
            </w:r>
            <w:r w:rsidR="0076718A" w:rsidRPr="005F15DA">
              <w:rPr>
                <w:rFonts w:eastAsia="Times New Roman" w:cs="Arial"/>
                <w:color w:val="000000"/>
                <w:szCs w:val="22"/>
                <w:lang w:eastAsia="de-CH"/>
              </w:rPr>
              <w:t>Bsp.</w:t>
            </w:r>
            <w:r w:rsidRPr="005F15DA">
              <w:rPr>
                <w:rFonts w:eastAsia="Times New Roman" w:cs="Arial"/>
                <w:color w:val="000000"/>
                <w:szCs w:val="22"/>
                <w:lang w:eastAsia="de-CH"/>
              </w:rPr>
              <w:t>: Aktienpaket, Wohnungseinrichtung, Briefmarkensammlung)</w:t>
            </w:r>
          </w:p>
        </w:tc>
        <w:tc>
          <w:tcPr>
            <w:tcW w:w="4400" w:type="dxa"/>
            <w:tcBorders>
              <w:top w:val="nil"/>
              <w:left w:val="single" w:sz="4" w:space="0" w:color="auto"/>
              <w:bottom w:val="nil"/>
              <w:right w:val="single" w:sz="4" w:space="0" w:color="auto"/>
            </w:tcBorders>
            <w:shd w:val="clear" w:color="auto" w:fill="auto"/>
            <w:hideMark/>
          </w:tcPr>
          <w:p w:rsidR="00722A51" w:rsidRPr="005F15DA" w:rsidRDefault="00722A51" w:rsidP="00722A51">
            <w:pPr>
              <w:spacing w:line="240" w:lineRule="auto"/>
              <w:rPr>
                <w:rFonts w:eastAsia="Times New Roman" w:cs="Arial"/>
                <w:color w:val="000000"/>
                <w:szCs w:val="22"/>
                <w:lang w:eastAsia="de-CH"/>
              </w:rPr>
            </w:pPr>
            <w:r w:rsidRPr="005F15DA">
              <w:rPr>
                <w:rFonts w:eastAsia="Times New Roman" w:cs="Arial"/>
                <w:color w:val="000000"/>
                <w:szCs w:val="22"/>
                <w:lang w:eastAsia="de-CH"/>
              </w:rPr>
              <w:t>(</w:t>
            </w:r>
            <w:r w:rsidR="0076718A" w:rsidRPr="005F15DA">
              <w:rPr>
                <w:rFonts w:eastAsia="Times New Roman" w:cs="Arial"/>
                <w:color w:val="000000"/>
                <w:szCs w:val="22"/>
                <w:lang w:eastAsia="de-CH"/>
              </w:rPr>
              <w:t>Bsp.</w:t>
            </w:r>
            <w:r w:rsidRPr="005F15DA">
              <w:rPr>
                <w:rFonts w:eastAsia="Times New Roman" w:cs="Arial"/>
                <w:color w:val="000000"/>
                <w:szCs w:val="22"/>
                <w:lang w:eastAsia="de-CH"/>
              </w:rPr>
              <w:t>: Vermögen, Sondervermögen, Unte</w:t>
            </w:r>
            <w:r w:rsidRPr="005F15DA">
              <w:rPr>
                <w:rFonts w:eastAsia="Times New Roman" w:cs="Arial"/>
                <w:color w:val="000000"/>
                <w:szCs w:val="22"/>
                <w:lang w:eastAsia="de-CH"/>
              </w:rPr>
              <w:t>r</w:t>
            </w:r>
            <w:r w:rsidRPr="005F15DA">
              <w:rPr>
                <w:rFonts w:eastAsia="Times New Roman" w:cs="Arial"/>
                <w:color w:val="000000"/>
                <w:szCs w:val="22"/>
                <w:lang w:eastAsia="de-CH"/>
              </w:rPr>
              <w:t>nehmen)</w:t>
            </w:r>
          </w:p>
        </w:tc>
      </w:tr>
      <w:tr w:rsidR="00722A51" w:rsidRPr="005F15DA" w:rsidTr="00722A51">
        <w:trPr>
          <w:trHeight w:val="624"/>
        </w:trPr>
        <w:tc>
          <w:tcPr>
            <w:tcW w:w="4400" w:type="dxa"/>
            <w:tcBorders>
              <w:top w:val="nil"/>
              <w:left w:val="single" w:sz="4" w:space="0" w:color="auto"/>
              <w:bottom w:val="single" w:sz="4" w:space="0" w:color="auto"/>
              <w:right w:val="nil"/>
            </w:tcBorders>
            <w:shd w:val="clear" w:color="auto" w:fill="auto"/>
            <w:hideMark/>
          </w:tcPr>
          <w:p w:rsidR="00722A51" w:rsidRPr="005F15DA" w:rsidRDefault="00722A51" w:rsidP="00722A51">
            <w:pPr>
              <w:spacing w:line="240" w:lineRule="auto"/>
              <w:rPr>
                <w:rFonts w:eastAsia="Times New Roman" w:cs="Arial"/>
                <w:color w:val="000000"/>
                <w:szCs w:val="22"/>
                <w:lang w:eastAsia="de-CH"/>
              </w:rPr>
            </w:pPr>
            <w:r w:rsidRPr="005F15DA">
              <w:rPr>
                <w:rFonts w:eastAsia="Times New Roman" w:cs="Arial"/>
                <w:color w:val="000000"/>
                <w:szCs w:val="22"/>
                <w:lang w:eastAsia="de-CH"/>
              </w:rPr>
              <w:t>(Keine sachenrechtlich eigenständige Funktion)</w:t>
            </w:r>
          </w:p>
        </w:tc>
        <w:tc>
          <w:tcPr>
            <w:tcW w:w="4400" w:type="dxa"/>
            <w:tcBorders>
              <w:top w:val="nil"/>
              <w:left w:val="single" w:sz="4" w:space="0" w:color="auto"/>
              <w:bottom w:val="single" w:sz="4" w:space="0" w:color="auto"/>
              <w:right w:val="single" w:sz="4" w:space="0" w:color="auto"/>
            </w:tcBorders>
            <w:shd w:val="clear" w:color="auto" w:fill="auto"/>
            <w:hideMark/>
          </w:tcPr>
          <w:p w:rsidR="00722A51" w:rsidRPr="005F15DA" w:rsidRDefault="00722A51" w:rsidP="00722A51">
            <w:pPr>
              <w:spacing w:line="240" w:lineRule="auto"/>
              <w:rPr>
                <w:rFonts w:eastAsia="Times New Roman" w:cs="Arial"/>
                <w:color w:val="000000"/>
                <w:szCs w:val="22"/>
                <w:lang w:eastAsia="de-CH"/>
              </w:rPr>
            </w:pPr>
            <w:r w:rsidRPr="005F15DA">
              <w:rPr>
                <w:rFonts w:eastAsia="Times New Roman" w:cs="Arial"/>
                <w:color w:val="000000"/>
                <w:szCs w:val="22"/>
                <w:lang w:eastAsia="de-CH"/>
              </w:rPr>
              <w:t>(Keine sachenrechtlich eigenständige Funktion)</w:t>
            </w:r>
          </w:p>
        </w:tc>
      </w:tr>
    </w:tbl>
    <w:p w:rsidR="00722A51" w:rsidRPr="005F15DA" w:rsidRDefault="00722A51" w:rsidP="00490E8F">
      <w:pPr>
        <w:spacing w:line="240" w:lineRule="auto"/>
        <w:rPr>
          <w:rFonts w:cs="Arial"/>
          <w:szCs w:val="22"/>
        </w:rPr>
      </w:pPr>
    </w:p>
    <w:p w:rsidR="00722A51" w:rsidRPr="005F15DA" w:rsidRDefault="00722A51" w:rsidP="00490E8F">
      <w:pPr>
        <w:spacing w:line="240" w:lineRule="auto"/>
        <w:rPr>
          <w:rFonts w:cs="Arial"/>
          <w:szCs w:val="22"/>
        </w:rPr>
      </w:pPr>
    </w:p>
    <w:p w:rsidR="006A5FCA" w:rsidRDefault="006A5FCA">
      <w:pPr>
        <w:spacing w:after="200"/>
        <w:rPr>
          <w:rFonts w:eastAsiaTheme="majorEastAsia" w:cstheme="majorBidi"/>
          <w:b/>
          <w:bCs/>
          <w:color w:val="000000" w:themeColor="text1"/>
          <w:sz w:val="32"/>
          <w:szCs w:val="26"/>
        </w:rPr>
      </w:pPr>
      <w:r>
        <w:br w:type="page"/>
      </w:r>
    </w:p>
    <w:p w:rsidR="00AC49CC" w:rsidRPr="005F15DA" w:rsidRDefault="00D50B8C" w:rsidP="006354D3">
      <w:pPr>
        <w:pStyle w:val="berschrift2"/>
      </w:pPr>
      <w:bookmarkStart w:id="131" w:name="_Toc432175651"/>
      <w:r w:rsidRPr="005F15DA">
        <w:lastRenderedPageBreak/>
        <w:t>II</w:t>
      </w:r>
      <w:r w:rsidR="009457AB" w:rsidRPr="005F15DA">
        <w:t>.</w:t>
      </w:r>
      <w:r w:rsidR="007F28BD" w:rsidRPr="005F15DA">
        <w:t xml:space="preserve"> </w:t>
      </w:r>
      <w:r w:rsidR="00722A51" w:rsidRPr="005F15DA">
        <w:t>Eigentum</w:t>
      </w:r>
      <w:r w:rsidR="007F28BD" w:rsidRPr="005F15DA">
        <w:t>(Art. 641 - 729 ZGB)</w:t>
      </w:r>
      <w:bookmarkEnd w:id="131"/>
    </w:p>
    <w:p w:rsidR="00EE0A0C" w:rsidRPr="005F15DA" w:rsidRDefault="00EE0A0C" w:rsidP="00EE0A0C">
      <w:r w:rsidRPr="005F15DA">
        <w:t>______________</w:t>
      </w:r>
      <w:r w:rsidR="00CF04FF">
        <w:t>_________________________</w:t>
      </w:r>
    </w:p>
    <w:p w:rsidR="00722A51" w:rsidRPr="005F15DA" w:rsidRDefault="00722A51" w:rsidP="00AC49CC">
      <w:pPr>
        <w:spacing w:line="240" w:lineRule="auto"/>
        <w:rPr>
          <w:rFonts w:cs="Arial"/>
          <w:szCs w:val="22"/>
        </w:rPr>
      </w:pPr>
    </w:p>
    <w:p w:rsidR="00D50B8C" w:rsidRPr="005F15DA" w:rsidRDefault="00D50B8C" w:rsidP="00AC49CC">
      <w:pPr>
        <w:spacing w:line="240" w:lineRule="auto"/>
        <w:rPr>
          <w:rFonts w:cs="Arial"/>
          <w:szCs w:val="22"/>
        </w:rPr>
      </w:pPr>
    </w:p>
    <w:p w:rsidR="00D50B8C" w:rsidRPr="005F15DA" w:rsidRDefault="00383D9B" w:rsidP="009457AB">
      <w:pPr>
        <w:pStyle w:val="berschrift3"/>
        <w:rPr>
          <w:lang w:val="de-CH"/>
        </w:rPr>
      </w:pPr>
      <w:bookmarkStart w:id="132" w:name="_Toc432175652"/>
      <w:r w:rsidRPr="005F15DA">
        <w:rPr>
          <w:lang w:val="de-CH"/>
        </w:rPr>
        <w:t>A</w:t>
      </w:r>
      <w:r w:rsidR="009457AB" w:rsidRPr="005F15DA">
        <w:rPr>
          <w:lang w:val="de-CH"/>
        </w:rPr>
        <w:t>.</w:t>
      </w:r>
      <w:r w:rsidR="009457AB" w:rsidRPr="005F15DA">
        <w:rPr>
          <w:lang w:val="de-CH"/>
        </w:rPr>
        <w:tab/>
      </w:r>
      <w:r w:rsidR="00D50B8C" w:rsidRPr="005F15DA">
        <w:rPr>
          <w:lang w:val="de-CH"/>
        </w:rPr>
        <w:t>Begriff und Eigentumsarten (Art. 641 ff. ZGB)</w:t>
      </w:r>
      <w:bookmarkEnd w:id="132"/>
    </w:p>
    <w:p w:rsidR="00D50B8C" w:rsidRPr="005F15DA" w:rsidRDefault="00D50B8C" w:rsidP="008931CD">
      <w:pPr>
        <w:spacing w:line="240" w:lineRule="auto"/>
        <w:jc w:val="both"/>
        <w:rPr>
          <w:rFonts w:cs="Arial"/>
          <w:szCs w:val="22"/>
        </w:rPr>
      </w:pPr>
    </w:p>
    <w:p w:rsidR="00722A51" w:rsidRPr="005F15DA" w:rsidRDefault="00722A51" w:rsidP="008931CD">
      <w:pPr>
        <w:spacing w:line="240" w:lineRule="auto"/>
        <w:jc w:val="both"/>
        <w:rPr>
          <w:rFonts w:cs="Arial"/>
          <w:szCs w:val="22"/>
        </w:rPr>
      </w:pPr>
      <w:r w:rsidRPr="005F15DA">
        <w:rPr>
          <w:rFonts w:cs="Arial"/>
          <w:b/>
          <w:szCs w:val="22"/>
        </w:rPr>
        <w:t>Eigentümer</w:t>
      </w:r>
      <w:r w:rsidRPr="005F15DA">
        <w:rPr>
          <w:rFonts w:cs="Arial"/>
          <w:szCs w:val="22"/>
        </w:rPr>
        <w:t xml:space="preserve"> einer Sache kann eine natürliche oder juristische Person sein. </w:t>
      </w:r>
      <w:r w:rsidR="00B72354" w:rsidRPr="005F15DA">
        <w:rPr>
          <w:rFonts w:cs="Arial"/>
          <w:szCs w:val="22"/>
        </w:rPr>
        <w:t>Das Eigentum</w:t>
      </w:r>
      <w:r w:rsidR="00B72354" w:rsidRPr="005F15DA">
        <w:rPr>
          <w:rFonts w:cs="Arial"/>
          <w:szCs w:val="22"/>
        </w:rPr>
        <w:t>s</w:t>
      </w:r>
      <w:r w:rsidR="00B72354" w:rsidRPr="005F15DA">
        <w:rPr>
          <w:rFonts w:cs="Arial"/>
          <w:szCs w:val="22"/>
        </w:rPr>
        <w:t xml:space="preserve">recht ist das umfassendste dingliche Recht über eine Sache. </w:t>
      </w:r>
      <w:r w:rsidRPr="005F15DA">
        <w:rPr>
          <w:rFonts w:cs="Arial"/>
          <w:szCs w:val="22"/>
        </w:rPr>
        <w:t xml:space="preserve">Der Eigentümer einer Sache verfügt über diese innerhalb der Schranken der Rechtsordnung nach Belieben; er kann die Sache </w:t>
      </w:r>
      <w:r w:rsidR="000D6BA6" w:rsidRPr="005F15DA">
        <w:rPr>
          <w:rFonts w:cs="Arial"/>
          <w:szCs w:val="22"/>
        </w:rPr>
        <w:t xml:space="preserve">benutzen, </w:t>
      </w:r>
      <w:r w:rsidRPr="005F15DA">
        <w:rPr>
          <w:rFonts w:cs="Arial"/>
          <w:szCs w:val="22"/>
        </w:rPr>
        <w:t xml:space="preserve">veräussern, verschenken, vernichten und sie allenfalls </w:t>
      </w:r>
      <w:r w:rsidR="00E0344D" w:rsidRPr="005F15DA">
        <w:rPr>
          <w:rFonts w:cs="Arial"/>
          <w:szCs w:val="22"/>
        </w:rPr>
        <w:t>mit dinglichen Rec</w:t>
      </w:r>
      <w:r w:rsidR="00E0344D" w:rsidRPr="005F15DA">
        <w:rPr>
          <w:rFonts w:cs="Arial"/>
          <w:szCs w:val="22"/>
        </w:rPr>
        <w:t>h</w:t>
      </w:r>
      <w:r w:rsidR="00E0344D" w:rsidRPr="005F15DA">
        <w:rPr>
          <w:rFonts w:cs="Arial"/>
          <w:szCs w:val="22"/>
        </w:rPr>
        <w:t xml:space="preserve">ten belasten; er zieht den Nutzen aus der Sache. </w:t>
      </w:r>
    </w:p>
    <w:p w:rsidR="00E0344D" w:rsidRPr="005F15DA" w:rsidRDefault="00E0344D" w:rsidP="008931CD">
      <w:pPr>
        <w:spacing w:line="240" w:lineRule="auto"/>
        <w:jc w:val="both"/>
        <w:rPr>
          <w:rFonts w:cs="Arial"/>
          <w:szCs w:val="22"/>
        </w:rPr>
      </w:pPr>
    </w:p>
    <w:p w:rsidR="00E0344D" w:rsidRPr="005F15DA" w:rsidRDefault="00E0344D" w:rsidP="008931CD">
      <w:pPr>
        <w:spacing w:line="240" w:lineRule="auto"/>
        <w:jc w:val="both"/>
        <w:rPr>
          <w:rFonts w:cs="Arial"/>
          <w:szCs w:val="22"/>
        </w:rPr>
      </w:pPr>
      <w:r w:rsidRPr="005F15DA">
        <w:rPr>
          <w:rFonts w:cs="Arial"/>
          <w:szCs w:val="22"/>
        </w:rPr>
        <w:t>Wenn dem Eigentümer die Sache vorenthalten wird, kann er sie mit der Herausgabeklage herausverlangen; bei ungerechtfertigter Einwirkung kann sich der Eigentümer mit der Eige</w:t>
      </w:r>
      <w:r w:rsidRPr="005F15DA">
        <w:rPr>
          <w:rFonts w:cs="Arial"/>
          <w:szCs w:val="22"/>
        </w:rPr>
        <w:t>n</w:t>
      </w:r>
      <w:r w:rsidRPr="005F15DA">
        <w:rPr>
          <w:rFonts w:cs="Arial"/>
          <w:szCs w:val="22"/>
        </w:rPr>
        <w:t>tumsfreiheitsklage wehren.</w:t>
      </w:r>
    </w:p>
    <w:p w:rsidR="00E0344D" w:rsidRPr="005F15DA" w:rsidRDefault="00E0344D" w:rsidP="008931CD">
      <w:pPr>
        <w:spacing w:line="240" w:lineRule="auto"/>
        <w:jc w:val="both"/>
        <w:rPr>
          <w:rFonts w:cs="Arial"/>
          <w:szCs w:val="22"/>
        </w:rPr>
      </w:pPr>
    </w:p>
    <w:p w:rsidR="00E0344D" w:rsidRPr="005F15DA" w:rsidRDefault="00E0344D" w:rsidP="008931CD">
      <w:pPr>
        <w:spacing w:line="240" w:lineRule="auto"/>
        <w:jc w:val="both"/>
        <w:rPr>
          <w:rFonts w:cs="Arial"/>
          <w:szCs w:val="22"/>
        </w:rPr>
      </w:pPr>
      <w:r w:rsidRPr="005F15DA">
        <w:rPr>
          <w:rFonts w:cs="Arial"/>
          <w:szCs w:val="22"/>
        </w:rPr>
        <w:t xml:space="preserve">Tiere gelten nicht als Sache. Soweit keine besonderen Regelungen für Tiere bestehen gelten </w:t>
      </w:r>
      <w:r w:rsidR="00D50B8C" w:rsidRPr="005F15DA">
        <w:rPr>
          <w:rFonts w:cs="Arial"/>
          <w:szCs w:val="22"/>
        </w:rPr>
        <w:t xml:space="preserve">aber </w:t>
      </w:r>
      <w:r w:rsidRPr="005F15DA">
        <w:rPr>
          <w:rFonts w:cs="Arial"/>
          <w:szCs w:val="22"/>
        </w:rPr>
        <w:t>für sie die auf Sachen anwendbaren Vorschriften.</w:t>
      </w:r>
    </w:p>
    <w:p w:rsidR="00E0344D" w:rsidRPr="005F15DA" w:rsidRDefault="00E0344D" w:rsidP="008931CD">
      <w:pPr>
        <w:spacing w:line="240" w:lineRule="auto"/>
        <w:jc w:val="both"/>
        <w:rPr>
          <w:rFonts w:cs="Arial"/>
          <w:szCs w:val="22"/>
        </w:rPr>
      </w:pPr>
    </w:p>
    <w:p w:rsidR="00E0344D" w:rsidRPr="005F15DA" w:rsidRDefault="00E0344D" w:rsidP="008931CD">
      <w:pPr>
        <w:spacing w:line="240" w:lineRule="auto"/>
        <w:jc w:val="both"/>
        <w:rPr>
          <w:rFonts w:cs="Arial"/>
          <w:szCs w:val="22"/>
        </w:rPr>
      </w:pPr>
      <w:r w:rsidRPr="005F15DA">
        <w:rPr>
          <w:rFonts w:cs="Arial"/>
          <w:szCs w:val="22"/>
        </w:rPr>
        <w:t xml:space="preserve">Zum </w:t>
      </w:r>
      <w:r w:rsidRPr="005F15DA">
        <w:rPr>
          <w:rFonts w:cs="Arial"/>
          <w:b/>
          <w:szCs w:val="22"/>
        </w:rPr>
        <w:t>Umfang des Eigentums</w:t>
      </w:r>
      <w:r w:rsidRPr="005F15DA">
        <w:rPr>
          <w:rFonts w:cs="Arial"/>
          <w:szCs w:val="22"/>
        </w:rPr>
        <w:t xml:space="preserve"> gehören </w:t>
      </w:r>
    </w:p>
    <w:p w:rsidR="00E0344D" w:rsidRPr="005F15DA" w:rsidRDefault="00E0344D" w:rsidP="008931CD">
      <w:pPr>
        <w:spacing w:line="240" w:lineRule="auto"/>
        <w:jc w:val="both"/>
        <w:rPr>
          <w:rFonts w:cs="Arial"/>
          <w:szCs w:val="22"/>
        </w:rPr>
      </w:pPr>
      <w:r w:rsidRPr="005F15DA">
        <w:rPr>
          <w:rFonts w:cs="Arial"/>
          <w:szCs w:val="22"/>
        </w:rPr>
        <w:t>die Bestandteile</w:t>
      </w:r>
      <w:r w:rsidR="00566A86" w:rsidRPr="005F15DA">
        <w:rPr>
          <w:rFonts w:cs="Arial"/>
          <w:szCs w:val="22"/>
        </w:rPr>
        <w:t>,</w:t>
      </w:r>
    </w:p>
    <w:p w:rsidR="00E0344D" w:rsidRPr="005F15DA" w:rsidRDefault="00E0344D" w:rsidP="008931CD">
      <w:pPr>
        <w:spacing w:line="240" w:lineRule="auto"/>
        <w:jc w:val="both"/>
        <w:rPr>
          <w:rFonts w:cs="Arial"/>
          <w:szCs w:val="22"/>
        </w:rPr>
      </w:pPr>
      <w:r w:rsidRPr="005F15DA">
        <w:rPr>
          <w:rFonts w:cs="Arial"/>
          <w:szCs w:val="22"/>
        </w:rPr>
        <w:t>die natürlichen Früchte</w:t>
      </w:r>
      <w:r w:rsidR="00566A86" w:rsidRPr="005F15DA">
        <w:rPr>
          <w:rFonts w:cs="Arial"/>
          <w:szCs w:val="22"/>
        </w:rPr>
        <w:t>, und</w:t>
      </w:r>
    </w:p>
    <w:p w:rsidR="00E0344D" w:rsidRPr="005F15DA" w:rsidRDefault="00E0344D" w:rsidP="008931CD">
      <w:pPr>
        <w:spacing w:line="240" w:lineRule="auto"/>
        <w:jc w:val="both"/>
        <w:rPr>
          <w:rFonts w:cs="Arial"/>
          <w:szCs w:val="22"/>
        </w:rPr>
      </w:pPr>
      <w:r w:rsidRPr="005F15DA">
        <w:rPr>
          <w:rFonts w:cs="Arial"/>
          <w:szCs w:val="22"/>
        </w:rPr>
        <w:t>die Zugehör.</w:t>
      </w:r>
    </w:p>
    <w:p w:rsidR="00E0344D" w:rsidRPr="005F15DA" w:rsidRDefault="00E0344D" w:rsidP="008931CD">
      <w:pPr>
        <w:spacing w:line="240" w:lineRule="auto"/>
        <w:jc w:val="both"/>
        <w:rPr>
          <w:rFonts w:cs="Arial"/>
          <w:szCs w:val="22"/>
        </w:rPr>
      </w:pPr>
    </w:p>
    <w:p w:rsidR="00C9333A" w:rsidRPr="005F15DA" w:rsidRDefault="00E0344D" w:rsidP="008931CD">
      <w:pPr>
        <w:spacing w:line="240" w:lineRule="auto"/>
        <w:jc w:val="both"/>
        <w:rPr>
          <w:rFonts w:cs="Arial"/>
          <w:szCs w:val="22"/>
        </w:rPr>
      </w:pPr>
      <w:r w:rsidRPr="005F15DA">
        <w:rPr>
          <w:rFonts w:cs="Arial"/>
          <w:szCs w:val="22"/>
        </w:rPr>
        <w:t xml:space="preserve">Als </w:t>
      </w:r>
      <w:r w:rsidRPr="005F15DA">
        <w:rPr>
          <w:rFonts w:cs="Arial"/>
          <w:b/>
          <w:szCs w:val="22"/>
        </w:rPr>
        <w:t>Bestandteile</w:t>
      </w:r>
      <w:r w:rsidRPr="005F15DA">
        <w:rPr>
          <w:rFonts w:cs="Arial"/>
          <w:szCs w:val="22"/>
        </w:rPr>
        <w:t xml:space="preserve"> bezeichnet man alles, was </w:t>
      </w:r>
      <w:r w:rsidR="000D6BA6" w:rsidRPr="005F15DA">
        <w:rPr>
          <w:rFonts w:cs="Arial"/>
          <w:szCs w:val="22"/>
        </w:rPr>
        <w:t xml:space="preserve">nach ortsüblicher Auffassung </w:t>
      </w:r>
      <w:r w:rsidRPr="005F15DA">
        <w:rPr>
          <w:rFonts w:cs="Arial"/>
          <w:szCs w:val="22"/>
        </w:rPr>
        <w:t>zur Hauptsache gehört und ohne Zerstörung, Beschädigung oder Veränderung der Hauptsach</w:t>
      </w:r>
      <w:r w:rsidR="00566A86" w:rsidRPr="005F15DA">
        <w:rPr>
          <w:rFonts w:cs="Arial"/>
          <w:szCs w:val="22"/>
        </w:rPr>
        <w:t>e, nicht abg</w:t>
      </w:r>
      <w:r w:rsidR="00566A86" w:rsidRPr="005F15DA">
        <w:rPr>
          <w:rFonts w:cs="Arial"/>
          <w:szCs w:val="22"/>
        </w:rPr>
        <w:t>e</w:t>
      </w:r>
      <w:r w:rsidR="00566A86" w:rsidRPr="005F15DA">
        <w:rPr>
          <w:rFonts w:cs="Arial"/>
          <w:szCs w:val="22"/>
        </w:rPr>
        <w:t>trennt werden kann (</w:t>
      </w:r>
      <w:r w:rsidR="0076718A" w:rsidRPr="005F15DA">
        <w:rPr>
          <w:rFonts w:cs="Arial"/>
          <w:szCs w:val="22"/>
        </w:rPr>
        <w:t>Bsp.</w:t>
      </w:r>
      <w:r w:rsidR="00566A86" w:rsidRPr="005F15DA">
        <w:rPr>
          <w:rFonts w:cs="Arial"/>
          <w:szCs w:val="22"/>
        </w:rPr>
        <w:t>: der Baum auf dem Grundstück</w:t>
      </w:r>
      <w:r w:rsidR="008664CE" w:rsidRPr="005F15DA">
        <w:rPr>
          <w:rFonts w:cs="Arial"/>
          <w:szCs w:val="22"/>
        </w:rPr>
        <w:t>, das mit dem Boden fest verbund</w:t>
      </w:r>
      <w:r w:rsidR="008664CE" w:rsidRPr="005F15DA">
        <w:rPr>
          <w:rFonts w:cs="Arial"/>
          <w:szCs w:val="22"/>
        </w:rPr>
        <w:t>e</w:t>
      </w:r>
      <w:r w:rsidR="008664CE" w:rsidRPr="005F15DA">
        <w:rPr>
          <w:rFonts w:cs="Arial"/>
          <w:szCs w:val="22"/>
        </w:rPr>
        <w:t>ne Gebäude</w:t>
      </w:r>
      <w:r w:rsidR="00566A86" w:rsidRPr="005F15DA">
        <w:rPr>
          <w:rFonts w:cs="Arial"/>
          <w:szCs w:val="22"/>
        </w:rPr>
        <w:t xml:space="preserve">). Solange </w:t>
      </w:r>
      <w:r w:rsidR="00566A86" w:rsidRPr="005F15DA">
        <w:rPr>
          <w:rFonts w:cs="Arial"/>
          <w:b/>
          <w:szCs w:val="22"/>
        </w:rPr>
        <w:t>natürliche Früchte</w:t>
      </w:r>
      <w:r w:rsidR="00566A86" w:rsidRPr="005F15DA">
        <w:rPr>
          <w:rFonts w:cs="Arial"/>
          <w:szCs w:val="22"/>
        </w:rPr>
        <w:t xml:space="preserve"> (</w:t>
      </w:r>
      <w:r w:rsidR="0076718A" w:rsidRPr="005F15DA">
        <w:rPr>
          <w:rFonts w:cs="Arial"/>
          <w:szCs w:val="22"/>
        </w:rPr>
        <w:t>z.B.</w:t>
      </w:r>
      <w:r w:rsidR="00566A86" w:rsidRPr="005F15DA">
        <w:rPr>
          <w:rFonts w:cs="Arial"/>
          <w:szCs w:val="22"/>
        </w:rPr>
        <w:t xml:space="preserve"> Äpfel, Kartoffeln) nicht vom Apfelbaum bzw. Boden getrennt sind, sind sie Bestandteile der</w:t>
      </w:r>
      <w:r w:rsidR="00C9333A" w:rsidRPr="005F15DA">
        <w:rPr>
          <w:rFonts w:cs="Arial"/>
          <w:szCs w:val="22"/>
        </w:rPr>
        <w:t xml:space="preserve"> Hauptsache (Apfelbaum, Boden).</w:t>
      </w:r>
    </w:p>
    <w:p w:rsidR="00C9333A" w:rsidRPr="005F15DA" w:rsidRDefault="00C9333A" w:rsidP="008931CD">
      <w:pPr>
        <w:spacing w:line="240" w:lineRule="auto"/>
        <w:jc w:val="both"/>
        <w:rPr>
          <w:rFonts w:cs="Arial"/>
          <w:b/>
          <w:szCs w:val="22"/>
        </w:rPr>
      </w:pPr>
    </w:p>
    <w:p w:rsidR="00E0344D" w:rsidRPr="005F15DA" w:rsidRDefault="00566A86" w:rsidP="008931CD">
      <w:pPr>
        <w:spacing w:line="240" w:lineRule="auto"/>
        <w:jc w:val="both"/>
        <w:rPr>
          <w:rFonts w:cs="Arial"/>
          <w:szCs w:val="22"/>
        </w:rPr>
      </w:pPr>
      <w:r w:rsidRPr="005F15DA">
        <w:rPr>
          <w:rFonts w:cs="Arial"/>
          <w:b/>
          <w:szCs w:val="22"/>
        </w:rPr>
        <w:t>Zugehör</w:t>
      </w:r>
      <w:r w:rsidRPr="005F15DA">
        <w:rPr>
          <w:rFonts w:cs="Arial"/>
          <w:szCs w:val="22"/>
        </w:rPr>
        <w:t xml:space="preserve"> sind bewegliche Sachen, die </w:t>
      </w:r>
      <w:r w:rsidR="000D6BA6" w:rsidRPr="005F15DA">
        <w:rPr>
          <w:rFonts w:cs="Arial"/>
          <w:szCs w:val="22"/>
        </w:rPr>
        <w:t xml:space="preserve">entweder </w:t>
      </w:r>
      <w:r w:rsidRPr="005F15DA">
        <w:rPr>
          <w:rFonts w:cs="Arial"/>
          <w:szCs w:val="22"/>
        </w:rPr>
        <w:t xml:space="preserve">nach ortsüblicher Auffassung oder nach dem klaren Willen des Eigentümers </w:t>
      </w:r>
      <w:r w:rsidR="008664CE" w:rsidRPr="005F15DA">
        <w:rPr>
          <w:rFonts w:cs="Arial"/>
          <w:szCs w:val="22"/>
        </w:rPr>
        <w:t xml:space="preserve">der </w:t>
      </w:r>
      <w:r w:rsidRPr="005F15DA">
        <w:rPr>
          <w:rFonts w:cs="Arial"/>
          <w:szCs w:val="22"/>
        </w:rPr>
        <w:t>Hauptsache für die Bewirtschaftung, Benutzung oder Ve</w:t>
      </w:r>
      <w:r w:rsidRPr="005F15DA">
        <w:rPr>
          <w:rFonts w:cs="Arial"/>
          <w:szCs w:val="22"/>
        </w:rPr>
        <w:t>r</w:t>
      </w:r>
      <w:r w:rsidRPr="005F15DA">
        <w:rPr>
          <w:rFonts w:cs="Arial"/>
          <w:szCs w:val="22"/>
        </w:rPr>
        <w:t xml:space="preserve">wahrung </w:t>
      </w:r>
      <w:r w:rsidR="008664CE" w:rsidRPr="005F15DA">
        <w:rPr>
          <w:rFonts w:cs="Arial"/>
          <w:szCs w:val="22"/>
          <w:u w:val="single"/>
        </w:rPr>
        <w:t>dauernd</w:t>
      </w:r>
      <w:r w:rsidR="008664CE" w:rsidRPr="005F15DA">
        <w:rPr>
          <w:rFonts w:cs="Arial"/>
          <w:szCs w:val="22"/>
        </w:rPr>
        <w:t xml:space="preserve"> </w:t>
      </w:r>
      <w:r w:rsidRPr="005F15DA">
        <w:rPr>
          <w:rFonts w:cs="Arial"/>
          <w:szCs w:val="22"/>
        </w:rPr>
        <w:t>die</w:t>
      </w:r>
      <w:r w:rsidR="008664CE" w:rsidRPr="005F15DA">
        <w:rPr>
          <w:rFonts w:cs="Arial"/>
          <w:szCs w:val="22"/>
        </w:rPr>
        <w:t>nen; dabei wird die Zugehör durch Verbindung, Anpassung oder auf andere Weise in Beziehung zur Hauptsache gebracht. Mit der Anmerkung im Grundbuch "Z</w:t>
      </w:r>
      <w:r w:rsidR="008664CE" w:rsidRPr="005F15DA">
        <w:rPr>
          <w:rFonts w:cs="Arial"/>
          <w:szCs w:val="22"/>
        </w:rPr>
        <w:t>u</w:t>
      </w:r>
      <w:r w:rsidR="008664CE" w:rsidRPr="005F15DA">
        <w:rPr>
          <w:rFonts w:cs="Arial"/>
          <w:szCs w:val="22"/>
        </w:rPr>
        <w:t>gehör: Maschinen und Mobiliar im Werte von Fr. …" erklärt der Grundeigentümer ausdrüc</w:t>
      </w:r>
      <w:r w:rsidR="008664CE" w:rsidRPr="005F15DA">
        <w:rPr>
          <w:rFonts w:cs="Arial"/>
          <w:szCs w:val="22"/>
        </w:rPr>
        <w:t>k</w:t>
      </w:r>
      <w:r w:rsidR="008664CE" w:rsidRPr="005F15DA">
        <w:rPr>
          <w:rFonts w:cs="Arial"/>
          <w:szCs w:val="22"/>
        </w:rPr>
        <w:t xml:space="preserve">lich, dass bestimmte Maschinen und Mobiliar Zugehör eines Grundstückes </w:t>
      </w:r>
      <w:r w:rsidR="00C9333A" w:rsidRPr="005F15DA">
        <w:rPr>
          <w:rFonts w:cs="Arial"/>
          <w:szCs w:val="22"/>
        </w:rPr>
        <w:t xml:space="preserve">sind </w:t>
      </w:r>
      <w:r w:rsidR="008664CE" w:rsidRPr="005F15DA">
        <w:rPr>
          <w:rFonts w:cs="Arial"/>
          <w:szCs w:val="22"/>
        </w:rPr>
        <w:t>(und den Grundpfandgläubigern als zusätzliche Sicherheit dienen).</w:t>
      </w:r>
      <w:r w:rsidR="000D6BA6" w:rsidRPr="005F15DA">
        <w:rPr>
          <w:rFonts w:cs="Arial"/>
          <w:szCs w:val="22"/>
        </w:rPr>
        <w:t xml:space="preserve"> Im Kanton Bern gelten bei industr</w:t>
      </w:r>
      <w:r w:rsidR="000D6BA6" w:rsidRPr="005F15DA">
        <w:rPr>
          <w:rFonts w:cs="Arial"/>
          <w:szCs w:val="22"/>
        </w:rPr>
        <w:t>i</w:t>
      </w:r>
      <w:r w:rsidR="000D6BA6" w:rsidRPr="005F15DA">
        <w:rPr>
          <w:rFonts w:cs="Arial"/>
          <w:szCs w:val="22"/>
        </w:rPr>
        <w:t>ellen und gewerblichen Gebäuden die zum Geschäftsbetrieb dienenden Beweglichkeiten (Maschinen, Hotelmobiliar usw.) als Zugehör (Art. 75 Abs. 1 EG ZGB).</w:t>
      </w:r>
    </w:p>
    <w:p w:rsidR="000D6BA6" w:rsidRPr="005F15DA" w:rsidRDefault="000D6BA6" w:rsidP="008931CD">
      <w:pPr>
        <w:spacing w:line="240" w:lineRule="auto"/>
        <w:jc w:val="both"/>
        <w:rPr>
          <w:rFonts w:cs="Arial"/>
          <w:szCs w:val="22"/>
        </w:rPr>
      </w:pPr>
    </w:p>
    <w:p w:rsidR="000D6BA6" w:rsidRPr="005F15DA" w:rsidRDefault="000D6BA6" w:rsidP="008931CD">
      <w:pPr>
        <w:spacing w:line="240" w:lineRule="auto"/>
        <w:jc w:val="both"/>
        <w:rPr>
          <w:rFonts w:cs="Arial"/>
          <w:szCs w:val="22"/>
        </w:rPr>
      </w:pPr>
      <w:r w:rsidRPr="005F15DA">
        <w:rPr>
          <w:rFonts w:cs="Arial"/>
          <w:szCs w:val="22"/>
        </w:rPr>
        <w:t>Wenn der Eigentümer über die Sache verfügt, verfügt er gleichzeitig auch über die Bestan</w:t>
      </w:r>
      <w:r w:rsidRPr="005F15DA">
        <w:rPr>
          <w:rFonts w:cs="Arial"/>
          <w:szCs w:val="22"/>
        </w:rPr>
        <w:t>d</w:t>
      </w:r>
      <w:r w:rsidRPr="005F15DA">
        <w:rPr>
          <w:rFonts w:cs="Arial"/>
          <w:szCs w:val="22"/>
        </w:rPr>
        <w:t>teile und die Zugehör.</w:t>
      </w:r>
    </w:p>
    <w:p w:rsidR="008664CE" w:rsidRPr="005F15DA" w:rsidRDefault="008664CE" w:rsidP="008931CD">
      <w:pPr>
        <w:spacing w:line="240" w:lineRule="auto"/>
        <w:jc w:val="both"/>
        <w:rPr>
          <w:rFonts w:cs="Arial"/>
          <w:szCs w:val="22"/>
        </w:rPr>
      </w:pPr>
    </w:p>
    <w:p w:rsidR="008664CE" w:rsidRPr="005F15DA" w:rsidRDefault="008664CE" w:rsidP="008931CD">
      <w:pPr>
        <w:spacing w:line="240" w:lineRule="auto"/>
        <w:jc w:val="both"/>
        <w:rPr>
          <w:rFonts w:cs="Arial"/>
          <w:szCs w:val="22"/>
        </w:rPr>
      </w:pPr>
      <w:r w:rsidRPr="005F15DA">
        <w:rPr>
          <w:rFonts w:cs="Arial"/>
          <w:szCs w:val="22"/>
        </w:rPr>
        <w:t>Beim Eigentum unterscheidet man 3 Arten, nämlich das</w:t>
      </w:r>
    </w:p>
    <w:p w:rsidR="008664CE" w:rsidRPr="005F15DA" w:rsidRDefault="008664CE" w:rsidP="009D34F3">
      <w:pPr>
        <w:pStyle w:val="Listenabsatz"/>
        <w:numPr>
          <w:ilvl w:val="0"/>
          <w:numId w:val="57"/>
        </w:numPr>
        <w:spacing w:line="240" w:lineRule="auto"/>
        <w:ind w:left="426" w:hanging="426"/>
        <w:jc w:val="both"/>
        <w:rPr>
          <w:rFonts w:cs="Arial"/>
          <w:szCs w:val="22"/>
        </w:rPr>
      </w:pPr>
      <w:r w:rsidRPr="005F15DA">
        <w:rPr>
          <w:rFonts w:cs="Arial"/>
          <w:b/>
          <w:szCs w:val="22"/>
        </w:rPr>
        <w:t>Alleineigentum</w:t>
      </w:r>
      <w:r w:rsidRPr="005F15DA">
        <w:rPr>
          <w:rFonts w:cs="Arial"/>
          <w:szCs w:val="22"/>
        </w:rPr>
        <w:t xml:space="preserve"> (</w:t>
      </w:r>
      <w:r w:rsidR="000D6BA6" w:rsidRPr="005F15DA">
        <w:rPr>
          <w:rFonts w:cs="Arial"/>
          <w:szCs w:val="22"/>
        </w:rPr>
        <w:t xml:space="preserve">eine einzelne natürliche oder juristische </w:t>
      </w:r>
      <w:r w:rsidRPr="005F15DA">
        <w:rPr>
          <w:rFonts w:cs="Arial"/>
          <w:szCs w:val="22"/>
        </w:rPr>
        <w:t>Person ist Eigentümer),</w:t>
      </w:r>
    </w:p>
    <w:p w:rsidR="008664CE" w:rsidRPr="005F15DA" w:rsidRDefault="008664CE" w:rsidP="009D34F3">
      <w:pPr>
        <w:pStyle w:val="Listenabsatz"/>
        <w:numPr>
          <w:ilvl w:val="0"/>
          <w:numId w:val="57"/>
        </w:numPr>
        <w:spacing w:line="240" w:lineRule="auto"/>
        <w:ind w:left="426" w:hanging="426"/>
        <w:jc w:val="both"/>
        <w:rPr>
          <w:rFonts w:cs="Arial"/>
          <w:szCs w:val="22"/>
        </w:rPr>
      </w:pPr>
      <w:r w:rsidRPr="005F15DA">
        <w:rPr>
          <w:rFonts w:cs="Arial"/>
          <w:b/>
          <w:szCs w:val="22"/>
        </w:rPr>
        <w:t>Miteigentum</w:t>
      </w:r>
      <w:r w:rsidRPr="005F15DA">
        <w:rPr>
          <w:rFonts w:cs="Arial"/>
          <w:szCs w:val="22"/>
        </w:rPr>
        <w:t xml:space="preserve"> (mehrere Personen sind Eigentümer nach Bruchteilen und ohne äussere </w:t>
      </w:r>
      <w:r w:rsidR="00C9333A" w:rsidRPr="005F15DA">
        <w:rPr>
          <w:rFonts w:cs="Arial"/>
          <w:szCs w:val="22"/>
        </w:rPr>
        <w:t>Abgrenzung</w:t>
      </w:r>
      <w:r w:rsidRPr="005F15DA">
        <w:rPr>
          <w:rFonts w:cs="Arial"/>
          <w:szCs w:val="22"/>
        </w:rPr>
        <w:t>),</w:t>
      </w:r>
    </w:p>
    <w:p w:rsidR="008664CE" w:rsidRPr="005F15DA" w:rsidRDefault="008664CE" w:rsidP="009D34F3">
      <w:pPr>
        <w:pStyle w:val="Listenabsatz"/>
        <w:numPr>
          <w:ilvl w:val="0"/>
          <w:numId w:val="57"/>
        </w:numPr>
        <w:spacing w:line="240" w:lineRule="auto"/>
        <w:ind w:left="426" w:hanging="426"/>
        <w:jc w:val="both"/>
        <w:rPr>
          <w:rFonts w:cs="Arial"/>
          <w:szCs w:val="22"/>
        </w:rPr>
      </w:pPr>
      <w:r w:rsidRPr="005F15DA">
        <w:rPr>
          <w:rFonts w:cs="Arial"/>
          <w:b/>
          <w:szCs w:val="22"/>
        </w:rPr>
        <w:t>Gesamteigentum</w:t>
      </w:r>
      <w:r w:rsidRPr="005F15DA">
        <w:rPr>
          <w:rFonts w:cs="Arial"/>
          <w:szCs w:val="22"/>
        </w:rPr>
        <w:t xml:space="preserve"> (mehrere Personen sind Eigentümer, ihre Anteile sind aber von au</w:t>
      </w:r>
      <w:r w:rsidRPr="005F15DA">
        <w:rPr>
          <w:rFonts w:cs="Arial"/>
          <w:szCs w:val="22"/>
        </w:rPr>
        <w:t>s</w:t>
      </w:r>
      <w:r w:rsidRPr="005F15DA">
        <w:rPr>
          <w:rFonts w:cs="Arial"/>
          <w:szCs w:val="22"/>
        </w:rPr>
        <w:t>sen nicht ersichtlich</w:t>
      </w:r>
      <w:r w:rsidR="00952242" w:rsidRPr="005F15DA">
        <w:rPr>
          <w:rFonts w:cs="Arial"/>
          <w:szCs w:val="22"/>
        </w:rPr>
        <w:t xml:space="preserve"> (das Recht geht auf die ganze Sache)</w:t>
      </w:r>
      <w:r w:rsidR="001A4B68" w:rsidRPr="005F15DA">
        <w:rPr>
          <w:rFonts w:cs="Arial"/>
          <w:szCs w:val="22"/>
        </w:rPr>
        <w:t xml:space="preserve">, </w:t>
      </w:r>
      <w:r w:rsidR="0076718A" w:rsidRPr="005F15DA">
        <w:rPr>
          <w:rFonts w:cs="Arial"/>
          <w:szCs w:val="22"/>
        </w:rPr>
        <w:t>z.B.</w:t>
      </w:r>
      <w:r w:rsidR="001A4B68" w:rsidRPr="005F15DA">
        <w:rPr>
          <w:rFonts w:cs="Arial"/>
          <w:szCs w:val="22"/>
        </w:rPr>
        <w:t xml:space="preserve"> Erbengemeinschaft, Ehegatten unter Gütergemeinschaft, einfache Gesellschaft).</w:t>
      </w:r>
    </w:p>
    <w:p w:rsidR="001A4B68" w:rsidRPr="005F15DA" w:rsidRDefault="001A4B68" w:rsidP="008931CD">
      <w:pPr>
        <w:spacing w:line="240" w:lineRule="auto"/>
        <w:jc w:val="both"/>
        <w:rPr>
          <w:rFonts w:cs="Arial"/>
          <w:szCs w:val="22"/>
        </w:rPr>
      </w:pPr>
    </w:p>
    <w:p w:rsidR="009457AB" w:rsidRPr="005F15DA" w:rsidRDefault="009457AB" w:rsidP="008931CD">
      <w:pPr>
        <w:spacing w:line="240" w:lineRule="auto"/>
        <w:jc w:val="both"/>
        <w:rPr>
          <w:rFonts w:cs="Arial"/>
          <w:szCs w:val="22"/>
        </w:rPr>
      </w:pPr>
    </w:p>
    <w:p w:rsidR="00D50B8C" w:rsidRPr="005F15DA" w:rsidRDefault="00D50B8C" w:rsidP="008931CD">
      <w:pPr>
        <w:spacing w:line="240" w:lineRule="auto"/>
        <w:jc w:val="both"/>
        <w:rPr>
          <w:rFonts w:cs="Arial"/>
          <w:szCs w:val="22"/>
        </w:rPr>
      </w:pPr>
    </w:p>
    <w:p w:rsidR="00D50B8C" w:rsidRPr="005F15DA" w:rsidRDefault="00383D9B" w:rsidP="009457AB">
      <w:pPr>
        <w:pStyle w:val="berschrift3"/>
        <w:rPr>
          <w:lang w:val="de-CH"/>
        </w:rPr>
      </w:pPr>
      <w:bookmarkStart w:id="133" w:name="_Toc432175653"/>
      <w:r w:rsidRPr="005F15DA">
        <w:rPr>
          <w:lang w:val="de-CH"/>
        </w:rPr>
        <w:lastRenderedPageBreak/>
        <w:t>B</w:t>
      </w:r>
      <w:r w:rsidR="009457AB" w:rsidRPr="005F15DA">
        <w:rPr>
          <w:lang w:val="de-CH"/>
        </w:rPr>
        <w:t>.</w:t>
      </w:r>
      <w:r w:rsidR="009457AB" w:rsidRPr="005F15DA">
        <w:rPr>
          <w:lang w:val="de-CH"/>
        </w:rPr>
        <w:tab/>
      </w:r>
      <w:r w:rsidR="00D50B8C" w:rsidRPr="005F15DA">
        <w:rPr>
          <w:lang w:val="de-CH"/>
        </w:rPr>
        <w:t>Miteigentum (Art. 646 ff. ZGB)</w:t>
      </w:r>
      <w:bookmarkEnd w:id="133"/>
    </w:p>
    <w:p w:rsidR="009457AB" w:rsidRPr="005F15DA" w:rsidRDefault="009457AB" w:rsidP="008931CD">
      <w:pPr>
        <w:spacing w:line="240" w:lineRule="auto"/>
        <w:jc w:val="both"/>
        <w:rPr>
          <w:rFonts w:cs="Arial"/>
          <w:szCs w:val="22"/>
        </w:rPr>
      </w:pPr>
    </w:p>
    <w:p w:rsidR="001A4B68" w:rsidRPr="005F15DA" w:rsidRDefault="001A4B68" w:rsidP="008931CD">
      <w:pPr>
        <w:spacing w:line="240" w:lineRule="auto"/>
        <w:jc w:val="both"/>
        <w:rPr>
          <w:rFonts w:cs="Arial"/>
          <w:szCs w:val="22"/>
        </w:rPr>
      </w:pPr>
      <w:r w:rsidRPr="005F15DA">
        <w:rPr>
          <w:rFonts w:cs="Arial"/>
          <w:szCs w:val="22"/>
        </w:rPr>
        <w:t xml:space="preserve">Beim </w:t>
      </w:r>
      <w:r w:rsidR="00D50B8C" w:rsidRPr="005F15DA">
        <w:rPr>
          <w:rFonts w:cs="Arial"/>
          <w:szCs w:val="22"/>
        </w:rPr>
        <w:t xml:space="preserve">(gewöhnlichen) </w:t>
      </w:r>
      <w:r w:rsidRPr="005F15DA">
        <w:rPr>
          <w:rFonts w:cs="Arial"/>
          <w:szCs w:val="22"/>
        </w:rPr>
        <w:t xml:space="preserve">Miteigentum gehört eine Sache </w:t>
      </w:r>
      <w:r w:rsidRPr="005F15DA">
        <w:rPr>
          <w:rFonts w:cs="Arial"/>
          <w:b/>
          <w:szCs w:val="22"/>
        </w:rPr>
        <w:t xml:space="preserve">mehreren Personen </w:t>
      </w:r>
      <w:r w:rsidR="000D6BA6" w:rsidRPr="005F15DA">
        <w:rPr>
          <w:rFonts w:cs="Arial"/>
          <w:b/>
          <w:szCs w:val="22"/>
        </w:rPr>
        <w:t xml:space="preserve">gemeinsam </w:t>
      </w:r>
      <w:r w:rsidRPr="005F15DA">
        <w:rPr>
          <w:rFonts w:cs="Arial"/>
          <w:b/>
          <w:szCs w:val="22"/>
        </w:rPr>
        <w:t>und zwar nach Bruchteilen</w:t>
      </w:r>
      <w:r w:rsidR="00BB2E2B" w:rsidRPr="005F15DA">
        <w:rPr>
          <w:rFonts w:cs="Arial"/>
          <w:b/>
          <w:szCs w:val="22"/>
        </w:rPr>
        <w:t xml:space="preserve"> und ohne äussere Abgrenzung</w:t>
      </w:r>
      <w:r w:rsidR="002F6EBE" w:rsidRPr="005F15DA">
        <w:rPr>
          <w:rFonts w:cs="Arial"/>
          <w:szCs w:val="22"/>
        </w:rPr>
        <w:t xml:space="preserve"> (ein Mehrfamilienhaus gehört 2 Geschwistern als Miteigentümer; jedem Geschwister gehört ½ Anteil des gesamten Gebä</w:t>
      </w:r>
      <w:r w:rsidR="002F6EBE" w:rsidRPr="005F15DA">
        <w:rPr>
          <w:rFonts w:cs="Arial"/>
          <w:szCs w:val="22"/>
        </w:rPr>
        <w:t>u</w:t>
      </w:r>
      <w:r w:rsidR="002F6EBE" w:rsidRPr="005F15DA">
        <w:rPr>
          <w:rFonts w:cs="Arial"/>
          <w:szCs w:val="22"/>
        </w:rPr>
        <w:t>des</w:t>
      </w:r>
      <w:r w:rsidR="00C9333A" w:rsidRPr="005F15DA">
        <w:rPr>
          <w:rFonts w:cs="Arial"/>
          <w:szCs w:val="22"/>
        </w:rPr>
        <w:t xml:space="preserve"> inkl. Boden</w:t>
      </w:r>
      <w:r w:rsidR="002F6EBE" w:rsidRPr="005F15DA">
        <w:rPr>
          <w:rFonts w:cs="Arial"/>
          <w:szCs w:val="22"/>
        </w:rPr>
        <w:t>)</w:t>
      </w:r>
      <w:r w:rsidRPr="005F15DA">
        <w:rPr>
          <w:rFonts w:cs="Arial"/>
          <w:szCs w:val="22"/>
        </w:rPr>
        <w:t>. Wenn die Bruchteile nicht ersichtlich sind, gehört die Sache den Miteige</w:t>
      </w:r>
      <w:r w:rsidRPr="005F15DA">
        <w:rPr>
          <w:rFonts w:cs="Arial"/>
          <w:szCs w:val="22"/>
        </w:rPr>
        <w:t>n</w:t>
      </w:r>
      <w:r w:rsidRPr="005F15DA">
        <w:rPr>
          <w:rFonts w:cs="Arial"/>
          <w:szCs w:val="22"/>
        </w:rPr>
        <w:t>tümern zu gleichen Teilen. Jeder Miteigentümer verfügt über seinen Anteil wie ein Eigent</w:t>
      </w:r>
      <w:r w:rsidRPr="005F15DA">
        <w:rPr>
          <w:rFonts w:cs="Arial"/>
          <w:szCs w:val="22"/>
        </w:rPr>
        <w:t>ü</w:t>
      </w:r>
      <w:r w:rsidRPr="005F15DA">
        <w:rPr>
          <w:rFonts w:cs="Arial"/>
          <w:szCs w:val="22"/>
        </w:rPr>
        <w:t>mer, kann seinen Anteil also veräussern oder verpfänden; zudem kann der Miteigentumsa</w:t>
      </w:r>
      <w:r w:rsidRPr="005F15DA">
        <w:rPr>
          <w:rFonts w:cs="Arial"/>
          <w:szCs w:val="22"/>
        </w:rPr>
        <w:t>n</w:t>
      </w:r>
      <w:r w:rsidRPr="005F15DA">
        <w:rPr>
          <w:rFonts w:cs="Arial"/>
          <w:szCs w:val="22"/>
        </w:rPr>
        <w:t>teil von den Gläubigern des Eigentümers gepfändet werden.</w:t>
      </w:r>
      <w:r w:rsidR="003C5EB8" w:rsidRPr="005F15DA">
        <w:rPr>
          <w:rFonts w:cs="Arial"/>
          <w:szCs w:val="22"/>
        </w:rPr>
        <w:t xml:space="preserve"> Beim Grundeigentum können die Miteigentümer die Anlage von separaten Grundbuchblättern verlangen; werden Miteige</w:t>
      </w:r>
      <w:r w:rsidR="003C5EB8" w:rsidRPr="005F15DA">
        <w:rPr>
          <w:rFonts w:cs="Arial"/>
          <w:szCs w:val="22"/>
        </w:rPr>
        <w:t>n</w:t>
      </w:r>
      <w:r w:rsidR="003C5EB8" w:rsidRPr="005F15DA">
        <w:rPr>
          <w:rFonts w:cs="Arial"/>
          <w:szCs w:val="22"/>
        </w:rPr>
        <w:t>tumsanteile separat (unterschiedlich) verpfändet, müssen separate Grundbuchblätter ang</w:t>
      </w:r>
      <w:r w:rsidR="003C5EB8" w:rsidRPr="005F15DA">
        <w:rPr>
          <w:rFonts w:cs="Arial"/>
          <w:szCs w:val="22"/>
        </w:rPr>
        <w:t>e</w:t>
      </w:r>
      <w:r w:rsidR="003C5EB8" w:rsidRPr="005F15DA">
        <w:rPr>
          <w:rFonts w:cs="Arial"/>
          <w:szCs w:val="22"/>
        </w:rPr>
        <w:t>legt werden (z.B. Grundstück Nr. 2100 = Hauptblatt oder ganzes Grundstück, Grundstück Nr. 2100-1 = Miteigentumsanteil).</w:t>
      </w:r>
    </w:p>
    <w:p w:rsidR="00952242" w:rsidRPr="005F15DA" w:rsidRDefault="00952242" w:rsidP="008931CD">
      <w:pPr>
        <w:spacing w:line="240" w:lineRule="auto"/>
        <w:jc w:val="both"/>
        <w:rPr>
          <w:rFonts w:cs="Arial"/>
          <w:szCs w:val="22"/>
        </w:rPr>
      </w:pPr>
    </w:p>
    <w:p w:rsidR="00952242" w:rsidRPr="005F15DA" w:rsidRDefault="00952242" w:rsidP="008931CD">
      <w:pPr>
        <w:spacing w:line="240" w:lineRule="auto"/>
        <w:jc w:val="both"/>
        <w:rPr>
          <w:rFonts w:cs="Arial"/>
          <w:szCs w:val="22"/>
        </w:rPr>
      </w:pPr>
      <w:r w:rsidRPr="005F15DA">
        <w:rPr>
          <w:rFonts w:cs="Arial"/>
          <w:szCs w:val="22"/>
        </w:rPr>
        <w:t xml:space="preserve">Für die </w:t>
      </w:r>
      <w:r w:rsidRPr="005F15DA">
        <w:rPr>
          <w:rFonts w:cs="Arial"/>
          <w:b/>
          <w:szCs w:val="22"/>
        </w:rPr>
        <w:t xml:space="preserve">Verwaltung und Nutzung des Miteigentums </w:t>
      </w:r>
      <w:r w:rsidRPr="005F15DA">
        <w:rPr>
          <w:rFonts w:cs="Arial"/>
          <w:szCs w:val="22"/>
        </w:rPr>
        <w:t xml:space="preserve">bestehen gesetzliche Regelungen. Die Miteigentümer können aber auch eine von den gesetzlichen Vorschriften abweichende </w:t>
      </w:r>
      <w:r w:rsidRPr="005F15DA">
        <w:rPr>
          <w:rFonts w:cs="Arial"/>
          <w:b/>
          <w:szCs w:val="22"/>
        </w:rPr>
        <w:t>Nu</w:t>
      </w:r>
      <w:r w:rsidRPr="005F15DA">
        <w:rPr>
          <w:rFonts w:cs="Arial"/>
          <w:b/>
          <w:szCs w:val="22"/>
        </w:rPr>
        <w:t>t</w:t>
      </w:r>
      <w:r w:rsidRPr="005F15DA">
        <w:rPr>
          <w:rFonts w:cs="Arial"/>
          <w:b/>
          <w:szCs w:val="22"/>
        </w:rPr>
        <w:t>zungs- und Verwaltungsordnung</w:t>
      </w:r>
      <w:r w:rsidRPr="005F15DA">
        <w:rPr>
          <w:rFonts w:cs="Arial"/>
          <w:szCs w:val="22"/>
        </w:rPr>
        <w:t xml:space="preserve"> </w:t>
      </w:r>
      <w:r w:rsidR="00FD01FC" w:rsidRPr="005F15DA">
        <w:rPr>
          <w:rFonts w:cs="Arial"/>
          <w:szCs w:val="22"/>
        </w:rPr>
        <w:t>(</w:t>
      </w:r>
      <w:r w:rsidR="00D50B8C" w:rsidRPr="005F15DA">
        <w:rPr>
          <w:rFonts w:cs="Arial"/>
          <w:szCs w:val="22"/>
        </w:rPr>
        <w:t xml:space="preserve">Art. </w:t>
      </w:r>
      <w:r w:rsidR="00FD01FC" w:rsidRPr="005F15DA">
        <w:rPr>
          <w:rFonts w:cs="Arial"/>
          <w:szCs w:val="22"/>
        </w:rPr>
        <w:t>647</w:t>
      </w:r>
      <w:r w:rsidR="00D50B8C" w:rsidRPr="005F15DA">
        <w:rPr>
          <w:rFonts w:cs="Arial"/>
          <w:szCs w:val="22"/>
        </w:rPr>
        <w:t xml:space="preserve"> ZGB</w:t>
      </w:r>
      <w:r w:rsidR="00FD01FC" w:rsidRPr="005F15DA">
        <w:rPr>
          <w:rFonts w:cs="Arial"/>
          <w:szCs w:val="22"/>
        </w:rPr>
        <w:t xml:space="preserve">) </w:t>
      </w:r>
      <w:r w:rsidRPr="005F15DA">
        <w:rPr>
          <w:rFonts w:cs="Arial"/>
          <w:szCs w:val="22"/>
        </w:rPr>
        <w:t xml:space="preserve">vereinbaren, was beim Grundeigentum häufig der Fall ist. </w:t>
      </w:r>
      <w:r w:rsidR="00F36146" w:rsidRPr="005F15DA">
        <w:rPr>
          <w:rFonts w:cs="Arial"/>
          <w:szCs w:val="22"/>
        </w:rPr>
        <w:t>Seit 1. Januar 2012 können die Miteigentümer vereinbaren, dass die Nu</w:t>
      </w:r>
      <w:r w:rsidR="00F36146" w:rsidRPr="005F15DA">
        <w:rPr>
          <w:rFonts w:cs="Arial"/>
          <w:szCs w:val="22"/>
        </w:rPr>
        <w:t>t</w:t>
      </w:r>
      <w:r w:rsidR="00F36146" w:rsidRPr="005F15DA">
        <w:rPr>
          <w:rFonts w:cs="Arial"/>
          <w:szCs w:val="22"/>
        </w:rPr>
        <w:t>zungs- und Verwaltungsordnung mit der Mehrheit aller Miteigentümer abgeändert werden kann</w:t>
      </w:r>
      <w:r w:rsidR="00FD01FC" w:rsidRPr="005F15DA">
        <w:rPr>
          <w:rFonts w:cs="Arial"/>
          <w:szCs w:val="22"/>
        </w:rPr>
        <w:t>, wobei die Änderung der Zuteilung ausschliesslicher Nutzungsrechte der Zustimmung der direkt Betroffenen bedarf. Zudem können die Befugnisse der Miteigentümer gemäss Art. 647</w:t>
      </w:r>
      <w:r w:rsidR="00D50B8C" w:rsidRPr="005F15DA">
        <w:rPr>
          <w:rFonts w:cs="Arial"/>
          <w:szCs w:val="22"/>
        </w:rPr>
        <w:t xml:space="preserve"> Abs</w:t>
      </w:r>
      <w:r w:rsidR="00FD01FC" w:rsidRPr="005F15DA">
        <w:rPr>
          <w:rFonts w:cs="Arial"/>
          <w:szCs w:val="22"/>
        </w:rPr>
        <w:t>.</w:t>
      </w:r>
      <w:r w:rsidR="00D50B8C" w:rsidRPr="005F15DA">
        <w:rPr>
          <w:rFonts w:cs="Arial"/>
          <w:szCs w:val="22"/>
        </w:rPr>
        <w:t xml:space="preserve"> </w:t>
      </w:r>
      <w:r w:rsidR="00FD01FC" w:rsidRPr="005F15DA">
        <w:rPr>
          <w:rFonts w:cs="Arial"/>
          <w:szCs w:val="22"/>
        </w:rPr>
        <w:t xml:space="preserve">2 </w:t>
      </w:r>
      <w:r w:rsidR="00D50B8C" w:rsidRPr="005F15DA">
        <w:rPr>
          <w:rFonts w:cs="Arial"/>
          <w:szCs w:val="22"/>
        </w:rPr>
        <w:t xml:space="preserve">ZGB </w:t>
      </w:r>
      <w:r w:rsidR="00FD01FC" w:rsidRPr="005F15DA">
        <w:rPr>
          <w:rFonts w:cs="Arial"/>
          <w:szCs w:val="22"/>
        </w:rPr>
        <w:t>nicht aufgehoben oder beschränkte werden (Verwaltungshandlungen zur Erhaltung des Wertes und der Gebrauchsfähigkeit sowie Vornahme von Massnahmen zur Abwendung von drohendem oder wachsendem Schaden auf Kosten aller Miteigentümer).</w:t>
      </w:r>
    </w:p>
    <w:p w:rsidR="00BB2E2B" w:rsidRPr="005F15DA" w:rsidRDefault="00BB2E2B" w:rsidP="008931CD">
      <w:pPr>
        <w:spacing w:line="240" w:lineRule="auto"/>
        <w:jc w:val="both"/>
        <w:rPr>
          <w:rFonts w:cs="Arial"/>
          <w:szCs w:val="22"/>
        </w:rPr>
      </w:pPr>
    </w:p>
    <w:p w:rsidR="00DC71DA" w:rsidRPr="005F15DA" w:rsidRDefault="00DC71DA" w:rsidP="008931CD">
      <w:pPr>
        <w:spacing w:line="240" w:lineRule="auto"/>
        <w:jc w:val="both"/>
        <w:rPr>
          <w:rFonts w:cs="Arial"/>
          <w:szCs w:val="22"/>
        </w:rPr>
      </w:pPr>
      <w:r w:rsidRPr="005F15DA">
        <w:rPr>
          <w:rFonts w:cs="Arial"/>
          <w:szCs w:val="22"/>
        </w:rPr>
        <w:t>Die vereinbarte Nutzungs- und Verwaltungsordnung, die Verwaltungsbeschlüsse, sowie die gerichtlichen Urteile und Verfügungen sind auch für die Rechtsnachfolger verbindlich (Art. 649a ZGB). Beim Grundeigentum können sie im Grundbuch angemerkt werden.</w:t>
      </w:r>
    </w:p>
    <w:p w:rsidR="00DC71DA" w:rsidRPr="005F15DA" w:rsidRDefault="00DC71DA" w:rsidP="008931CD">
      <w:pPr>
        <w:spacing w:line="240" w:lineRule="auto"/>
        <w:jc w:val="both"/>
        <w:rPr>
          <w:rFonts w:cs="Arial"/>
          <w:szCs w:val="22"/>
        </w:rPr>
      </w:pPr>
    </w:p>
    <w:p w:rsidR="00BB2E2B" w:rsidRPr="005F15DA" w:rsidRDefault="004E6633" w:rsidP="008931CD">
      <w:pPr>
        <w:spacing w:line="240" w:lineRule="auto"/>
        <w:jc w:val="both"/>
        <w:rPr>
          <w:rFonts w:cs="Arial"/>
          <w:szCs w:val="22"/>
        </w:rPr>
      </w:pPr>
      <w:r w:rsidRPr="005F15DA">
        <w:rPr>
          <w:rFonts w:cs="Arial"/>
          <w:szCs w:val="22"/>
        </w:rPr>
        <w:t>Falls die Miteigentümer keine Nutzungs- und Verwaltungsordnung vereinbaren, gelten die gesetzlichen Vorschriften (Art. 647a - 651a ZGB).</w:t>
      </w:r>
    </w:p>
    <w:p w:rsidR="004E6633" w:rsidRPr="005F15DA" w:rsidRDefault="004E6633" w:rsidP="008931CD">
      <w:pPr>
        <w:spacing w:line="240" w:lineRule="auto"/>
        <w:jc w:val="both"/>
        <w:rPr>
          <w:rFonts w:cs="Arial"/>
          <w:szCs w:val="22"/>
        </w:rPr>
      </w:pPr>
    </w:p>
    <w:p w:rsidR="009C30EF" w:rsidRPr="005F15DA" w:rsidRDefault="004E6633" w:rsidP="008931CD">
      <w:pPr>
        <w:spacing w:line="240" w:lineRule="auto"/>
        <w:jc w:val="both"/>
        <w:rPr>
          <w:rFonts w:cs="Arial"/>
          <w:szCs w:val="22"/>
        </w:rPr>
      </w:pPr>
      <w:r w:rsidRPr="005F15DA">
        <w:rPr>
          <w:rFonts w:cs="Arial"/>
          <w:szCs w:val="22"/>
        </w:rPr>
        <w:t xml:space="preserve">Bei den </w:t>
      </w:r>
      <w:r w:rsidRPr="005F15DA">
        <w:rPr>
          <w:rFonts w:cs="Arial"/>
          <w:b/>
          <w:szCs w:val="22"/>
        </w:rPr>
        <w:t>Verwaltungshandlungen</w:t>
      </w:r>
      <w:r w:rsidRPr="005F15DA">
        <w:rPr>
          <w:rFonts w:cs="Arial"/>
          <w:szCs w:val="22"/>
        </w:rPr>
        <w:t xml:space="preserve"> wird nach gewöhnlichen und wichtigeren Verwaltung</w:t>
      </w:r>
      <w:r w:rsidRPr="005F15DA">
        <w:rPr>
          <w:rFonts w:cs="Arial"/>
          <w:szCs w:val="22"/>
        </w:rPr>
        <w:t>s</w:t>
      </w:r>
      <w:r w:rsidRPr="005F15DA">
        <w:rPr>
          <w:rFonts w:cs="Arial"/>
          <w:szCs w:val="22"/>
        </w:rPr>
        <w:t xml:space="preserve">handlungen unterschieden. </w:t>
      </w:r>
    </w:p>
    <w:p w:rsidR="009C30EF" w:rsidRPr="00CF04FF" w:rsidRDefault="004E6633" w:rsidP="00CF04FF">
      <w:pPr>
        <w:pStyle w:val="Listenabsatz"/>
        <w:numPr>
          <w:ilvl w:val="0"/>
          <w:numId w:val="69"/>
        </w:numPr>
        <w:spacing w:line="240" w:lineRule="auto"/>
        <w:jc w:val="both"/>
        <w:rPr>
          <w:rFonts w:cs="Arial"/>
          <w:szCs w:val="22"/>
        </w:rPr>
      </w:pPr>
      <w:r w:rsidRPr="00CF04FF">
        <w:rPr>
          <w:rFonts w:cs="Arial"/>
          <w:szCs w:val="22"/>
        </w:rPr>
        <w:t xml:space="preserve">Die </w:t>
      </w:r>
      <w:r w:rsidRPr="00CF04FF">
        <w:rPr>
          <w:rFonts w:cs="Arial"/>
          <w:b/>
          <w:szCs w:val="22"/>
        </w:rPr>
        <w:t>gewöhnlichen Verwaltungshandlungen</w:t>
      </w:r>
      <w:r w:rsidRPr="00CF04FF">
        <w:rPr>
          <w:rFonts w:cs="Arial"/>
          <w:szCs w:val="22"/>
        </w:rPr>
        <w:t xml:space="preserve"> (Ausbesserungen, Bezahlung und En</w:t>
      </w:r>
      <w:r w:rsidRPr="00CF04FF">
        <w:rPr>
          <w:rFonts w:cs="Arial"/>
          <w:szCs w:val="22"/>
        </w:rPr>
        <w:t>t</w:t>
      </w:r>
      <w:r w:rsidRPr="00CF04FF">
        <w:rPr>
          <w:rFonts w:cs="Arial"/>
          <w:szCs w:val="22"/>
        </w:rPr>
        <w:t>gegennahme von Geld für die Gesamtheit, usw.) kann jeder Miteigentümer allein vo</w:t>
      </w:r>
      <w:r w:rsidRPr="00CF04FF">
        <w:rPr>
          <w:rFonts w:cs="Arial"/>
          <w:szCs w:val="22"/>
        </w:rPr>
        <w:t>r</w:t>
      </w:r>
      <w:r w:rsidRPr="00CF04FF">
        <w:rPr>
          <w:rFonts w:cs="Arial"/>
          <w:szCs w:val="22"/>
        </w:rPr>
        <w:t xml:space="preserve">nehmen (Art. </w:t>
      </w:r>
      <w:r w:rsidR="009C30EF" w:rsidRPr="00CF04FF">
        <w:rPr>
          <w:rFonts w:cs="Arial"/>
          <w:szCs w:val="22"/>
        </w:rPr>
        <w:t>647a ZGB), wobei die Mehrheit der Miteigentümer eine andere Zustä</w:t>
      </w:r>
      <w:r w:rsidR="009C30EF" w:rsidRPr="00CF04FF">
        <w:rPr>
          <w:rFonts w:cs="Arial"/>
          <w:szCs w:val="22"/>
        </w:rPr>
        <w:t>n</w:t>
      </w:r>
      <w:r w:rsidR="009C30EF" w:rsidRPr="00CF04FF">
        <w:rPr>
          <w:rFonts w:cs="Arial"/>
          <w:szCs w:val="22"/>
        </w:rPr>
        <w:t xml:space="preserve">digkeit vereinbaren kann. </w:t>
      </w:r>
    </w:p>
    <w:p w:rsidR="004E6633" w:rsidRPr="00CF04FF" w:rsidRDefault="009C30EF" w:rsidP="00CF04FF">
      <w:pPr>
        <w:pStyle w:val="Listenabsatz"/>
        <w:numPr>
          <w:ilvl w:val="0"/>
          <w:numId w:val="69"/>
        </w:numPr>
        <w:spacing w:line="240" w:lineRule="auto"/>
        <w:jc w:val="both"/>
        <w:rPr>
          <w:rFonts w:cs="Arial"/>
          <w:szCs w:val="22"/>
        </w:rPr>
      </w:pPr>
      <w:r w:rsidRPr="00CF04FF">
        <w:rPr>
          <w:rFonts w:cs="Arial"/>
          <w:szCs w:val="22"/>
        </w:rPr>
        <w:t xml:space="preserve">Die </w:t>
      </w:r>
      <w:r w:rsidRPr="00CF04FF">
        <w:rPr>
          <w:rFonts w:cs="Arial"/>
          <w:b/>
          <w:szCs w:val="22"/>
        </w:rPr>
        <w:t>wichtigeren Verwaltungshandlungen</w:t>
      </w:r>
      <w:r w:rsidRPr="00CF04FF">
        <w:rPr>
          <w:rFonts w:cs="Arial"/>
          <w:szCs w:val="22"/>
        </w:rPr>
        <w:t xml:space="preserve"> (Änderung der Benutzungsweise, Beste</w:t>
      </w:r>
      <w:r w:rsidRPr="00CF04FF">
        <w:rPr>
          <w:rFonts w:cs="Arial"/>
          <w:szCs w:val="22"/>
        </w:rPr>
        <w:t>l</w:t>
      </w:r>
      <w:r w:rsidRPr="00CF04FF">
        <w:rPr>
          <w:rFonts w:cs="Arial"/>
          <w:szCs w:val="22"/>
        </w:rPr>
        <w:t>lung eines Verwalters für wichtigere Verwaltungshandlungen, usw.) können nur mit Zustimmung der Mehrheit der Miteigentümer, welche zugleich den grösseren Teil der Sache vertreten, vorgenommen werden. Die Bestimmungen über die notwendigen baulichen Massnahmen bleiben vorbehalten.</w:t>
      </w:r>
    </w:p>
    <w:p w:rsidR="009C30EF" w:rsidRPr="005F15DA" w:rsidRDefault="009C30EF" w:rsidP="008931CD">
      <w:pPr>
        <w:spacing w:line="240" w:lineRule="auto"/>
        <w:jc w:val="both"/>
        <w:rPr>
          <w:rFonts w:cs="Arial"/>
          <w:szCs w:val="22"/>
        </w:rPr>
      </w:pPr>
    </w:p>
    <w:p w:rsidR="009C30EF" w:rsidRPr="005F15DA" w:rsidRDefault="009C30EF" w:rsidP="008931CD">
      <w:pPr>
        <w:spacing w:line="240" w:lineRule="auto"/>
        <w:jc w:val="both"/>
        <w:rPr>
          <w:rFonts w:cs="Arial"/>
          <w:szCs w:val="22"/>
        </w:rPr>
      </w:pPr>
      <w:r w:rsidRPr="005F15DA">
        <w:rPr>
          <w:rFonts w:cs="Arial"/>
          <w:szCs w:val="22"/>
        </w:rPr>
        <w:t xml:space="preserve">Bei den </w:t>
      </w:r>
      <w:r w:rsidRPr="005F15DA">
        <w:rPr>
          <w:rFonts w:cs="Arial"/>
          <w:b/>
          <w:szCs w:val="22"/>
        </w:rPr>
        <w:t>baulichen Massnahmen</w:t>
      </w:r>
      <w:r w:rsidRPr="005F15DA">
        <w:rPr>
          <w:rFonts w:cs="Arial"/>
          <w:szCs w:val="22"/>
        </w:rPr>
        <w:t xml:space="preserve"> wird nach notwendigen, nützlichen und "luxuriösen" Mas</w:t>
      </w:r>
      <w:r w:rsidRPr="005F15DA">
        <w:rPr>
          <w:rFonts w:cs="Arial"/>
          <w:szCs w:val="22"/>
        </w:rPr>
        <w:t>s</w:t>
      </w:r>
      <w:r w:rsidRPr="005F15DA">
        <w:rPr>
          <w:rFonts w:cs="Arial"/>
          <w:szCs w:val="22"/>
        </w:rPr>
        <w:t xml:space="preserve">nahmen unterschieden. </w:t>
      </w:r>
    </w:p>
    <w:p w:rsidR="009C30EF" w:rsidRPr="00CF04FF" w:rsidRDefault="009C30EF" w:rsidP="00CF04FF">
      <w:pPr>
        <w:pStyle w:val="Listenabsatz"/>
        <w:numPr>
          <w:ilvl w:val="0"/>
          <w:numId w:val="70"/>
        </w:numPr>
        <w:spacing w:line="240" w:lineRule="auto"/>
        <w:jc w:val="both"/>
        <w:rPr>
          <w:rFonts w:cs="Arial"/>
          <w:szCs w:val="22"/>
        </w:rPr>
      </w:pPr>
      <w:r w:rsidRPr="00CF04FF">
        <w:rPr>
          <w:rFonts w:cs="Arial"/>
          <w:szCs w:val="22"/>
        </w:rPr>
        <w:t xml:space="preserve">Zur Vornahme der </w:t>
      </w:r>
      <w:r w:rsidRPr="00CF04FF">
        <w:rPr>
          <w:rFonts w:cs="Arial"/>
          <w:b/>
          <w:szCs w:val="22"/>
        </w:rPr>
        <w:t>notwendigen Massnahmen</w:t>
      </w:r>
      <w:r w:rsidRPr="00CF04FF">
        <w:rPr>
          <w:rFonts w:cs="Arial"/>
          <w:szCs w:val="22"/>
        </w:rPr>
        <w:t xml:space="preserve"> </w:t>
      </w:r>
      <w:r w:rsidR="00D50B8C" w:rsidRPr="00CF04FF">
        <w:rPr>
          <w:rFonts w:cs="Arial"/>
          <w:szCs w:val="22"/>
        </w:rPr>
        <w:t>(Art. 647c ZGB</w:t>
      </w:r>
      <w:r w:rsidR="009B260E" w:rsidRPr="00CF04FF">
        <w:rPr>
          <w:rFonts w:cs="Arial"/>
          <w:szCs w:val="22"/>
        </w:rPr>
        <w:t>, Unterhalts- und Wi</w:t>
      </w:r>
      <w:r w:rsidR="009B260E" w:rsidRPr="00CF04FF">
        <w:rPr>
          <w:rFonts w:cs="Arial"/>
          <w:szCs w:val="22"/>
        </w:rPr>
        <w:t>e</w:t>
      </w:r>
      <w:r w:rsidR="009B260E" w:rsidRPr="00CF04FF">
        <w:rPr>
          <w:rFonts w:cs="Arial"/>
          <w:szCs w:val="22"/>
        </w:rPr>
        <w:t>derherstellungsarbeiten sowie Erneuerungsarbeiten, welche für die Erhaltung des Wertes und der Gebrauchsfähigkeit notwendig sind</w:t>
      </w:r>
      <w:r w:rsidR="00D50B8C" w:rsidRPr="00CF04FF">
        <w:rPr>
          <w:rFonts w:cs="Arial"/>
          <w:szCs w:val="22"/>
        </w:rPr>
        <w:t xml:space="preserve">) </w:t>
      </w:r>
      <w:r w:rsidRPr="00CF04FF">
        <w:rPr>
          <w:rFonts w:cs="Arial"/>
          <w:szCs w:val="22"/>
        </w:rPr>
        <w:t xml:space="preserve">bedarf es der Zustimmung der Mehrheit aller </w:t>
      </w:r>
      <w:r w:rsidR="009B260E" w:rsidRPr="00CF04FF">
        <w:rPr>
          <w:rFonts w:cs="Arial"/>
          <w:szCs w:val="22"/>
        </w:rPr>
        <w:t>Miteigentümer (einfaches Mehr).</w:t>
      </w:r>
    </w:p>
    <w:p w:rsidR="009C30EF" w:rsidRPr="00CF04FF" w:rsidRDefault="009C30EF" w:rsidP="00CF04FF">
      <w:pPr>
        <w:pStyle w:val="Listenabsatz"/>
        <w:numPr>
          <w:ilvl w:val="0"/>
          <w:numId w:val="70"/>
        </w:numPr>
        <w:spacing w:line="240" w:lineRule="auto"/>
        <w:jc w:val="both"/>
        <w:rPr>
          <w:rFonts w:cs="Arial"/>
          <w:szCs w:val="22"/>
        </w:rPr>
      </w:pPr>
      <w:r w:rsidRPr="00CF04FF">
        <w:rPr>
          <w:rFonts w:cs="Arial"/>
          <w:szCs w:val="22"/>
        </w:rPr>
        <w:t xml:space="preserve">Zur Vornahme der </w:t>
      </w:r>
      <w:r w:rsidRPr="00CF04FF">
        <w:rPr>
          <w:rFonts w:cs="Arial"/>
          <w:b/>
          <w:szCs w:val="22"/>
        </w:rPr>
        <w:t>nützlichen Massnahmen</w:t>
      </w:r>
      <w:r w:rsidRPr="00CF04FF">
        <w:rPr>
          <w:rFonts w:cs="Arial"/>
          <w:szCs w:val="22"/>
        </w:rPr>
        <w:t xml:space="preserve"> </w:t>
      </w:r>
      <w:r w:rsidR="00D50B8C" w:rsidRPr="00CF04FF">
        <w:rPr>
          <w:rFonts w:cs="Arial"/>
          <w:szCs w:val="22"/>
        </w:rPr>
        <w:t>(Art. 647d ZGB</w:t>
      </w:r>
      <w:r w:rsidR="009B260E" w:rsidRPr="00CF04FF">
        <w:rPr>
          <w:rFonts w:cs="Arial"/>
          <w:szCs w:val="22"/>
        </w:rPr>
        <w:t>, Erneuerungs- und U</w:t>
      </w:r>
      <w:r w:rsidR="009B260E" w:rsidRPr="00CF04FF">
        <w:rPr>
          <w:rFonts w:cs="Arial"/>
          <w:szCs w:val="22"/>
        </w:rPr>
        <w:t>m</w:t>
      </w:r>
      <w:r w:rsidR="009B260E" w:rsidRPr="00CF04FF">
        <w:rPr>
          <w:rFonts w:cs="Arial"/>
          <w:szCs w:val="22"/>
        </w:rPr>
        <w:t>bauarbeiten, welche eine Wertsteigerung oder eine Verbesserung der Wirtschaftlic</w:t>
      </w:r>
      <w:r w:rsidR="009B260E" w:rsidRPr="00CF04FF">
        <w:rPr>
          <w:rFonts w:cs="Arial"/>
          <w:szCs w:val="22"/>
        </w:rPr>
        <w:t>h</w:t>
      </w:r>
      <w:r w:rsidR="009B260E" w:rsidRPr="00CF04FF">
        <w:rPr>
          <w:rFonts w:cs="Arial"/>
          <w:szCs w:val="22"/>
        </w:rPr>
        <w:t>keit oder der Gebrauchsfähigkeit bezwecken</w:t>
      </w:r>
      <w:r w:rsidR="00D50B8C" w:rsidRPr="00CF04FF">
        <w:rPr>
          <w:rFonts w:cs="Arial"/>
          <w:szCs w:val="22"/>
        </w:rPr>
        <w:t xml:space="preserve">) </w:t>
      </w:r>
      <w:r w:rsidRPr="00CF04FF">
        <w:rPr>
          <w:rFonts w:cs="Arial"/>
          <w:szCs w:val="22"/>
        </w:rPr>
        <w:t xml:space="preserve">bedarf es der Zustimmung der Mehrheit </w:t>
      </w:r>
      <w:r w:rsidRPr="00CF04FF">
        <w:rPr>
          <w:rFonts w:cs="Arial"/>
          <w:szCs w:val="22"/>
        </w:rPr>
        <w:lastRenderedPageBreak/>
        <w:t>aller Miteigentümer, welche zugleich den grösseren Teil der Sache vertreten</w:t>
      </w:r>
      <w:r w:rsidR="009B260E" w:rsidRPr="00CF04FF">
        <w:rPr>
          <w:rFonts w:cs="Arial"/>
          <w:szCs w:val="22"/>
        </w:rPr>
        <w:t xml:space="preserve"> (qualif</w:t>
      </w:r>
      <w:r w:rsidR="009B260E" w:rsidRPr="00CF04FF">
        <w:rPr>
          <w:rFonts w:cs="Arial"/>
          <w:szCs w:val="22"/>
        </w:rPr>
        <w:t>i</w:t>
      </w:r>
      <w:r w:rsidR="009B260E" w:rsidRPr="00CF04FF">
        <w:rPr>
          <w:rFonts w:cs="Arial"/>
          <w:szCs w:val="22"/>
        </w:rPr>
        <w:t>ziertes Mehr).</w:t>
      </w:r>
    </w:p>
    <w:p w:rsidR="00B96E57" w:rsidRPr="00CF04FF" w:rsidRDefault="00B96E57" w:rsidP="00CF04FF">
      <w:pPr>
        <w:pStyle w:val="Listenabsatz"/>
        <w:numPr>
          <w:ilvl w:val="0"/>
          <w:numId w:val="70"/>
        </w:numPr>
        <w:spacing w:line="240" w:lineRule="auto"/>
        <w:jc w:val="both"/>
        <w:rPr>
          <w:rFonts w:cs="Arial"/>
          <w:szCs w:val="22"/>
        </w:rPr>
      </w:pPr>
      <w:r w:rsidRPr="00CF04FF">
        <w:rPr>
          <w:rFonts w:cs="Arial"/>
          <w:szCs w:val="22"/>
        </w:rPr>
        <w:t xml:space="preserve">Zur Vornahme von </w:t>
      </w:r>
      <w:r w:rsidRPr="00CF04FF">
        <w:rPr>
          <w:rFonts w:cs="Arial"/>
          <w:b/>
          <w:szCs w:val="22"/>
        </w:rPr>
        <w:t>Massnahmen, welche der Verschönerung oder Bequemlichkeit</w:t>
      </w:r>
      <w:r w:rsidRPr="00CF04FF">
        <w:rPr>
          <w:rFonts w:cs="Arial"/>
          <w:szCs w:val="22"/>
        </w:rPr>
        <w:t xml:space="preserve"> </w:t>
      </w:r>
      <w:r w:rsidR="00F57350" w:rsidRPr="00CF04FF">
        <w:rPr>
          <w:rFonts w:cs="Arial"/>
          <w:szCs w:val="22"/>
        </w:rPr>
        <w:t xml:space="preserve">(Art. 647e ZGB) </w:t>
      </w:r>
      <w:r w:rsidRPr="00CF04FF">
        <w:rPr>
          <w:rFonts w:cs="Arial"/>
          <w:szCs w:val="22"/>
        </w:rPr>
        <w:t>("luxuriöse Massnahmen) dienen, bedarf es der Zustimmung aller Miteigentümer. Unter genau bestimmten Umständen (ZGB 647e</w:t>
      </w:r>
      <w:r w:rsidR="00F57350" w:rsidRPr="00CF04FF">
        <w:rPr>
          <w:rFonts w:cs="Arial"/>
          <w:szCs w:val="22"/>
        </w:rPr>
        <w:t xml:space="preserve"> Abs</w:t>
      </w:r>
      <w:r w:rsidRPr="00CF04FF">
        <w:rPr>
          <w:rFonts w:cs="Arial"/>
          <w:szCs w:val="22"/>
        </w:rPr>
        <w:t>.</w:t>
      </w:r>
      <w:r w:rsidR="00F57350" w:rsidRPr="00CF04FF">
        <w:rPr>
          <w:rFonts w:cs="Arial"/>
          <w:szCs w:val="22"/>
        </w:rPr>
        <w:t xml:space="preserve"> </w:t>
      </w:r>
      <w:r w:rsidRPr="00CF04FF">
        <w:rPr>
          <w:rFonts w:cs="Arial"/>
          <w:szCs w:val="22"/>
        </w:rPr>
        <w:t>2) reicht das qualifizierte Mehr.</w:t>
      </w:r>
    </w:p>
    <w:p w:rsidR="00F57350" w:rsidRPr="005F15DA" w:rsidRDefault="00F57350" w:rsidP="008931CD">
      <w:pPr>
        <w:spacing w:line="240" w:lineRule="auto"/>
        <w:jc w:val="both"/>
        <w:rPr>
          <w:rFonts w:cs="Arial"/>
          <w:szCs w:val="22"/>
        </w:rPr>
      </w:pPr>
    </w:p>
    <w:p w:rsidR="00DC71DA" w:rsidRPr="005F15DA" w:rsidRDefault="00DC71DA" w:rsidP="008931CD">
      <w:pPr>
        <w:spacing w:line="240" w:lineRule="auto"/>
        <w:jc w:val="both"/>
        <w:rPr>
          <w:rFonts w:cs="Arial"/>
          <w:szCs w:val="22"/>
        </w:rPr>
      </w:pPr>
      <w:r w:rsidRPr="005F15DA">
        <w:rPr>
          <w:rFonts w:cs="Arial"/>
          <w:szCs w:val="22"/>
        </w:rPr>
        <w:t xml:space="preserve">Die </w:t>
      </w:r>
      <w:r w:rsidRPr="005F15DA">
        <w:rPr>
          <w:rFonts w:cs="Arial"/>
          <w:b/>
          <w:szCs w:val="22"/>
        </w:rPr>
        <w:t>Kosten</w:t>
      </w:r>
      <w:r w:rsidRPr="005F15DA">
        <w:rPr>
          <w:rFonts w:cs="Arial"/>
          <w:szCs w:val="22"/>
        </w:rPr>
        <w:t xml:space="preserve"> für das Miteigentum (Verwaltung, Unterhalt, Steuern, andere Lasten) werden von den Miteigentümern entsprechend ihrer Anteile getragen (Art. 649 ZGB).</w:t>
      </w:r>
    </w:p>
    <w:p w:rsidR="00DC71DA" w:rsidRPr="005F15DA" w:rsidRDefault="00DC71DA" w:rsidP="008931CD">
      <w:pPr>
        <w:spacing w:line="240" w:lineRule="auto"/>
        <w:jc w:val="both"/>
        <w:rPr>
          <w:rFonts w:cs="Arial"/>
          <w:szCs w:val="22"/>
        </w:rPr>
      </w:pPr>
    </w:p>
    <w:p w:rsidR="009B260E" w:rsidRPr="005F15DA" w:rsidRDefault="00F57350" w:rsidP="008931CD">
      <w:pPr>
        <w:spacing w:line="240" w:lineRule="auto"/>
        <w:jc w:val="both"/>
        <w:rPr>
          <w:rFonts w:cs="Arial"/>
          <w:szCs w:val="22"/>
        </w:rPr>
      </w:pPr>
      <w:r w:rsidRPr="005F15DA">
        <w:rPr>
          <w:rFonts w:cs="Arial"/>
          <w:szCs w:val="22"/>
        </w:rPr>
        <w:t xml:space="preserve">Die </w:t>
      </w:r>
      <w:r w:rsidRPr="005F15DA">
        <w:rPr>
          <w:rFonts w:cs="Arial"/>
          <w:b/>
          <w:szCs w:val="22"/>
        </w:rPr>
        <w:t>Veräusserung</w:t>
      </w:r>
      <w:r w:rsidRPr="005F15DA">
        <w:rPr>
          <w:rFonts w:cs="Arial"/>
          <w:szCs w:val="22"/>
        </w:rPr>
        <w:t xml:space="preserve"> oder </w:t>
      </w:r>
      <w:r w:rsidRPr="005F15DA">
        <w:rPr>
          <w:rFonts w:cs="Arial"/>
          <w:b/>
          <w:szCs w:val="22"/>
        </w:rPr>
        <w:t>Belastung</w:t>
      </w:r>
      <w:r w:rsidRPr="005F15DA">
        <w:rPr>
          <w:rFonts w:cs="Arial"/>
          <w:szCs w:val="22"/>
        </w:rPr>
        <w:t xml:space="preserve"> der </w:t>
      </w:r>
      <w:r w:rsidR="009B260E" w:rsidRPr="005F15DA">
        <w:rPr>
          <w:rFonts w:cs="Arial"/>
          <w:szCs w:val="22"/>
        </w:rPr>
        <w:t xml:space="preserve">(ganzen) </w:t>
      </w:r>
      <w:r w:rsidRPr="005F15DA">
        <w:rPr>
          <w:rFonts w:cs="Arial"/>
          <w:szCs w:val="22"/>
        </w:rPr>
        <w:t>Sache sowie die Veränderung der Zwec</w:t>
      </w:r>
      <w:r w:rsidRPr="005F15DA">
        <w:rPr>
          <w:rFonts w:cs="Arial"/>
          <w:szCs w:val="22"/>
        </w:rPr>
        <w:t>k</w:t>
      </w:r>
      <w:r w:rsidRPr="005F15DA">
        <w:rPr>
          <w:rFonts w:cs="Arial"/>
          <w:szCs w:val="22"/>
        </w:rPr>
        <w:t xml:space="preserve">bestimmung muss von allen Miteigentümern beschlossen werden, wenn sie nicht einstimmig etwas anderes bestimmt haben (Art. 648 Abs. 2 ZGB). </w:t>
      </w:r>
    </w:p>
    <w:p w:rsidR="009B260E" w:rsidRPr="005F15DA" w:rsidRDefault="009B260E" w:rsidP="008931CD">
      <w:pPr>
        <w:spacing w:line="240" w:lineRule="auto"/>
        <w:jc w:val="both"/>
        <w:rPr>
          <w:rFonts w:cs="Arial"/>
          <w:szCs w:val="22"/>
        </w:rPr>
      </w:pPr>
    </w:p>
    <w:p w:rsidR="00F57350" w:rsidRPr="005F15DA" w:rsidRDefault="00F57350" w:rsidP="008931CD">
      <w:pPr>
        <w:spacing w:line="240" w:lineRule="auto"/>
        <w:jc w:val="both"/>
        <w:rPr>
          <w:rFonts w:cs="Arial"/>
          <w:szCs w:val="22"/>
        </w:rPr>
      </w:pPr>
      <w:r w:rsidRPr="005F15DA">
        <w:rPr>
          <w:rFonts w:cs="Arial"/>
          <w:szCs w:val="22"/>
        </w:rPr>
        <w:t xml:space="preserve">Soweit die Rechte der anderen Miteigentümer nicht eingeschränkt werden, </w:t>
      </w:r>
      <w:r w:rsidRPr="005F15DA">
        <w:rPr>
          <w:rFonts w:cs="Arial"/>
          <w:b/>
          <w:szCs w:val="22"/>
        </w:rPr>
        <w:t>nutzt und vertritt jeder Miteigentümer seinen Anteil selbständig</w:t>
      </w:r>
      <w:r w:rsidRPr="005F15DA">
        <w:rPr>
          <w:rFonts w:cs="Arial"/>
          <w:szCs w:val="22"/>
        </w:rPr>
        <w:t xml:space="preserve">. Jeder Miteigentümer kann also seinen </w:t>
      </w:r>
      <w:r w:rsidR="00DC71DA" w:rsidRPr="005F15DA">
        <w:rPr>
          <w:rFonts w:cs="Arial"/>
          <w:szCs w:val="22"/>
        </w:rPr>
        <w:t>e</w:t>
      </w:r>
      <w:r w:rsidR="00DC71DA" w:rsidRPr="005F15DA">
        <w:rPr>
          <w:rFonts w:cs="Arial"/>
          <w:szCs w:val="22"/>
        </w:rPr>
        <w:t>i</w:t>
      </w:r>
      <w:r w:rsidR="00DC71DA" w:rsidRPr="005F15DA">
        <w:rPr>
          <w:rFonts w:cs="Arial"/>
          <w:szCs w:val="22"/>
        </w:rPr>
        <w:t xml:space="preserve">genen </w:t>
      </w:r>
      <w:r w:rsidRPr="005F15DA">
        <w:rPr>
          <w:rFonts w:cs="Arial"/>
          <w:szCs w:val="22"/>
        </w:rPr>
        <w:t>Anteil verkaufen, verpfänden und mit dinglichen Rechten belasten; bei der Veräuss</w:t>
      </w:r>
      <w:r w:rsidRPr="005F15DA">
        <w:rPr>
          <w:rFonts w:cs="Arial"/>
          <w:szCs w:val="22"/>
        </w:rPr>
        <w:t>e</w:t>
      </w:r>
      <w:r w:rsidRPr="005F15DA">
        <w:rPr>
          <w:rFonts w:cs="Arial"/>
          <w:szCs w:val="22"/>
        </w:rPr>
        <w:t xml:space="preserve">rung </w:t>
      </w:r>
      <w:r w:rsidR="00873801" w:rsidRPr="005F15DA">
        <w:rPr>
          <w:rFonts w:cs="Arial"/>
          <w:szCs w:val="22"/>
        </w:rPr>
        <w:t xml:space="preserve">von Grundeigentum </w:t>
      </w:r>
      <w:r w:rsidRPr="005F15DA">
        <w:rPr>
          <w:rFonts w:cs="Arial"/>
          <w:szCs w:val="22"/>
        </w:rPr>
        <w:t>ist allerdings das gesetzliche Vorkaufsrecht der anderen Miteige</w:t>
      </w:r>
      <w:r w:rsidRPr="005F15DA">
        <w:rPr>
          <w:rFonts w:cs="Arial"/>
          <w:szCs w:val="22"/>
        </w:rPr>
        <w:t>n</w:t>
      </w:r>
      <w:r w:rsidRPr="005F15DA">
        <w:rPr>
          <w:rFonts w:cs="Arial"/>
          <w:szCs w:val="22"/>
        </w:rPr>
        <w:t>tümer zu beachten</w:t>
      </w:r>
      <w:r w:rsidR="00873801" w:rsidRPr="005F15DA">
        <w:rPr>
          <w:rFonts w:cs="Arial"/>
          <w:szCs w:val="22"/>
        </w:rPr>
        <w:t xml:space="preserve"> (Art. 682 ZGB)</w:t>
      </w:r>
      <w:r w:rsidRPr="005F15DA">
        <w:rPr>
          <w:rFonts w:cs="Arial"/>
          <w:szCs w:val="22"/>
        </w:rPr>
        <w:t>.</w:t>
      </w:r>
      <w:r w:rsidR="0084277D" w:rsidRPr="005F15DA">
        <w:rPr>
          <w:rFonts w:cs="Arial"/>
          <w:szCs w:val="22"/>
        </w:rPr>
        <w:t xml:space="preserve"> Dieses gesetzliche Vorkaufsrecht kann mittels öffentlicher Urkunde aufgehoben und im Grundbuch vorgemerkt werden; Erbgang, Schenkung oder Tausch eines Miteigentumsanteils stellen keinen Vorkaufsfall dar.</w:t>
      </w:r>
    </w:p>
    <w:p w:rsidR="00DC71DA" w:rsidRPr="005F15DA" w:rsidRDefault="00DC71DA" w:rsidP="008931CD">
      <w:pPr>
        <w:spacing w:line="240" w:lineRule="auto"/>
        <w:jc w:val="both"/>
        <w:rPr>
          <w:rFonts w:cs="Arial"/>
          <w:szCs w:val="22"/>
        </w:rPr>
      </w:pPr>
    </w:p>
    <w:p w:rsidR="00D728DA" w:rsidRPr="005F15DA" w:rsidRDefault="00DC71DA" w:rsidP="008931CD">
      <w:pPr>
        <w:spacing w:line="240" w:lineRule="auto"/>
        <w:jc w:val="both"/>
        <w:rPr>
          <w:rFonts w:cs="Arial"/>
          <w:szCs w:val="22"/>
        </w:rPr>
      </w:pPr>
      <w:r w:rsidRPr="005F15DA">
        <w:rPr>
          <w:rFonts w:cs="Arial"/>
          <w:szCs w:val="22"/>
        </w:rPr>
        <w:t>Wenn Grundpfandrechte oder Grundlasten an Miteigentumsanteile bestehen, kann die Sache selbst nicht mehr mit solchen Rechten belastet werden (Art. 648 Abs. 3 ZGB).</w:t>
      </w:r>
      <w:r w:rsidR="00D728DA" w:rsidRPr="005F15DA">
        <w:rPr>
          <w:rFonts w:cs="Arial"/>
          <w:szCs w:val="22"/>
        </w:rPr>
        <w:t xml:space="preserve"> </w:t>
      </w:r>
      <w:r w:rsidR="009B260E" w:rsidRPr="005F15DA">
        <w:rPr>
          <w:rFonts w:cs="Arial"/>
          <w:szCs w:val="22"/>
        </w:rPr>
        <w:t>Für Dienstba</w:t>
      </w:r>
      <w:r w:rsidR="009B260E" w:rsidRPr="005F15DA">
        <w:rPr>
          <w:rFonts w:cs="Arial"/>
          <w:szCs w:val="22"/>
        </w:rPr>
        <w:t>r</w:t>
      </w:r>
      <w:r w:rsidR="009B260E" w:rsidRPr="005F15DA">
        <w:rPr>
          <w:rFonts w:cs="Arial"/>
          <w:szCs w:val="22"/>
        </w:rPr>
        <w:t>keiten und Vormerkungen gilt dies nicht.</w:t>
      </w:r>
    </w:p>
    <w:p w:rsidR="00D728DA" w:rsidRPr="005F15DA" w:rsidRDefault="00D728DA" w:rsidP="008931CD">
      <w:pPr>
        <w:spacing w:line="240" w:lineRule="auto"/>
        <w:jc w:val="both"/>
        <w:rPr>
          <w:rFonts w:cs="Arial"/>
          <w:szCs w:val="22"/>
        </w:rPr>
      </w:pPr>
      <w:r w:rsidRPr="005F15DA">
        <w:rPr>
          <w:rFonts w:cs="Arial"/>
          <w:szCs w:val="22"/>
        </w:rPr>
        <w:t>Beispiel: Eine Autoeinstellhalle ist in Miteigentum aufgeteilt. Die Einstallhalle hat die Grun</w:t>
      </w:r>
      <w:r w:rsidRPr="005F15DA">
        <w:rPr>
          <w:rFonts w:cs="Arial"/>
          <w:szCs w:val="22"/>
        </w:rPr>
        <w:t>d</w:t>
      </w:r>
      <w:r w:rsidRPr="005F15DA">
        <w:rPr>
          <w:rFonts w:cs="Arial"/>
          <w:szCs w:val="22"/>
        </w:rPr>
        <w:t>stück-Nr. 2100; die ME-Anteile die Nrn. 2100-1 bis 2100-5. Auf der Einstellhalle selbst (der Sache, GB-Nr. 2100) sind keine Grundpfandrechte eingetragen; sobald auf einem der ME-Anteile (GB-Nrn. 2100-1 oder 2100-2 usw.) Grundpfandrechte eingetragen werden, kann die Sache selbst (das Hauptblatt GB-Nr. 2100) nicht mehr mit Grundpfandrechten belastet we</w:t>
      </w:r>
      <w:r w:rsidRPr="005F15DA">
        <w:rPr>
          <w:rFonts w:cs="Arial"/>
          <w:szCs w:val="22"/>
        </w:rPr>
        <w:t>r</w:t>
      </w:r>
      <w:r w:rsidRPr="005F15DA">
        <w:rPr>
          <w:rFonts w:cs="Arial"/>
          <w:szCs w:val="22"/>
        </w:rPr>
        <w:t>den.</w:t>
      </w:r>
    </w:p>
    <w:p w:rsidR="00D728DA" w:rsidRPr="005F15DA" w:rsidRDefault="00D728DA" w:rsidP="008931CD">
      <w:pPr>
        <w:spacing w:line="240" w:lineRule="auto"/>
        <w:jc w:val="both"/>
        <w:rPr>
          <w:rFonts w:cs="Arial"/>
          <w:szCs w:val="22"/>
        </w:rPr>
      </w:pPr>
    </w:p>
    <w:p w:rsidR="00DC71DA" w:rsidRPr="005F15DA" w:rsidRDefault="00D728DA" w:rsidP="008931CD">
      <w:pPr>
        <w:spacing w:line="240" w:lineRule="auto"/>
        <w:jc w:val="both"/>
        <w:rPr>
          <w:rFonts w:cs="Arial"/>
          <w:szCs w:val="22"/>
        </w:rPr>
      </w:pPr>
      <w:r w:rsidRPr="005F15DA">
        <w:rPr>
          <w:rFonts w:cs="Arial"/>
          <w:szCs w:val="22"/>
        </w:rPr>
        <w:t xml:space="preserve">Durch gerichtliches Urteil kann ein Miteigentümer aus der </w:t>
      </w:r>
      <w:r w:rsidRPr="005F15DA">
        <w:rPr>
          <w:rFonts w:cs="Arial"/>
          <w:b/>
          <w:szCs w:val="22"/>
        </w:rPr>
        <w:t>Gemeinschaft ausgeschlossen werden</w:t>
      </w:r>
      <w:r w:rsidRPr="005F15DA">
        <w:rPr>
          <w:rFonts w:cs="Arial"/>
          <w:szCs w:val="22"/>
        </w:rPr>
        <w:t>, wenn er Verpflichtungen gegenüber der Gemeinschaft oder gegenüber anderen Mi</w:t>
      </w:r>
      <w:r w:rsidRPr="005F15DA">
        <w:rPr>
          <w:rFonts w:cs="Arial"/>
          <w:szCs w:val="22"/>
        </w:rPr>
        <w:t>t</w:t>
      </w:r>
      <w:r w:rsidRPr="005F15DA">
        <w:rPr>
          <w:rFonts w:cs="Arial"/>
          <w:szCs w:val="22"/>
        </w:rPr>
        <w:t>eigentümern so schwer verletzt, dass diesen die Fortsetzung der Gemeinschaft nicht mehr zugemutet werden kann (Art. 649b und 649c ZGB).</w:t>
      </w:r>
    </w:p>
    <w:p w:rsidR="00D728DA" w:rsidRPr="005F15DA" w:rsidRDefault="00D728DA" w:rsidP="008931CD">
      <w:pPr>
        <w:spacing w:line="240" w:lineRule="auto"/>
        <w:jc w:val="both"/>
        <w:rPr>
          <w:rFonts w:cs="Arial"/>
          <w:szCs w:val="22"/>
        </w:rPr>
      </w:pPr>
    </w:p>
    <w:p w:rsidR="00D728DA" w:rsidRPr="005F15DA" w:rsidRDefault="00D728DA" w:rsidP="008931CD">
      <w:pPr>
        <w:spacing w:line="240" w:lineRule="auto"/>
        <w:jc w:val="both"/>
        <w:rPr>
          <w:rFonts w:cs="Arial"/>
          <w:szCs w:val="22"/>
        </w:rPr>
      </w:pPr>
      <w:r w:rsidRPr="005F15DA">
        <w:rPr>
          <w:rFonts w:cs="Arial"/>
          <w:szCs w:val="22"/>
        </w:rPr>
        <w:t>J</w:t>
      </w:r>
      <w:r w:rsidR="000C7DA1" w:rsidRPr="005F15DA">
        <w:rPr>
          <w:rFonts w:cs="Arial"/>
          <w:szCs w:val="22"/>
        </w:rPr>
        <w:t xml:space="preserve">eder Miteigentümer kann die </w:t>
      </w:r>
      <w:r w:rsidR="000C7DA1" w:rsidRPr="005F15DA">
        <w:rPr>
          <w:rFonts w:cs="Arial"/>
          <w:b/>
          <w:szCs w:val="22"/>
        </w:rPr>
        <w:t>Aufhebung des Miteigentums verlangen</w:t>
      </w:r>
      <w:r w:rsidR="000C7DA1" w:rsidRPr="005F15DA">
        <w:rPr>
          <w:rFonts w:cs="Arial"/>
          <w:szCs w:val="22"/>
        </w:rPr>
        <w:t xml:space="preserve"> (Art. 650 ZGB), sofern dies nicht vertraglich oder gesetzlich ausgeschlossen ist. Beim Grundeigentum wird die Aufhebung des Teilungsanspruches der Miteigentümer sehr häufig vereinbart und im Grun</w:t>
      </w:r>
      <w:r w:rsidR="000C7DA1" w:rsidRPr="005F15DA">
        <w:rPr>
          <w:rFonts w:cs="Arial"/>
          <w:szCs w:val="22"/>
        </w:rPr>
        <w:t>d</w:t>
      </w:r>
      <w:r w:rsidR="000C7DA1" w:rsidRPr="005F15DA">
        <w:rPr>
          <w:rFonts w:cs="Arial"/>
          <w:szCs w:val="22"/>
        </w:rPr>
        <w:t xml:space="preserve">buch vorgemerkt (Art. 650 Abs. 2 ZGB). Die </w:t>
      </w:r>
      <w:r w:rsidR="009B260E" w:rsidRPr="005F15DA">
        <w:rPr>
          <w:rFonts w:cs="Arial"/>
          <w:szCs w:val="22"/>
        </w:rPr>
        <w:t xml:space="preserve">Aufhebung bzw. </w:t>
      </w:r>
      <w:r w:rsidR="000C7DA1" w:rsidRPr="005F15DA">
        <w:rPr>
          <w:rFonts w:cs="Arial"/>
          <w:szCs w:val="22"/>
        </w:rPr>
        <w:t>Aufteilung erfolgt durch körperl</w:t>
      </w:r>
      <w:r w:rsidR="000C7DA1" w:rsidRPr="005F15DA">
        <w:rPr>
          <w:rFonts w:cs="Arial"/>
          <w:szCs w:val="22"/>
        </w:rPr>
        <w:t>i</w:t>
      </w:r>
      <w:r w:rsidR="000C7DA1" w:rsidRPr="005F15DA">
        <w:rPr>
          <w:rFonts w:cs="Arial"/>
          <w:szCs w:val="22"/>
        </w:rPr>
        <w:t>che Teilung, Freihandverkauf, Versteigerung oder Übertragung auf einen und Auskauf der anderen Miteigentümer (Art. 651 ZGB). Für Tiere besteht die Regelung des Art. 651a ZGB.</w:t>
      </w:r>
    </w:p>
    <w:p w:rsidR="00B96E57" w:rsidRPr="005F15DA" w:rsidRDefault="00B96E57" w:rsidP="008931CD">
      <w:pPr>
        <w:spacing w:line="240" w:lineRule="auto"/>
        <w:jc w:val="both"/>
        <w:rPr>
          <w:rFonts w:cs="Arial"/>
          <w:szCs w:val="22"/>
        </w:rPr>
      </w:pPr>
    </w:p>
    <w:p w:rsidR="009457AB" w:rsidRPr="005F15DA" w:rsidRDefault="009457AB" w:rsidP="008931CD">
      <w:pPr>
        <w:spacing w:line="240" w:lineRule="auto"/>
        <w:jc w:val="both"/>
        <w:rPr>
          <w:rFonts w:cs="Arial"/>
          <w:szCs w:val="22"/>
        </w:rPr>
      </w:pPr>
    </w:p>
    <w:p w:rsidR="009D595C" w:rsidRPr="005F15DA" w:rsidRDefault="009D595C" w:rsidP="008931CD">
      <w:pPr>
        <w:spacing w:line="240" w:lineRule="auto"/>
        <w:jc w:val="both"/>
        <w:rPr>
          <w:rFonts w:cs="Arial"/>
          <w:szCs w:val="22"/>
        </w:rPr>
      </w:pPr>
    </w:p>
    <w:p w:rsidR="009D595C" w:rsidRPr="005F15DA" w:rsidRDefault="00383D9B" w:rsidP="009457AB">
      <w:pPr>
        <w:pStyle w:val="berschrift3"/>
        <w:rPr>
          <w:lang w:val="de-CH"/>
        </w:rPr>
      </w:pPr>
      <w:bookmarkStart w:id="134" w:name="_Toc432175654"/>
      <w:r w:rsidRPr="005F15DA">
        <w:rPr>
          <w:lang w:val="de-CH"/>
        </w:rPr>
        <w:t>C</w:t>
      </w:r>
      <w:r w:rsidR="009457AB" w:rsidRPr="005F15DA">
        <w:rPr>
          <w:lang w:val="de-CH"/>
        </w:rPr>
        <w:t>.</w:t>
      </w:r>
      <w:r w:rsidR="009457AB" w:rsidRPr="005F15DA">
        <w:rPr>
          <w:lang w:val="de-CH"/>
        </w:rPr>
        <w:tab/>
      </w:r>
      <w:r w:rsidR="009D595C" w:rsidRPr="005F15DA">
        <w:rPr>
          <w:lang w:val="de-CH"/>
        </w:rPr>
        <w:t xml:space="preserve">Gesamteigentum (Art. 652 </w:t>
      </w:r>
      <w:r w:rsidR="00A8575C" w:rsidRPr="005F15DA">
        <w:rPr>
          <w:lang w:val="de-CH"/>
        </w:rPr>
        <w:t xml:space="preserve">- 654a </w:t>
      </w:r>
      <w:r w:rsidR="009D595C" w:rsidRPr="005F15DA">
        <w:rPr>
          <w:lang w:val="de-CH"/>
        </w:rPr>
        <w:t>ZGB)</w:t>
      </w:r>
      <w:bookmarkEnd w:id="134"/>
    </w:p>
    <w:p w:rsidR="009D595C" w:rsidRPr="005F15DA" w:rsidRDefault="009D595C" w:rsidP="008931CD">
      <w:pPr>
        <w:spacing w:line="240" w:lineRule="auto"/>
        <w:jc w:val="both"/>
        <w:rPr>
          <w:rFonts w:cs="Arial"/>
          <w:szCs w:val="22"/>
        </w:rPr>
      </w:pPr>
    </w:p>
    <w:p w:rsidR="00A8575C" w:rsidRPr="005F15DA" w:rsidRDefault="00A8575C" w:rsidP="008931CD">
      <w:pPr>
        <w:spacing w:line="240" w:lineRule="auto"/>
        <w:jc w:val="both"/>
        <w:rPr>
          <w:rFonts w:cs="Arial"/>
          <w:szCs w:val="22"/>
        </w:rPr>
      </w:pPr>
      <w:r w:rsidRPr="005F15DA">
        <w:rPr>
          <w:rFonts w:cs="Arial"/>
          <w:szCs w:val="22"/>
        </w:rPr>
        <w:t xml:space="preserve">Beim Gesamteigentum gehört eine Sache </w:t>
      </w:r>
      <w:r w:rsidRPr="005F15DA">
        <w:rPr>
          <w:rFonts w:cs="Arial"/>
          <w:b/>
          <w:szCs w:val="22"/>
        </w:rPr>
        <w:t>ungeteilt mehreren Personen</w:t>
      </w:r>
      <w:r w:rsidR="003D005B" w:rsidRPr="005F15DA">
        <w:rPr>
          <w:rFonts w:cs="Arial"/>
          <w:szCs w:val="22"/>
        </w:rPr>
        <w:t xml:space="preserve"> (einer Persone</w:t>
      </w:r>
      <w:r w:rsidR="003D005B" w:rsidRPr="005F15DA">
        <w:rPr>
          <w:rFonts w:cs="Arial"/>
          <w:szCs w:val="22"/>
        </w:rPr>
        <w:t>n</w:t>
      </w:r>
      <w:r w:rsidR="003D005B" w:rsidRPr="005F15DA">
        <w:rPr>
          <w:rFonts w:cs="Arial"/>
          <w:szCs w:val="22"/>
        </w:rPr>
        <w:t>gesamtheit)</w:t>
      </w:r>
      <w:r w:rsidRPr="005F15DA">
        <w:rPr>
          <w:rFonts w:cs="Arial"/>
          <w:szCs w:val="22"/>
        </w:rPr>
        <w:t xml:space="preserve">; von aussen sind </w:t>
      </w:r>
      <w:r w:rsidRPr="005F15DA">
        <w:rPr>
          <w:rFonts w:cs="Arial"/>
          <w:b/>
          <w:szCs w:val="22"/>
        </w:rPr>
        <w:t>keine Anteile sichtbar</w:t>
      </w:r>
      <w:r w:rsidRPr="005F15DA">
        <w:rPr>
          <w:rFonts w:cs="Arial"/>
          <w:szCs w:val="22"/>
        </w:rPr>
        <w:t>. Das Recht jedes Gesamteigentümers geht auf die gesamte Sache.</w:t>
      </w:r>
    </w:p>
    <w:p w:rsidR="00A8575C" w:rsidRPr="005F15DA" w:rsidRDefault="00A8575C" w:rsidP="008931CD">
      <w:pPr>
        <w:spacing w:line="240" w:lineRule="auto"/>
        <w:jc w:val="both"/>
        <w:rPr>
          <w:rFonts w:cs="Arial"/>
          <w:szCs w:val="22"/>
        </w:rPr>
      </w:pPr>
    </w:p>
    <w:p w:rsidR="00CF04FF" w:rsidRDefault="00CF04FF">
      <w:pPr>
        <w:spacing w:after="200"/>
        <w:rPr>
          <w:rFonts w:cs="Arial"/>
          <w:szCs w:val="22"/>
        </w:rPr>
      </w:pPr>
      <w:r>
        <w:rPr>
          <w:rFonts w:cs="Arial"/>
          <w:szCs w:val="22"/>
        </w:rPr>
        <w:br w:type="page"/>
      </w:r>
    </w:p>
    <w:p w:rsidR="003C5EB8" w:rsidRPr="005F15DA" w:rsidRDefault="003C5EB8" w:rsidP="008931CD">
      <w:pPr>
        <w:spacing w:line="240" w:lineRule="auto"/>
        <w:jc w:val="both"/>
        <w:rPr>
          <w:rFonts w:cs="Arial"/>
          <w:szCs w:val="22"/>
        </w:rPr>
      </w:pPr>
      <w:r w:rsidRPr="005F15DA">
        <w:rPr>
          <w:rFonts w:cs="Arial"/>
          <w:szCs w:val="22"/>
        </w:rPr>
        <w:lastRenderedPageBreak/>
        <w:t xml:space="preserve">Als </w:t>
      </w:r>
      <w:r w:rsidR="00A8575C" w:rsidRPr="005F15DA">
        <w:rPr>
          <w:rFonts w:cs="Arial"/>
          <w:szCs w:val="22"/>
        </w:rPr>
        <w:t xml:space="preserve">Gesamteigentumsverhältnissen </w:t>
      </w:r>
      <w:r w:rsidRPr="005F15DA">
        <w:rPr>
          <w:rFonts w:cs="Arial"/>
          <w:szCs w:val="22"/>
        </w:rPr>
        <w:t>kommen in Frage:</w:t>
      </w:r>
    </w:p>
    <w:p w:rsidR="003C5EB8" w:rsidRPr="005F15DA" w:rsidRDefault="00A8575C" w:rsidP="009D34F3">
      <w:pPr>
        <w:pStyle w:val="Listenabsatz"/>
        <w:numPr>
          <w:ilvl w:val="0"/>
          <w:numId w:val="4"/>
        </w:numPr>
        <w:spacing w:line="240" w:lineRule="auto"/>
        <w:ind w:left="426" w:hanging="426"/>
        <w:jc w:val="both"/>
        <w:rPr>
          <w:rFonts w:cs="Arial"/>
          <w:szCs w:val="22"/>
        </w:rPr>
      </w:pPr>
      <w:r w:rsidRPr="005F15DA">
        <w:rPr>
          <w:rFonts w:cs="Arial"/>
          <w:szCs w:val="22"/>
        </w:rPr>
        <w:t xml:space="preserve">die Erbengemeinschaft, </w:t>
      </w:r>
    </w:p>
    <w:p w:rsidR="003C5EB8" w:rsidRPr="005F15DA" w:rsidRDefault="00A8575C" w:rsidP="009D34F3">
      <w:pPr>
        <w:pStyle w:val="Listenabsatz"/>
        <w:numPr>
          <w:ilvl w:val="0"/>
          <w:numId w:val="4"/>
        </w:numPr>
        <w:spacing w:line="240" w:lineRule="auto"/>
        <w:ind w:left="426" w:hanging="426"/>
        <w:jc w:val="both"/>
        <w:rPr>
          <w:rFonts w:cs="Arial"/>
          <w:szCs w:val="22"/>
        </w:rPr>
      </w:pPr>
      <w:r w:rsidRPr="005F15DA">
        <w:rPr>
          <w:rFonts w:cs="Arial"/>
          <w:szCs w:val="22"/>
        </w:rPr>
        <w:t xml:space="preserve">Ehegatten unter Gütergemeinschaft, </w:t>
      </w:r>
    </w:p>
    <w:p w:rsidR="003C5EB8" w:rsidRPr="005F15DA" w:rsidRDefault="00A8575C" w:rsidP="009D34F3">
      <w:pPr>
        <w:pStyle w:val="Listenabsatz"/>
        <w:numPr>
          <w:ilvl w:val="0"/>
          <w:numId w:val="4"/>
        </w:numPr>
        <w:spacing w:line="240" w:lineRule="auto"/>
        <w:ind w:left="426" w:hanging="426"/>
        <w:jc w:val="both"/>
        <w:rPr>
          <w:rFonts w:cs="Arial"/>
          <w:szCs w:val="22"/>
        </w:rPr>
      </w:pPr>
      <w:r w:rsidRPr="005F15DA">
        <w:rPr>
          <w:rFonts w:cs="Arial"/>
          <w:szCs w:val="22"/>
        </w:rPr>
        <w:t xml:space="preserve">die </w:t>
      </w:r>
      <w:r w:rsidR="003D005B" w:rsidRPr="005F15DA">
        <w:rPr>
          <w:rFonts w:cs="Arial"/>
          <w:szCs w:val="22"/>
        </w:rPr>
        <w:t xml:space="preserve">einfache Gesellschaft, </w:t>
      </w:r>
    </w:p>
    <w:p w:rsidR="003C5EB8" w:rsidRPr="005F15DA" w:rsidRDefault="003D005B" w:rsidP="009D34F3">
      <w:pPr>
        <w:pStyle w:val="Listenabsatz"/>
        <w:numPr>
          <w:ilvl w:val="0"/>
          <w:numId w:val="4"/>
        </w:numPr>
        <w:spacing w:line="240" w:lineRule="auto"/>
        <w:ind w:left="426" w:hanging="426"/>
        <w:jc w:val="both"/>
        <w:rPr>
          <w:rFonts w:cs="Arial"/>
          <w:szCs w:val="22"/>
        </w:rPr>
      </w:pPr>
      <w:r w:rsidRPr="005F15DA">
        <w:rPr>
          <w:rFonts w:cs="Arial"/>
          <w:szCs w:val="22"/>
        </w:rPr>
        <w:t xml:space="preserve">die Kollektivgesellschaft und </w:t>
      </w:r>
    </w:p>
    <w:p w:rsidR="00A8575C" w:rsidRPr="005F15DA" w:rsidRDefault="003D005B" w:rsidP="009D34F3">
      <w:pPr>
        <w:pStyle w:val="Listenabsatz"/>
        <w:numPr>
          <w:ilvl w:val="0"/>
          <w:numId w:val="4"/>
        </w:numPr>
        <w:spacing w:line="240" w:lineRule="auto"/>
        <w:ind w:left="426" w:hanging="426"/>
        <w:jc w:val="both"/>
        <w:rPr>
          <w:rFonts w:cs="Arial"/>
          <w:szCs w:val="22"/>
        </w:rPr>
      </w:pPr>
      <w:r w:rsidRPr="005F15DA">
        <w:rPr>
          <w:rFonts w:cs="Arial"/>
          <w:szCs w:val="22"/>
        </w:rPr>
        <w:t>die Kommanditgesellschaft.</w:t>
      </w:r>
    </w:p>
    <w:p w:rsidR="00A8575C" w:rsidRPr="005F15DA" w:rsidRDefault="00A8575C" w:rsidP="008931CD">
      <w:pPr>
        <w:spacing w:line="240" w:lineRule="auto"/>
        <w:jc w:val="both"/>
        <w:rPr>
          <w:rFonts w:cs="Arial"/>
          <w:szCs w:val="22"/>
        </w:rPr>
      </w:pPr>
    </w:p>
    <w:p w:rsidR="00A8575C" w:rsidRPr="005F15DA" w:rsidRDefault="00A8575C" w:rsidP="008931CD">
      <w:pPr>
        <w:spacing w:line="240" w:lineRule="auto"/>
        <w:jc w:val="both"/>
        <w:rPr>
          <w:rFonts w:cs="Arial"/>
          <w:szCs w:val="22"/>
        </w:rPr>
      </w:pPr>
      <w:r w:rsidRPr="005F15DA">
        <w:rPr>
          <w:rFonts w:cs="Arial"/>
          <w:szCs w:val="22"/>
        </w:rPr>
        <w:t xml:space="preserve">Die Eigentümer können nur </w:t>
      </w:r>
      <w:r w:rsidRPr="005F15DA">
        <w:rPr>
          <w:rFonts w:cs="Arial"/>
          <w:b/>
          <w:szCs w:val="22"/>
        </w:rPr>
        <w:t>gemeinsam über die Sache verfügen</w:t>
      </w:r>
      <w:r w:rsidRPr="005F15DA">
        <w:rPr>
          <w:rFonts w:cs="Arial"/>
          <w:szCs w:val="22"/>
        </w:rPr>
        <w:t xml:space="preserve">. Eine Teilung der Sache ist ausgeschlossen. Die Aufhebung </w:t>
      </w:r>
      <w:r w:rsidR="00A572AC" w:rsidRPr="005F15DA">
        <w:rPr>
          <w:rFonts w:cs="Arial"/>
          <w:szCs w:val="22"/>
        </w:rPr>
        <w:t xml:space="preserve">des Gesamteigentums </w:t>
      </w:r>
      <w:r w:rsidRPr="005F15DA">
        <w:rPr>
          <w:rFonts w:cs="Arial"/>
          <w:szCs w:val="22"/>
        </w:rPr>
        <w:t>erfolgt durch Veräusserung der Sache oder Beendigung der Gemeinschaft.</w:t>
      </w:r>
    </w:p>
    <w:p w:rsidR="00A8575C" w:rsidRPr="005F15DA" w:rsidRDefault="00A8575C" w:rsidP="008931CD">
      <w:pPr>
        <w:spacing w:line="240" w:lineRule="auto"/>
        <w:jc w:val="both"/>
        <w:rPr>
          <w:rFonts w:cs="Arial"/>
          <w:szCs w:val="22"/>
        </w:rPr>
      </w:pPr>
    </w:p>
    <w:p w:rsidR="00A8575C" w:rsidRPr="005F15DA" w:rsidRDefault="00A8575C" w:rsidP="008931CD">
      <w:pPr>
        <w:spacing w:line="240" w:lineRule="auto"/>
        <w:jc w:val="both"/>
        <w:rPr>
          <w:rFonts w:cs="Arial"/>
          <w:szCs w:val="22"/>
        </w:rPr>
      </w:pPr>
      <w:r w:rsidRPr="005F15DA">
        <w:rPr>
          <w:rFonts w:cs="Arial"/>
          <w:szCs w:val="22"/>
        </w:rPr>
        <w:t xml:space="preserve">Für die Schulden der Gemeinschaft besteht eine </w:t>
      </w:r>
      <w:r w:rsidRPr="005F15DA">
        <w:rPr>
          <w:rFonts w:cs="Arial"/>
          <w:b/>
          <w:szCs w:val="22"/>
        </w:rPr>
        <w:t>Solidarhaftung</w:t>
      </w:r>
      <w:r w:rsidRPr="005F15DA">
        <w:rPr>
          <w:rFonts w:cs="Arial"/>
          <w:szCs w:val="22"/>
        </w:rPr>
        <w:t>, d.h. jeder Gesamteigent</w:t>
      </w:r>
      <w:r w:rsidRPr="005F15DA">
        <w:rPr>
          <w:rFonts w:cs="Arial"/>
          <w:szCs w:val="22"/>
        </w:rPr>
        <w:t>ü</w:t>
      </w:r>
      <w:r w:rsidRPr="005F15DA">
        <w:rPr>
          <w:rFonts w:cs="Arial"/>
          <w:szCs w:val="22"/>
        </w:rPr>
        <w:t>mer haftet mit seinem gesamten persönlichen Vermögen für die Schulden der Gemeinschaft</w:t>
      </w:r>
      <w:r w:rsidR="00874C5F" w:rsidRPr="005F15DA">
        <w:rPr>
          <w:rFonts w:cs="Arial"/>
          <w:szCs w:val="22"/>
        </w:rPr>
        <w:t>.</w:t>
      </w:r>
    </w:p>
    <w:p w:rsidR="00874C5F" w:rsidRPr="005F15DA" w:rsidRDefault="00874C5F" w:rsidP="008931CD">
      <w:pPr>
        <w:spacing w:line="240" w:lineRule="auto"/>
        <w:jc w:val="both"/>
        <w:rPr>
          <w:rFonts w:cs="Arial"/>
          <w:szCs w:val="22"/>
        </w:rPr>
      </w:pPr>
    </w:p>
    <w:p w:rsidR="00874C5F" w:rsidRPr="005F15DA" w:rsidRDefault="00874C5F" w:rsidP="008931CD">
      <w:pPr>
        <w:spacing w:line="240" w:lineRule="auto"/>
        <w:jc w:val="both"/>
        <w:rPr>
          <w:rFonts w:cs="Arial"/>
          <w:szCs w:val="22"/>
        </w:rPr>
      </w:pPr>
    </w:p>
    <w:p w:rsidR="009457AB" w:rsidRPr="005F15DA" w:rsidRDefault="009457AB" w:rsidP="008931CD">
      <w:pPr>
        <w:spacing w:line="240" w:lineRule="auto"/>
        <w:jc w:val="both"/>
        <w:rPr>
          <w:rFonts w:cs="Arial"/>
          <w:szCs w:val="22"/>
        </w:rPr>
      </w:pPr>
    </w:p>
    <w:p w:rsidR="00874C5F" w:rsidRPr="005F15DA" w:rsidRDefault="00874C5F" w:rsidP="008931CD">
      <w:pPr>
        <w:spacing w:line="240" w:lineRule="auto"/>
        <w:jc w:val="both"/>
        <w:rPr>
          <w:rFonts w:cs="Arial"/>
          <w:szCs w:val="22"/>
        </w:rPr>
      </w:pPr>
    </w:p>
    <w:p w:rsidR="00874C5F" w:rsidRPr="005F15DA" w:rsidRDefault="00651AD5" w:rsidP="00E36E8F">
      <w:pPr>
        <w:pStyle w:val="berschrift2"/>
        <w:rPr>
          <w:szCs w:val="32"/>
        </w:rPr>
      </w:pPr>
      <w:bookmarkStart w:id="135" w:name="_Toc432175655"/>
      <w:r w:rsidRPr="005F15DA">
        <w:rPr>
          <w:szCs w:val="32"/>
        </w:rPr>
        <w:t xml:space="preserve">III. </w:t>
      </w:r>
      <w:r w:rsidR="00874C5F" w:rsidRPr="005F15DA">
        <w:rPr>
          <w:szCs w:val="32"/>
        </w:rPr>
        <w:t>Grundeigentum (Art. 655 ff. ZGB)</w:t>
      </w:r>
      <w:bookmarkEnd w:id="135"/>
    </w:p>
    <w:p w:rsidR="00EE0A0C" w:rsidRPr="005F15DA" w:rsidRDefault="00EE0A0C" w:rsidP="00EE0A0C">
      <w:r w:rsidRPr="005F15DA">
        <w:t>______________</w:t>
      </w:r>
      <w:r w:rsidR="00CF04FF">
        <w:t>_______________________________</w:t>
      </w:r>
    </w:p>
    <w:p w:rsidR="00874C5F" w:rsidRPr="005F15DA" w:rsidRDefault="00874C5F" w:rsidP="00AC49CC">
      <w:pPr>
        <w:spacing w:line="240" w:lineRule="auto"/>
        <w:rPr>
          <w:rFonts w:cs="Arial"/>
          <w:szCs w:val="22"/>
        </w:rPr>
      </w:pPr>
    </w:p>
    <w:p w:rsidR="002775AC" w:rsidRPr="005F15DA" w:rsidRDefault="002775AC" w:rsidP="00AC49CC">
      <w:pPr>
        <w:spacing w:line="240" w:lineRule="auto"/>
        <w:rPr>
          <w:rFonts w:cs="Arial"/>
          <w:szCs w:val="22"/>
        </w:rPr>
      </w:pPr>
    </w:p>
    <w:p w:rsidR="002775AC" w:rsidRPr="005F15DA" w:rsidRDefault="009457AB" w:rsidP="009457AB">
      <w:pPr>
        <w:pStyle w:val="berschrift3"/>
        <w:rPr>
          <w:lang w:val="de-CH"/>
        </w:rPr>
      </w:pPr>
      <w:bookmarkStart w:id="136" w:name="_Toc432175656"/>
      <w:r w:rsidRPr="005F15DA">
        <w:rPr>
          <w:lang w:val="de-CH"/>
        </w:rPr>
        <w:t>A.</w:t>
      </w:r>
      <w:r w:rsidRPr="005F15DA">
        <w:rPr>
          <w:lang w:val="de-CH"/>
        </w:rPr>
        <w:tab/>
      </w:r>
      <w:r w:rsidR="00DB4E21" w:rsidRPr="005F15DA">
        <w:rPr>
          <w:lang w:val="de-CH"/>
        </w:rPr>
        <w:t>Gegenstand</w:t>
      </w:r>
      <w:r w:rsidR="00344AD5" w:rsidRPr="005F15DA">
        <w:rPr>
          <w:lang w:val="de-CH"/>
        </w:rPr>
        <w:t xml:space="preserve"> </w:t>
      </w:r>
      <w:r w:rsidR="00DB4E21" w:rsidRPr="005F15DA">
        <w:rPr>
          <w:lang w:val="de-CH"/>
        </w:rPr>
        <w:t xml:space="preserve">des </w:t>
      </w:r>
      <w:r w:rsidR="00440E84" w:rsidRPr="005F15DA">
        <w:rPr>
          <w:lang w:val="de-CH"/>
        </w:rPr>
        <w:t>Grunde</w:t>
      </w:r>
      <w:r w:rsidR="002775AC" w:rsidRPr="005F15DA">
        <w:rPr>
          <w:lang w:val="de-CH"/>
        </w:rPr>
        <w:t>igentum</w:t>
      </w:r>
      <w:r w:rsidR="00DB4E21" w:rsidRPr="005F15DA">
        <w:rPr>
          <w:lang w:val="de-CH"/>
        </w:rPr>
        <w:t>s</w:t>
      </w:r>
      <w:bookmarkEnd w:id="136"/>
    </w:p>
    <w:p w:rsidR="002775AC" w:rsidRPr="005F15DA" w:rsidRDefault="002775AC" w:rsidP="008851FF">
      <w:pPr>
        <w:spacing w:line="240" w:lineRule="auto"/>
        <w:jc w:val="both"/>
        <w:rPr>
          <w:rFonts w:cs="Arial"/>
          <w:szCs w:val="22"/>
        </w:rPr>
      </w:pPr>
    </w:p>
    <w:p w:rsidR="00CA68CC" w:rsidRPr="005F15DA" w:rsidRDefault="00460A05" w:rsidP="00460A05">
      <w:pPr>
        <w:pStyle w:val="berschrift4"/>
        <w:tabs>
          <w:tab w:val="left" w:pos="426"/>
        </w:tabs>
      </w:pPr>
      <w:r w:rsidRPr="005F15DA">
        <w:t>1.</w:t>
      </w:r>
      <w:r w:rsidRPr="005F15DA">
        <w:tab/>
      </w:r>
      <w:r w:rsidR="00CA68CC" w:rsidRPr="005F15DA">
        <w:t>Grundstücke</w:t>
      </w:r>
      <w:r w:rsidR="00344AD5" w:rsidRPr="005F15DA">
        <w:t xml:space="preserve"> (Art. 655 ZGB)</w:t>
      </w:r>
    </w:p>
    <w:p w:rsidR="00874C5F" w:rsidRPr="005F15DA" w:rsidRDefault="00CA68CC" w:rsidP="008851FF">
      <w:pPr>
        <w:tabs>
          <w:tab w:val="left" w:pos="426"/>
        </w:tabs>
        <w:spacing w:line="240" w:lineRule="auto"/>
        <w:ind w:left="426" w:hanging="426"/>
        <w:jc w:val="both"/>
        <w:rPr>
          <w:rFonts w:cs="Arial"/>
          <w:szCs w:val="22"/>
        </w:rPr>
      </w:pPr>
      <w:r w:rsidRPr="005F15DA">
        <w:rPr>
          <w:rFonts w:cs="Arial"/>
          <w:szCs w:val="22"/>
        </w:rPr>
        <w:tab/>
        <w:t>Grunde</w:t>
      </w:r>
      <w:r w:rsidR="00874C5F" w:rsidRPr="005F15DA">
        <w:rPr>
          <w:rFonts w:cs="Arial"/>
          <w:szCs w:val="22"/>
        </w:rPr>
        <w:t xml:space="preserve">igentum besteht an Grundstücken. </w:t>
      </w:r>
      <w:r w:rsidR="00874C5F" w:rsidRPr="005F15DA">
        <w:rPr>
          <w:rFonts w:cs="Arial"/>
          <w:b/>
          <w:szCs w:val="22"/>
        </w:rPr>
        <w:t>Grundstücke</w:t>
      </w:r>
      <w:r w:rsidR="00874C5F" w:rsidRPr="005F15DA">
        <w:rPr>
          <w:rFonts w:cs="Arial"/>
          <w:szCs w:val="22"/>
        </w:rPr>
        <w:t xml:space="preserve"> im Sinne von Art. 655 Abs. 2 ZGB sind:</w:t>
      </w:r>
    </w:p>
    <w:p w:rsidR="00874C5F" w:rsidRPr="005F15DA" w:rsidRDefault="00874C5F" w:rsidP="009D34F3">
      <w:pPr>
        <w:pStyle w:val="Listenabsatz"/>
        <w:numPr>
          <w:ilvl w:val="0"/>
          <w:numId w:val="5"/>
        </w:numPr>
        <w:spacing w:line="240" w:lineRule="auto"/>
        <w:jc w:val="both"/>
        <w:rPr>
          <w:rFonts w:cs="Arial"/>
          <w:szCs w:val="22"/>
        </w:rPr>
      </w:pPr>
      <w:r w:rsidRPr="005F15DA">
        <w:rPr>
          <w:rFonts w:cs="Arial"/>
          <w:szCs w:val="22"/>
        </w:rPr>
        <w:t>die Liegenschaften;</w:t>
      </w:r>
    </w:p>
    <w:p w:rsidR="00874C5F" w:rsidRPr="005F15DA" w:rsidRDefault="00874C5F" w:rsidP="009D34F3">
      <w:pPr>
        <w:pStyle w:val="Listenabsatz"/>
        <w:numPr>
          <w:ilvl w:val="0"/>
          <w:numId w:val="5"/>
        </w:numPr>
        <w:spacing w:line="240" w:lineRule="auto"/>
        <w:jc w:val="both"/>
        <w:rPr>
          <w:rFonts w:cs="Arial"/>
          <w:szCs w:val="22"/>
        </w:rPr>
      </w:pPr>
      <w:r w:rsidRPr="005F15DA">
        <w:rPr>
          <w:rFonts w:cs="Arial"/>
          <w:szCs w:val="22"/>
        </w:rPr>
        <w:t>die in das Grundbuch aufgenommenen selbständigen und dauernden Rechte;</w:t>
      </w:r>
    </w:p>
    <w:p w:rsidR="00874C5F" w:rsidRPr="005F15DA" w:rsidRDefault="00874C5F" w:rsidP="009D34F3">
      <w:pPr>
        <w:pStyle w:val="Listenabsatz"/>
        <w:numPr>
          <w:ilvl w:val="0"/>
          <w:numId w:val="5"/>
        </w:numPr>
        <w:spacing w:line="240" w:lineRule="auto"/>
        <w:jc w:val="both"/>
        <w:rPr>
          <w:rFonts w:cs="Arial"/>
          <w:szCs w:val="22"/>
        </w:rPr>
      </w:pPr>
      <w:r w:rsidRPr="005F15DA">
        <w:rPr>
          <w:rFonts w:cs="Arial"/>
          <w:szCs w:val="22"/>
        </w:rPr>
        <w:t>die Bergwerke;</w:t>
      </w:r>
    </w:p>
    <w:p w:rsidR="00874C5F" w:rsidRPr="005F15DA" w:rsidRDefault="00874C5F" w:rsidP="009D34F3">
      <w:pPr>
        <w:pStyle w:val="Listenabsatz"/>
        <w:numPr>
          <w:ilvl w:val="0"/>
          <w:numId w:val="5"/>
        </w:numPr>
        <w:spacing w:line="240" w:lineRule="auto"/>
        <w:jc w:val="both"/>
        <w:rPr>
          <w:rFonts w:cs="Arial"/>
          <w:szCs w:val="22"/>
        </w:rPr>
      </w:pPr>
      <w:r w:rsidRPr="005F15DA">
        <w:rPr>
          <w:rFonts w:cs="Arial"/>
          <w:szCs w:val="22"/>
        </w:rPr>
        <w:t>die Miteigentumsanteile an Grundstücken.</w:t>
      </w:r>
    </w:p>
    <w:p w:rsidR="00874C5F" w:rsidRPr="005F15DA" w:rsidRDefault="00874C5F" w:rsidP="008851FF">
      <w:pPr>
        <w:spacing w:line="240" w:lineRule="auto"/>
        <w:ind w:left="851" w:hanging="425"/>
        <w:jc w:val="both"/>
        <w:rPr>
          <w:rFonts w:cs="Arial"/>
          <w:szCs w:val="22"/>
        </w:rPr>
      </w:pPr>
    </w:p>
    <w:p w:rsidR="003D005B" w:rsidRPr="005F15DA" w:rsidRDefault="00CA68CC" w:rsidP="006615B1">
      <w:pPr>
        <w:pStyle w:val="berschrift5"/>
      </w:pPr>
      <w:r w:rsidRPr="005F15DA">
        <w:t>a</w:t>
      </w:r>
      <w:r w:rsidR="003D005B" w:rsidRPr="005F15DA">
        <w:t>.</w:t>
      </w:r>
      <w:r w:rsidR="003D005B" w:rsidRPr="005F15DA">
        <w:tab/>
        <w:t>Liegenschaften</w:t>
      </w:r>
    </w:p>
    <w:p w:rsidR="00440E84" w:rsidRPr="005F15DA" w:rsidRDefault="003D005B" w:rsidP="008851FF">
      <w:pPr>
        <w:tabs>
          <w:tab w:val="left" w:pos="426"/>
          <w:tab w:val="left" w:pos="851"/>
        </w:tabs>
        <w:spacing w:line="240" w:lineRule="auto"/>
        <w:ind w:left="851" w:hanging="425"/>
        <w:jc w:val="both"/>
        <w:rPr>
          <w:rFonts w:cs="Arial"/>
          <w:szCs w:val="22"/>
        </w:rPr>
      </w:pPr>
      <w:r w:rsidRPr="005F15DA">
        <w:rPr>
          <w:rFonts w:cs="Arial"/>
          <w:szCs w:val="22"/>
        </w:rPr>
        <w:tab/>
      </w:r>
      <w:r w:rsidR="00DA00AC" w:rsidRPr="005F15DA">
        <w:rPr>
          <w:rFonts w:cs="Arial"/>
          <w:szCs w:val="22"/>
        </w:rPr>
        <w:t xml:space="preserve">Eine Liegenschaft ist jede </w:t>
      </w:r>
      <w:r w:rsidR="00DA00AC" w:rsidRPr="005F15DA">
        <w:rPr>
          <w:rFonts w:cs="Arial"/>
          <w:b/>
          <w:szCs w:val="22"/>
        </w:rPr>
        <w:t>Bodenfläche mit genügend bestimmten Grenzen</w:t>
      </w:r>
      <w:r w:rsidR="00DA00AC" w:rsidRPr="005F15DA">
        <w:rPr>
          <w:rFonts w:cs="Arial"/>
          <w:szCs w:val="22"/>
        </w:rPr>
        <w:t xml:space="preserve"> (Art. 2 Bst. a GBV). Der genaue Grenzverlauf zwischen zwei Liegenschaften ist aus den Plänen des Geometers ersichtlich; im Gelände sind die Grenzen mit Marchsteinen gesetzt. Bei Unklarheiten oder Streitigkeiten über den Grenzverlauf ist der Geom</w:t>
      </w:r>
      <w:r w:rsidR="00DA00AC" w:rsidRPr="005F15DA">
        <w:rPr>
          <w:rFonts w:cs="Arial"/>
          <w:szCs w:val="22"/>
        </w:rPr>
        <w:t>e</w:t>
      </w:r>
      <w:r w:rsidR="00DA00AC" w:rsidRPr="005F15DA">
        <w:rPr>
          <w:rFonts w:cs="Arial"/>
          <w:szCs w:val="22"/>
        </w:rPr>
        <w:t xml:space="preserve">terplan massgeblich (Art. 668 Abs. 2 ZGB). </w:t>
      </w:r>
    </w:p>
    <w:p w:rsidR="00440E84" w:rsidRPr="005F15DA" w:rsidRDefault="00440E84" w:rsidP="008851FF">
      <w:pPr>
        <w:tabs>
          <w:tab w:val="left" w:pos="426"/>
          <w:tab w:val="left" w:pos="851"/>
        </w:tabs>
        <w:spacing w:line="240" w:lineRule="auto"/>
        <w:ind w:left="851" w:hanging="425"/>
        <w:jc w:val="both"/>
        <w:rPr>
          <w:rFonts w:cs="Arial"/>
          <w:szCs w:val="22"/>
        </w:rPr>
      </w:pPr>
      <w:r w:rsidRPr="005F15DA">
        <w:rPr>
          <w:rFonts w:cs="Arial"/>
          <w:szCs w:val="22"/>
        </w:rPr>
        <w:tab/>
      </w:r>
      <w:r w:rsidR="00DA00AC" w:rsidRPr="005F15DA">
        <w:rPr>
          <w:rFonts w:cs="Arial"/>
          <w:szCs w:val="22"/>
        </w:rPr>
        <w:t xml:space="preserve">Das Eigentumsrecht erstreckt sich nach oben und unten auf den Luftraum und das Erdreich, soweit für die Ausübung des Eigentums ein Interesse besteht (Art. 667 Abs. 1 ZGB). </w:t>
      </w:r>
    </w:p>
    <w:p w:rsidR="00874C5F" w:rsidRPr="005F15DA" w:rsidRDefault="00440E84" w:rsidP="008851FF">
      <w:pPr>
        <w:tabs>
          <w:tab w:val="left" w:pos="426"/>
          <w:tab w:val="left" w:pos="851"/>
        </w:tabs>
        <w:spacing w:line="240" w:lineRule="auto"/>
        <w:ind w:left="851" w:hanging="425"/>
        <w:jc w:val="both"/>
        <w:rPr>
          <w:rFonts w:cs="Arial"/>
          <w:szCs w:val="22"/>
        </w:rPr>
      </w:pPr>
      <w:r w:rsidRPr="005F15DA">
        <w:rPr>
          <w:rFonts w:cs="Arial"/>
          <w:szCs w:val="22"/>
        </w:rPr>
        <w:tab/>
      </w:r>
      <w:r w:rsidR="00DA00AC" w:rsidRPr="005F15DA">
        <w:rPr>
          <w:rFonts w:cs="Arial"/>
          <w:szCs w:val="22"/>
        </w:rPr>
        <w:t>Das Eigentumsrecht umfasst, unter Vorbehalt der gesetzlichen Schranken, alle mit dem Boden fest verbundenen Bauten, Pflanzen und Quellen (Art. 667 Abs. 2 ZGB).</w:t>
      </w:r>
    </w:p>
    <w:p w:rsidR="00440E84" w:rsidRPr="005F15DA" w:rsidRDefault="00440E84" w:rsidP="008851FF">
      <w:pPr>
        <w:tabs>
          <w:tab w:val="left" w:pos="426"/>
          <w:tab w:val="left" w:pos="851"/>
        </w:tabs>
        <w:spacing w:line="240" w:lineRule="auto"/>
        <w:ind w:left="851" w:hanging="425"/>
        <w:jc w:val="both"/>
        <w:rPr>
          <w:rFonts w:cs="Arial"/>
          <w:szCs w:val="22"/>
        </w:rPr>
      </w:pPr>
      <w:r w:rsidRPr="005F15DA">
        <w:rPr>
          <w:rFonts w:cs="Arial"/>
          <w:szCs w:val="22"/>
        </w:rPr>
        <w:tab/>
        <w:t>Wenn Grundstückabgrenzungen (Mauern, Zäune, Hecken usw.) auf der Grenze st</w:t>
      </w:r>
      <w:r w:rsidRPr="005F15DA">
        <w:rPr>
          <w:rFonts w:cs="Arial"/>
          <w:szCs w:val="22"/>
        </w:rPr>
        <w:t>e</w:t>
      </w:r>
      <w:r w:rsidRPr="005F15DA">
        <w:rPr>
          <w:rFonts w:cs="Arial"/>
          <w:szCs w:val="22"/>
        </w:rPr>
        <w:t>hen, wird Miteigentum der Grundeigentümer vermutet (Art. 670 ZGB).</w:t>
      </w:r>
    </w:p>
    <w:p w:rsidR="003D005B" w:rsidRPr="005F15DA" w:rsidRDefault="003D005B" w:rsidP="008851FF">
      <w:pPr>
        <w:tabs>
          <w:tab w:val="left" w:pos="426"/>
          <w:tab w:val="left" w:pos="851"/>
        </w:tabs>
        <w:spacing w:line="240" w:lineRule="auto"/>
        <w:ind w:left="851" w:hanging="425"/>
        <w:jc w:val="both"/>
        <w:rPr>
          <w:rFonts w:cs="Arial"/>
          <w:szCs w:val="22"/>
        </w:rPr>
      </w:pPr>
    </w:p>
    <w:p w:rsidR="003D005B" w:rsidRPr="005F15DA" w:rsidRDefault="00CA68CC" w:rsidP="00D6095B">
      <w:pPr>
        <w:pStyle w:val="berschrift5"/>
      </w:pPr>
      <w:r w:rsidRPr="005F15DA">
        <w:t>b</w:t>
      </w:r>
      <w:r w:rsidR="003D005B" w:rsidRPr="005F15DA">
        <w:t>.</w:t>
      </w:r>
      <w:r w:rsidR="003D005B" w:rsidRPr="005F15DA">
        <w:tab/>
        <w:t>Selbständige und dauernde Rechte</w:t>
      </w:r>
    </w:p>
    <w:p w:rsidR="003D005B" w:rsidRPr="005F15DA" w:rsidRDefault="003D005B" w:rsidP="008851FF">
      <w:pPr>
        <w:tabs>
          <w:tab w:val="left" w:pos="426"/>
          <w:tab w:val="left" w:pos="851"/>
        </w:tabs>
        <w:spacing w:line="240" w:lineRule="auto"/>
        <w:ind w:left="851" w:hanging="425"/>
        <w:jc w:val="both"/>
        <w:rPr>
          <w:rFonts w:cs="Arial"/>
          <w:szCs w:val="22"/>
        </w:rPr>
      </w:pPr>
      <w:r w:rsidRPr="005F15DA">
        <w:rPr>
          <w:rFonts w:cs="Arial"/>
          <w:szCs w:val="22"/>
        </w:rPr>
        <w:tab/>
      </w:r>
      <w:r w:rsidR="00D929B2" w:rsidRPr="005F15DA">
        <w:rPr>
          <w:rFonts w:cs="Arial"/>
          <w:szCs w:val="22"/>
        </w:rPr>
        <w:t xml:space="preserve">Ein selbständiges und dauerndes Recht (SDR) ist eine </w:t>
      </w:r>
      <w:r w:rsidR="00D929B2" w:rsidRPr="005F15DA">
        <w:rPr>
          <w:rFonts w:cs="Arial"/>
          <w:b/>
          <w:szCs w:val="22"/>
        </w:rPr>
        <w:t>speziell ausgestaltete Dienstbarkeit</w:t>
      </w:r>
      <w:r w:rsidR="00D929B2" w:rsidRPr="005F15DA">
        <w:rPr>
          <w:rFonts w:cs="Arial"/>
          <w:szCs w:val="22"/>
        </w:rPr>
        <w:t>. Damit ein selbständiges Grundbuchblatt eröffnet werden kann, muss der Berechtigte dies schriftlich beim Grundbuch beantragen. Zwei Voraussetzungen müssen gemäss Art. 655 Abs. 3 ZGB erfüllt sein:</w:t>
      </w:r>
    </w:p>
    <w:p w:rsidR="00D929B2" w:rsidRPr="005F15DA" w:rsidRDefault="00D929B2" w:rsidP="009D34F3">
      <w:pPr>
        <w:pStyle w:val="Listenabsatz"/>
        <w:numPr>
          <w:ilvl w:val="0"/>
          <w:numId w:val="6"/>
        </w:numPr>
        <w:tabs>
          <w:tab w:val="left" w:pos="426"/>
        </w:tabs>
        <w:spacing w:line="240" w:lineRule="auto"/>
        <w:ind w:hanging="295"/>
        <w:jc w:val="both"/>
        <w:rPr>
          <w:rFonts w:cs="Arial"/>
          <w:szCs w:val="22"/>
        </w:rPr>
      </w:pPr>
      <w:r w:rsidRPr="005F15DA">
        <w:rPr>
          <w:rFonts w:cs="Arial"/>
          <w:szCs w:val="22"/>
        </w:rPr>
        <w:t>die Dienstbarkeit muss zugunsten einer Person lauten und sie muss übertragbar sein (= selbständig) und</w:t>
      </w:r>
    </w:p>
    <w:p w:rsidR="00D929B2" w:rsidRPr="005F15DA" w:rsidRDefault="00D929B2" w:rsidP="009D34F3">
      <w:pPr>
        <w:pStyle w:val="Listenabsatz"/>
        <w:numPr>
          <w:ilvl w:val="0"/>
          <w:numId w:val="6"/>
        </w:numPr>
        <w:tabs>
          <w:tab w:val="left" w:pos="426"/>
        </w:tabs>
        <w:spacing w:line="240" w:lineRule="auto"/>
        <w:ind w:hanging="295"/>
        <w:jc w:val="both"/>
        <w:rPr>
          <w:rFonts w:cs="Arial"/>
          <w:szCs w:val="22"/>
        </w:rPr>
      </w:pPr>
      <w:r w:rsidRPr="005F15DA">
        <w:rPr>
          <w:rFonts w:cs="Arial"/>
          <w:szCs w:val="22"/>
        </w:rPr>
        <w:lastRenderedPageBreak/>
        <w:t>die Dienstbarkeit muss für mindestens 30 Jahre oder auf unbestimmte Zeit b</w:t>
      </w:r>
      <w:r w:rsidRPr="005F15DA">
        <w:rPr>
          <w:rFonts w:cs="Arial"/>
          <w:szCs w:val="22"/>
        </w:rPr>
        <w:t>e</w:t>
      </w:r>
      <w:r w:rsidRPr="005F15DA">
        <w:rPr>
          <w:rFonts w:cs="Arial"/>
          <w:szCs w:val="22"/>
        </w:rPr>
        <w:t>gründet werden (= dauernd).</w:t>
      </w:r>
    </w:p>
    <w:p w:rsidR="00D929B2" w:rsidRPr="005F15DA" w:rsidRDefault="00D929B2" w:rsidP="008851FF">
      <w:pPr>
        <w:tabs>
          <w:tab w:val="left" w:pos="426"/>
          <w:tab w:val="left" w:pos="851"/>
        </w:tabs>
        <w:spacing w:line="240" w:lineRule="auto"/>
        <w:ind w:left="851" w:hanging="425"/>
        <w:jc w:val="both"/>
        <w:rPr>
          <w:rFonts w:cs="Arial"/>
          <w:szCs w:val="22"/>
        </w:rPr>
      </w:pPr>
      <w:r w:rsidRPr="005F15DA">
        <w:rPr>
          <w:rFonts w:cs="Arial"/>
          <w:szCs w:val="22"/>
        </w:rPr>
        <w:tab/>
      </w:r>
      <w:r w:rsidR="0006427B" w:rsidRPr="005F15DA">
        <w:rPr>
          <w:rFonts w:cs="Arial"/>
          <w:szCs w:val="22"/>
        </w:rPr>
        <w:t>Am bekanntesten sind das Baurecht (Art. 779 - 779l ZGB), d.h. das Recht auf fre</w:t>
      </w:r>
      <w:r w:rsidR="0006427B" w:rsidRPr="005F15DA">
        <w:rPr>
          <w:rFonts w:cs="Arial"/>
          <w:szCs w:val="22"/>
        </w:rPr>
        <w:t>m</w:t>
      </w:r>
      <w:r w:rsidR="0006427B" w:rsidRPr="005F15DA">
        <w:rPr>
          <w:rFonts w:cs="Arial"/>
          <w:szCs w:val="22"/>
        </w:rPr>
        <w:t>dem Boden zu bauen, und das Quellenrecht (Art. 780 ZGB), d.h. das Recht, das Wasser einer Quelle auf fremdem Boden zu fassen und abzuleiten. Ein selbständ</w:t>
      </w:r>
      <w:r w:rsidR="0006427B" w:rsidRPr="005F15DA">
        <w:rPr>
          <w:rFonts w:cs="Arial"/>
          <w:szCs w:val="22"/>
        </w:rPr>
        <w:t>i</w:t>
      </w:r>
      <w:r w:rsidR="0006427B" w:rsidRPr="005F15DA">
        <w:rPr>
          <w:rFonts w:cs="Arial"/>
          <w:szCs w:val="22"/>
        </w:rPr>
        <w:t>ges Baurecht kann auf maximal 100 Jahre begründet werden.</w:t>
      </w:r>
    </w:p>
    <w:p w:rsidR="003D005B" w:rsidRPr="005F15DA" w:rsidRDefault="003D005B" w:rsidP="008851FF">
      <w:pPr>
        <w:tabs>
          <w:tab w:val="left" w:pos="426"/>
          <w:tab w:val="left" w:pos="851"/>
        </w:tabs>
        <w:spacing w:line="240" w:lineRule="auto"/>
        <w:ind w:left="851" w:hanging="425"/>
        <w:jc w:val="both"/>
        <w:rPr>
          <w:rFonts w:cs="Arial"/>
          <w:szCs w:val="22"/>
        </w:rPr>
      </w:pPr>
    </w:p>
    <w:p w:rsidR="003D005B" w:rsidRPr="005F15DA" w:rsidRDefault="00CA68CC" w:rsidP="00D6095B">
      <w:pPr>
        <w:pStyle w:val="berschrift5"/>
      </w:pPr>
      <w:r w:rsidRPr="005F15DA">
        <w:t>c</w:t>
      </w:r>
      <w:r w:rsidR="003D005B" w:rsidRPr="005F15DA">
        <w:t>.</w:t>
      </w:r>
      <w:r w:rsidR="003D005B" w:rsidRPr="005F15DA">
        <w:tab/>
        <w:t>Bergwerke</w:t>
      </w:r>
    </w:p>
    <w:p w:rsidR="003D005B" w:rsidRPr="005F15DA" w:rsidRDefault="003D005B" w:rsidP="008851FF">
      <w:pPr>
        <w:tabs>
          <w:tab w:val="left" w:pos="426"/>
          <w:tab w:val="left" w:pos="851"/>
        </w:tabs>
        <w:spacing w:line="240" w:lineRule="auto"/>
        <w:ind w:left="851" w:hanging="425"/>
        <w:jc w:val="both"/>
        <w:rPr>
          <w:rFonts w:cs="Arial"/>
          <w:szCs w:val="22"/>
        </w:rPr>
      </w:pPr>
      <w:r w:rsidRPr="005F15DA">
        <w:rPr>
          <w:rFonts w:cs="Arial"/>
          <w:szCs w:val="22"/>
        </w:rPr>
        <w:tab/>
      </w:r>
      <w:r w:rsidR="0006427B" w:rsidRPr="005F15DA">
        <w:rPr>
          <w:rFonts w:cs="Arial"/>
          <w:szCs w:val="22"/>
        </w:rPr>
        <w:t>Ein Bergwerk ist das Recht zur Ausbeutung von Mineralien im Erdinneren. Für das Bergwerk wird auf Begehren des Berechtigten ein separates Grundbuchblatt eröffnet.</w:t>
      </w:r>
    </w:p>
    <w:p w:rsidR="003D005B" w:rsidRPr="005F15DA" w:rsidRDefault="003D005B" w:rsidP="008851FF">
      <w:pPr>
        <w:tabs>
          <w:tab w:val="left" w:pos="426"/>
          <w:tab w:val="left" w:pos="851"/>
        </w:tabs>
        <w:spacing w:line="240" w:lineRule="auto"/>
        <w:ind w:left="851" w:hanging="425"/>
        <w:jc w:val="both"/>
        <w:rPr>
          <w:rFonts w:cs="Arial"/>
          <w:szCs w:val="22"/>
        </w:rPr>
      </w:pPr>
    </w:p>
    <w:p w:rsidR="003D005B" w:rsidRPr="005F15DA" w:rsidRDefault="00CA68CC" w:rsidP="00D6095B">
      <w:pPr>
        <w:pStyle w:val="berschrift5"/>
      </w:pPr>
      <w:r w:rsidRPr="005F15DA">
        <w:t>d</w:t>
      </w:r>
      <w:r w:rsidR="003D005B" w:rsidRPr="005F15DA">
        <w:t>.</w:t>
      </w:r>
      <w:r w:rsidR="003D005B" w:rsidRPr="005F15DA">
        <w:tab/>
        <w:t>Miteigentumsanteile an Grundstücken</w:t>
      </w:r>
    </w:p>
    <w:p w:rsidR="003D005B" w:rsidRPr="005F15DA" w:rsidRDefault="003D005B" w:rsidP="008851FF">
      <w:pPr>
        <w:tabs>
          <w:tab w:val="left" w:pos="426"/>
          <w:tab w:val="left" w:pos="851"/>
        </w:tabs>
        <w:spacing w:line="240" w:lineRule="auto"/>
        <w:ind w:left="851" w:hanging="425"/>
        <w:jc w:val="both"/>
        <w:rPr>
          <w:rFonts w:cs="Arial"/>
          <w:szCs w:val="22"/>
        </w:rPr>
      </w:pPr>
      <w:r w:rsidRPr="005F15DA">
        <w:rPr>
          <w:rFonts w:cs="Arial"/>
          <w:szCs w:val="22"/>
        </w:rPr>
        <w:tab/>
      </w:r>
      <w:r w:rsidR="0006427B" w:rsidRPr="005F15DA">
        <w:rPr>
          <w:rFonts w:cs="Arial"/>
          <w:szCs w:val="22"/>
        </w:rPr>
        <w:t>Jeder Miteigentumsanteil an einem Grundstück stellt für sich wiederum ein Grun</w:t>
      </w:r>
      <w:r w:rsidR="0006427B" w:rsidRPr="005F15DA">
        <w:rPr>
          <w:rFonts w:cs="Arial"/>
          <w:szCs w:val="22"/>
        </w:rPr>
        <w:t>d</w:t>
      </w:r>
      <w:r w:rsidR="0006427B" w:rsidRPr="005F15DA">
        <w:rPr>
          <w:rFonts w:cs="Arial"/>
          <w:szCs w:val="22"/>
        </w:rPr>
        <w:t>stück dar. Wenn es im Interesse der Klarheit und der Übersichtlichkeit der Grun</w:t>
      </w:r>
      <w:r w:rsidR="0006427B" w:rsidRPr="005F15DA">
        <w:rPr>
          <w:rFonts w:cs="Arial"/>
          <w:szCs w:val="22"/>
        </w:rPr>
        <w:t>d</w:t>
      </w:r>
      <w:r w:rsidR="0006427B" w:rsidRPr="005F15DA">
        <w:rPr>
          <w:rFonts w:cs="Arial"/>
          <w:szCs w:val="22"/>
        </w:rPr>
        <w:t>buchführung liegt, werden für die einzelnen Miteigentumsanteile separate Grun</w:t>
      </w:r>
      <w:r w:rsidR="0006427B" w:rsidRPr="005F15DA">
        <w:rPr>
          <w:rFonts w:cs="Arial"/>
          <w:szCs w:val="22"/>
        </w:rPr>
        <w:t>d</w:t>
      </w:r>
      <w:r w:rsidR="0006427B" w:rsidRPr="005F15DA">
        <w:rPr>
          <w:rFonts w:cs="Arial"/>
          <w:szCs w:val="22"/>
        </w:rPr>
        <w:t>buchblätter angelegt. Bei Stockwerkeigentum (Spezialform des Miteigentums) mü</w:t>
      </w:r>
      <w:r w:rsidR="0006427B" w:rsidRPr="005F15DA">
        <w:rPr>
          <w:rFonts w:cs="Arial"/>
          <w:szCs w:val="22"/>
        </w:rPr>
        <w:t>s</w:t>
      </w:r>
      <w:r w:rsidR="0006427B" w:rsidRPr="005F15DA">
        <w:rPr>
          <w:rFonts w:cs="Arial"/>
          <w:szCs w:val="22"/>
        </w:rPr>
        <w:t>sen separate Grundbuchblätter angelegt werden.</w:t>
      </w:r>
    </w:p>
    <w:p w:rsidR="00D6095B" w:rsidRPr="005F15DA" w:rsidRDefault="00D6095B" w:rsidP="008851FF">
      <w:pPr>
        <w:tabs>
          <w:tab w:val="left" w:pos="426"/>
          <w:tab w:val="left" w:pos="851"/>
        </w:tabs>
        <w:spacing w:line="240" w:lineRule="auto"/>
        <w:ind w:left="851" w:hanging="425"/>
        <w:jc w:val="both"/>
        <w:rPr>
          <w:rFonts w:cs="Arial"/>
          <w:szCs w:val="22"/>
        </w:rPr>
      </w:pPr>
    </w:p>
    <w:p w:rsidR="009457AB" w:rsidRPr="005F15DA" w:rsidRDefault="009457AB" w:rsidP="008851FF">
      <w:pPr>
        <w:tabs>
          <w:tab w:val="left" w:pos="426"/>
          <w:tab w:val="left" w:pos="851"/>
        </w:tabs>
        <w:spacing w:line="240" w:lineRule="auto"/>
        <w:ind w:left="851" w:hanging="425"/>
        <w:jc w:val="both"/>
        <w:rPr>
          <w:rFonts w:cs="Arial"/>
          <w:szCs w:val="22"/>
        </w:rPr>
      </w:pPr>
    </w:p>
    <w:p w:rsidR="00CA68CC" w:rsidRPr="005F15DA" w:rsidRDefault="00D6095B" w:rsidP="00D6095B">
      <w:pPr>
        <w:pStyle w:val="berschrift4"/>
        <w:tabs>
          <w:tab w:val="left" w:pos="426"/>
        </w:tabs>
      </w:pPr>
      <w:r w:rsidRPr="005F15DA">
        <w:t>2.</w:t>
      </w:r>
      <w:r w:rsidRPr="005F15DA">
        <w:tab/>
      </w:r>
      <w:r w:rsidR="00CA68CC" w:rsidRPr="005F15DA">
        <w:t>Unselbständiges Grundeigentum</w:t>
      </w:r>
      <w:r w:rsidR="00344AD5" w:rsidRPr="005F15DA">
        <w:t xml:space="preserve"> (Art. 655a ZGB)</w:t>
      </w:r>
    </w:p>
    <w:p w:rsidR="00755473" w:rsidRPr="005F15DA" w:rsidRDefault="00755473" w:rsidP="008851FF">
      <w:pPr>
        <w:tabs>
          <w:tab w:val="left" w:pos="426"/>
        </w:tabs>
        <w:spacing w:line="240" w:lineRule="auto"/>
        <w:ind w:left="426"/>
        <w:jc w:val="both"/>
        <w:rPr>
          <w:rFonts w:cs="Arial"/>
          <w:szCs w:val="22"/>
        </w:rPr>
      </w:pPr>
      <w:r w:rsidRPr="005F15DA">
        <w:rPr>
          <w:rFonts w:cs="Arial"/>
          <w:szCs w:val="22"/>
        </w:rPr>
        <w:t xml:space="preserve">Neben den Grundstücken besteht das </w:t>
      </w:r>
      <w:r w:rsidRPr="005F15DA">
        <w:rPr>
          <w:rFonts w:cs="Arial"/>
          <w:b/>
          <w:szCs w:val="22"/>
        </w:rPr>
        <w:t>unselbständige Grundeigentum</w:t>
      </w:r>
      <w:r w:rsidRPr="005F15DA">
        <w:rPr>
          <w:rFonts w:cs="Arial"/>
          <w:szCs w:val="22"/>
        </w:rPr>
        <w:t xml:space="preserve"> (Art. 655a ZGB und Art. 95 GBV). Das unselbständige Grundstück (oder Anmerkungsgrundstück</w:t>
      </w:r>
      <w:r w:rsidR="00C6205A" w:rsidRPr="005F15DA">
        <w:rPr>
          <w:rFonts w:cs="Arial"/>
          <w:szCs w:val="22"/>
        </w:rPr>
        <w:t>, dom</w:t>
      </w:r>
      <w:r w:rsidR="00C6205A" w:rsidRPr="005F15DA">
        <w:rPr>
          <w:rFonts w:cs="Arial"/>
          <w:szCs w:val="22"/>
        </w:rPr>
        <w:t>i</w:t>
      </w:r>
      <w:r w:rsidR="00C6205A" w:rsidRPr="005F15DA">
        <w:rPr>
          <w:rFonts w:cs="Arial"/>
          <w:szCs w:val="22"/>
        </w:rPr>
        <w:t>niertes Grundstück</w:t>
      </w:r>
      <w:r w:rsidRPr="005F15DA">
        <w:rPr>
          <w:rFonts w:cs="Arial"/>
          <w:szCs w:val="22"/>
        </w:rPr>
        <w:t xml:space="preserve">) ist so mit dem Hauptgrundstück verknüpft, dass das unselbständige Grundstück das rechtliche Schicksal des Hauptgrundstückes teilt. Das unselbständige Grundstück kann nicht separat veräussert, verpfändet oder belastet werden. </w:t>
      </w:r>
    </w:p>
    <w:p w:rsidR="00755473" w:rsidRPr="005F15DA" w:rsidRDefault="00755473" w:rsidP="008851FF">
      <w:pPr>
        <w:tabs>
          <w:tab w:val="left" w:pos="426"/>
        </w:tabs>
        <w:spacing w:line="240" w:lineRule="auto"/>
        <w:ind w:left="426"/>
        <w:jc w:val="both"/>
        <w:rPr>
          <w:rFonts w:cs="Arial"/>
          <w:szCs w:val="22"/>
        </w:rPr>
      </w:pPr>
    </w:p>
    <w:p w:rsidR="00755473" w:rsidRPr="005F15DA" w:rsidRDefault="00755473" w:rsidP="008851FF">
      <w:pPr>
        <w:tabs>
          <w:tab w:val="left" w:pos="426"/>
          <w:tab w:val="left" w:pos="851"/>
          <w:tab w:val="left" w:pos="1276"/>
        </w:tabs>
        <w:spacing w:line="240" w:lineRule="auto"/>
        <w:ind w:left="851" w:hanging="425"/>
        <w:jc w:val="both"/>
        <w:rPr>
          <w:rFonts w:cs="Arial"/>
          <w:szCs w:val="22"/>
        </w:rPr>
      </w:pPr>
      <w:r w:rsidRPr="005F15DA">
        <w:rPr>
          <w:rFonts w:cs="Arial"/>
          <w:szCs w:val="22"/>
        </w:rPr>
        <w:t>Das unselbständige Grundeigentum ist wie folgt im Grundbuch ersichtlich:</w:t>
      </w:r>
    </w:p>
    <w:p w:rsidR="002775AC" w:rsidRPr="005F15DA" w:rsidRDefault="00755473" w:rsidP="008851FF">
      <w:pPr>
        <w:tabs>
          <w:tab w:val="left" w:pos="426"/>
          <w:tab w:val="left" w:pos="851"/>
          <w:tab w:val="left" w:pos="1276"/>
        </w:tabs>
        <w:spacing w:line="240" w:lineRule="auto"/>
        <w:ind w:left="851" w:hanging="425"/>
        <w:jc w:val="both"/>
        <w:rPr>
          <w:rFonts w:cs="Arial"/>
          <w:szCs w:val="22"/>
        </w:rPr>
      </w:pPr>
      <w:r w:rsidRPr="005F15DA">
        <w:rPr>
          <w:rFonts w:cs="Arial"/>
          <w:szCs w:val="22"/>
        </w:rPr>
        <w:t>-</w:t>
      </w:r>
      <w:r w:rsidRPr="005F15DA">
        <w:rPr>
          <w:rFonts w:cs="Arial"/>
          <w:szCs w:val="22"/>
        </w:rPr>
        <w:tab/>
        <w:t xml:space="preserve">Auf dem Hauptblatt ist das unselbständige Grundstück </w:t>
      </w:r>
    </w:p>
    <w:p w:rsidR="00755473" w:rsidRPr="005F15DA" w:rsidRDefault="002775AC" w:rsidP="008851FF">
      <w:pPr>
        <w:tabs>
          <w:tab w:val="left" w:pos="426"/>
          <w:tab w:val="left" w:pos="851"/>
          <w:tab w:val="left" w:pos="1276"/>
        </w:tabs>
        <w:spacing w:line="240" w:lineRule="auto"/>
        <w:ind w:left="851" w:hanging="425"/>
        <w:jc w:val="both"/>
        <w:rPr>
          <w:rFonts w:cs="Arial"/>
          <w:szCs w:val="22"/>
        </w:rPr>
      </w:pPr>
      <w:r w:rsidRPr="005F15DA">
        <w:rPr>
          <w:rFonts w:cs="Arial"/>
          <w:szCs w:val="22"/>
        </w:rPr>
        <w:tab/>
        <w:t>-</w:t>
      </w:r>
      <w:r w:rsidRPr="005F15DA">
        <w:rPr>
          <w:rFonts w:cs="Arial"/>
          <w:szCs w:val="22"/>
        </w:rPr>
        <w:tab/>
        <w:t xml:space="preserve">entweder als dominiertes Grundstück </w:t>
      </w:r>
      <w:r w:rsidR="00755473" w:rsidRPr="005F15DA">
        <w:rPr>
          <w:rFonts w:cs="Arial"/>
          <w:szCs w:val="22"/>
        </w:rPr>
        <w:t xml:space="preserve">aufgeführt oder </w:t>
      </w:r>
    </w:p>
    <w:p w:rsidR="002775AC" w:rsidRPr="005F15DA" w:rsidRDefault="002775AC" w:rsidP="008851FF">
      <w:pPr>
        <w:tabs>
          <w:tab w:val="left" w:pos="426"/>
          <w:tab w:val="left" w:pos="851"/>
          <w:tab w:val="left" w:pos="1276"/>
        </w:tabs>
        <w:spacing w:line="240" w:lineRule="auto"/>
        <w:ind w:left="851" w:hanging="425"/>
        <w:jc w:val="both"/>
        <w:rPr>
          <w:rFonts w:cs="Arial"/>
          <w:szCs w:val="22"/>
        </w:rPr>
      </w:pPr>
      <w:r w:rsidRPr="005F15DA">
        <w:rPr>
          <w:rFonts w:cs="Arial"/>
          <w:szCs w:val="22"/>
        </w:rPr>
        <w:tab/>
        <w:t>-</w:t>
      </w:r>
      <w:r w:rsidRPr="005F15DA">
        <w:rPr>
          <w:rFonts w:cs="Arial"/>
          <w:szCs w:val="22"/>
        </w:rPr>
        <w:tab/>
        <w:t>es ist unter den Anmerkungen aufgeführt;</w:t>
      </w:r>
    </w:p>
    <w:p w:rsidR="002775AC" w:rsidRPr="005F15DA" w:rsidRDefault="002775AC" w:rsidP="008851FF">
      <w:pPr>
        <w:tabs>
          <w:tab w:val="left" w:pos="426"/>
          <w:tab w:val="left" w:pos="851"/>
          <w:tab w:val="left" w:pos="1276"/>
        </w:tabs>
        <w:spacing w:line="240" w:lineRule="auto"/>
        <w:ind w:left="851" w:hanging="425"/>
        <w:jc w:val="both"/>
        <w:rPr>
          <w:rFonts w:cs="Arial"/>
          <w:szCs w:val="22"/>
        </w:rPr>
      </w:pPr>
      <w:r w:rsidRPr="005F15DA">
        <w:rPr>
          <w:rFonts w:cs="Arial"/>
          <w:szCs w:val="22"/>
        </w:rPr>
        <w:t>-</w:t>
      </w:r>
      <w:r w:rsidRPr="005F15DA">
        <w:rPr>
          <w:rFonts w:cs="Arial"/>
          <w:szCs w:val="22"/>
        </w:rPr>
        <w:tab/>
        <w:t>Auf dem Blatt des unselbständigen Grundstückes ist unter "Eigentum" die Grun</w:t>
      </w:r>
      <w:r w:rsidRPr="005F15DA">
        <w:rPr>
          <w:rFonts w:cs="Arial"/>
          <w:szCs w:val="22"/>
        </w:rPr>
        <w:t>d</w:t>
      </w:r>
      <w:r w:rsidRPr="005F15DA">
        <w:rPr>
          <w:rFonts w:cs="Arial"/>
          <w:szCs w:val="22"/>
        </w:rPr>
        <w:t>stück-Nummer des Hauptblattes aufgeführt.</w:t>
      </w:r>
    </w:p>
    <w:p w:rsidR="002775AC" w:rsidRPr="005F15DA" w:rsidRDefault="002775AC" w:rsidP="008851FF">
      <w:pPr>
        <w:tabs>
          <w:tab w:val="left" w:pos="426"/>
        </w:tabs>
        <w:spacing w:line="240" w:lineRule="auto"/>
        <w:jc w:val="both"/>
        <w:rPr>
          <w:rFonts w:cs="Arial"/>
          <w:szCs w:val="22"/>
        </w:rPr>
      </w:pPr>
    </w:p>
    <w:p w:rsidR="00651AD5" w:rsidRPr="005F15DA" w:rsidRDefault="00651AD5" w:rsidP="008851FF">
      <w:pPr>
        <w:tabs>
          <w:tab w:val="left" w:pos="426"/>
        </w:tabs>
        <w:spacing w:line="240" w:lineRule="auto"/>
        <w:jc w:val="both"/>
        <w:rPr>
          <w:rFonts w:cs="Arial"/>
          <w:szCs w:val="22"/>
        </w:rPr>
      </w:pPr>
    </w:p>
    <w:p w:rsidR="002775AC" w:rsidRPr="005F15DA" w:rsidRDefault="002775AC" w:rsidP="008851FF">
      <w:pPr>
        <w:tabs>
          <w:tab w:val="left" w:pos="426"/>
        </w:tabs>
        <w:spacing w:line="240" w:lineRule="auto"/>
        <w:jc w:val="both"/>
        <w:rPr>
          <w:rFonts w:cs="Arial"/>
          <w:szCs w:val="22"/>
        </w:rPr>
      </w:pPr>
    </w:p>
    <w:p w:rsidR="00A8575C" w:rsidRPr="005F15DA" w:rsidRDefault="00651AD5" w:rsidP="005759BE">
      <w:pPr>
        <w:pStyle w:val="berschrift3"/>
        <w:rPr>
          <w:lang w:val="de-CH"/>
        </w:rPr>
      </w:pPr>
      <w:bookmarkStart w:id="137" w:name="_Toc432175657"/>
      <w:r w:rsidRPr="005F15DA">
        <w:rPr>
          <w:lang w:val="de-CH"/>
        </w:rPr>
        <w:t>B.</w:t>
      </w:r>
      <w:r w:rsidRPr="005F15DA">
        <w:rPr>
          <w:lang w:val="de-CH"/>
        </w:rPr>
        <w:tab/>
      </w:r>
      <w:r w:rsidR="00DB4E21" w:rsidRPr="005F15DA">
        <w:rPr>
          <w:lang w:val="de-CH"/>
        </w:rPr>
        <w:t>Erwerb des Grund</w:t>
      </w:r>
      <w:r w:rsidR="00CA4690" w:rsidRPr="005F15DA">
        <w:rPr>
          <w:lang w:val="de-CH"/>
        </w:rPr>
        <w:t>e</w:t>
      </w:r>
      <w:r w:rsidR="00DB4E21" w:rsidRPr="005F15DA">
        <w:rPr>
          <w:lang w:val="de-CH"/>
        </w:rPr>
        <w:t>igentums</w:t>
      </w:r>
      <w:bookmarkEnd w:id="137"/>
    </w:p>
    <w:p w:rsidR="00DB4E21" w:rsidRPr="005F15DA" w:rsidRDefault="00DB4E21" w:rsidP="008851FF">
      <w:pPr>
        <w:spacing w:line="240" w:lineRule="auto"/>
        <w:jc w:val="both"/>
        <w:rPr>
          <w:rFonts w:cs="Arial"/>
          <w:szCs w:val="22"/>
        </w:rPr>
      </w:pPr>
    </w:p>
    <w:p w:rsidR="00DB4E21" w:rsidRPr="005F15DA" w:rsidRDefault="00DB4E21" w:rsidP="008851FF">
      <w:pPr>
        <w:spacing w:line="240" w:lineRule="auto"/>
        <w:jc w:val="both"/>
        <w:rPr>
          <w:rFonts w:cs="Arial"/>
          <w:szCs w:val="22"/>
        </w:rPr>
      </w:pPr>
      <w:r w:rsidRPr="005F15DA">
        <w:rPr>
          <w:rFonts w:cs="Arial"/>
          <w:szCs w:val="22"/>
        </w:rPr>
        <w:t xml:space="preserve">Grundeigentum wird normalerweise durch </w:t>
      </w:r>
      <w:r w:rsidRPr="005F15DA">
        <w:rPr>
          <w:rFonts w:cs="Arial"/>
          <w:szCs w:val="22"/>
          <w:u w:val="single"/>
        </w:rPr>
        <w:t>Vertrag und Eintragung im Grundbuch</w:t>
      </w:r>
      <w:r w:rsidRPr="005F15DA">
        <w:rPr>
          <w:rFonts w:cs="Arial"/>
          <w:szCs w:val="22"/>
        </w:rPr>
        <w:t xml:space="preserve"> erworben (</w:t>
      </w:r>
      <w:r w:rsidR="00B51F09" w:rsidRPr="005F15DA">
        <w:rPr>
          <w:rFonts w:cs="Arial"/>
          <w:szCs w:val="22"/>
        </w:rPr>
        <w:t xml:space="preserve">Übertragung, </w:t>
      </w:r>
      <w:r w:rsidRPr="005F15DA">
        <w:rPr>
          <w:rFonts w:cs="Arial"/>
          <w:szCs w:val="22"/>
        </w:rPr>
        <w:t>Art. 656 ff. ZGB).</w:t>
      </w:r>
      <w:r w:rsidR="00CD06B3" w:rsidRPr="005F15DA">
        <w:rPr>
          <w:rFonts w:cs="Arial"/>
          <w:szCs w:val="22"/>
        </w:rPr>
        <w:t xml:space="preserve"> Ausnahmsweise erfolgt der Eigentumsübergang ausserbuc</w:t>
      </w:r>
      <w:r w:rsidR="00CD06B3" w:rsidRPr="005F15DA">
        <w:rPr>
          <w:rFonts w:cs="Arial"/>
          <w:szCs w:val="22"/>
        </w:rPr>
        <w:t>h</w:t>
      </w:r>
      <w:r w:rsidR="00CD06B3" w:rsidRPr="005F15DA">
        <w:rPr>
          <w:rFonts w:cs="Arial"/>
          <w:szCs w:val="22"/>
        </w:rPr>
        <w:t>lich (siehe hiernach).</w:t>
      </w:r>
    </w:p>
    <w:p w:rsidR="00CD06B3" w:rsidRPr="005F15DA" w:rsidRDefault="00CD06B3" w:rsidP="008851FF">
      <w:pPr>
        <w:spacing w:line="240" w:lineRule="auto"/>
        <w:jc w:val="both"/>
        <w:rPr>
          <w:rFonts w:cs="Arial"/>
          <w:szCs w:val="22"/>
        </w:rPr>
      </w:pPr>
    </w:p>
    <w:p w:rsidR="00B51F09" w:rsidRPr="005F15DA" w:rsidRDefault="00B51F09" w:rsidP="008851FF">
      <w:pPr>
        <w:spacing w:line="240" w:lineRule="auto"/>
        <w:jc w:val="both"/>
        <w:rPr>
          <w:rFonts w:cs="Arial"/>
          <w:szCs w:val="22"/>
        </w:rPr>
      </w:pPr>
      <w:r w:rsidRPr="005F15DA">
        <w:rPr>
          <w:rFonts w:cs="Arial"/>
          <w:szCs w:val="22"/>
        </w:rPr>
        <w:t>Weitere Erwerbsarten sind:</w:t>
      </w:r>
    </w:p>
    <w:p w:rsidR="00B51F09" w:rsidRPr="005F15DA" w:rsidRDefault="00B51F09" w:rsidP="009D34F3">
      <w:pPr>
        <w:pStyle w:val="Listenabsatz"/>
        <w:numPr>
          <w:ilvl w:val="0"/>
          <w:numId w:val="7"/>
        </w:numPr>
        <w:tabs>
          <w:tab w:val="left" w:pos="426"/>
        </w:tabs>
        <w:spacing w:line="240" w:lineRule="auto"/>
        <w:ind w:left="426" w:hanging="426"/>
        <w:jc w:val="both"/>
        <w:rPr>
          <w:rFonts w:cs="Arial"/>
          <w:szCs w:val="22"/>
        </w:rPr>
      </w:pPr>
      <w:r w:rsidRPr="005F15DA">
        <w:rPr>
          <w:rFonts w:cs="Arial"/>
          <w:szCs w:val="22"/>
        </w:rPr>
        <w:t>Die Aneignung (Art. 658 ZGB);</w:t>
      </w:r>
    </w:p>
    <w:p w:rsidR="00B51F09" w:rsidRPr="005F15DA" w:rsidRDefault="00B51F09" w:rsidP="009D34F3">
      <w:pPr>
        <w:pStyle w:val="Listenabsatz"/>
        <w:numPr>
          <w:ilvl w:val="0"/>
          <w:numId w:val="7"/>
        </w:numPr>
        <w:tabs>
          <w:tab w:val="left" w:pos="426"/>
        </w:tabs>
        <w:spacing w:line="240" w:lineRule="auto"/>
        <w:ind w:left="426" w:hanging="426"/>
        <w:jc w:val="both"/>
        <w:rPr>
          <w:rFonts w:cs="Arial"/>
          <w:szCs w:val="22"/>
        </w:rPr>
      </w:pPr>
      <w:r w:rsidRPr="005F15DA">
        <w:rPr>
          <w:rFonts w:cs="Arial"/>
          <w:szCs w:val="22"/>
        </w:rPr>
        <w:t>Die Bildung neuen Landes (Art. 659 ZGB);</w:t>
      </w:r>
    </w:p>
    <w:p w:rsidR="00B51F09" w:rsidRPr="005F15DA" w:rsidRDefault="00B51F09" w:rsidP="009D34F3">
      <w:pPr>
        <w:pStyle w:val="Listenabsatz"/>
        <w:numPr>
          <w:ilvl w:val="0"/>
          <w:numId w:val="7"/>
        </w:numPr>
        <w:tabs>
          <w:tab w:val="left" w:pos="426"/>
        </w:tabs>
        <w:spacing w:line="240" w:lineRule="auto"/>
        <w:ind w:left="426" w:hanging="426"/>
        <w:jc w:val="both"/>
        <w:rPr>
          <w:rFonts w:cs="Arial"/>
          <w:szCs w:val="22"/>
        </w:rPr>
      </w:pPr>
      <w:r w:rsidRPr="005F15DA">
        <w:rPr>
          <w:rFonts w:cs="Arial"/>
          <w:szCs w:val="22"/>
        </w:rPr>
        <w:t>Die Bodenverschiebung (Art. 660 ZGB);</w:t>
      </w:r>
    </w:p>
    <w:p w:rsidR="00B51F09" w:rsidRPr="005F15DA" w:rsidRDefault="00D95E54" w:rsidP="009D34F3">
      <w:pPr>
        <w:pStyle w:val="Listenabsatz"/>
        <w:numPr>
          <w:ilvl w:val="0"/>
          <w:numId w:val="7"/>
        </w:numPr>
        <w:tabs>
          <w:tab w:val="left" w:pos="426"/>
        </w:tabs>
        <w:spacing w:line="240" w:lineRule="auto"/>
        <w:ind w:left="426" w:hanging="426"/>
        <w:jc w:val="both"/>
        <w:rPr>
          <w:rFonts w:cs="Arial"/>
          <w:szCs w:val="22"/>
        </w:rPr>
      </w:pPr>
      <w:r w:rsidRPr="005F15DA">
        <w:rPr>
          <w:rFonts w:cs="Arial"/>
          <w:szCs w:val="22"/>
        </w:rPr>
        <w:t>Die Ersitzung (Art. 661 ZGB);</w:t>
      </w:r>
    </w:p>
    <w:p w:rsidR="00D95E54" w:rsidRPr="005F15DA" w:rsidRDefault="00D95E54" w:rsidP="009D34F3">
      <w:pPr>
        <w:pStyle w:val="Listenabsatz"/>
        <w:numPr>
          <w:ilvl w:val="0"/>
          <w:numId w:val="7"/>
        </w:numPr>
        <w:tabs>
          <w:tab w:val="left" w:pos="426"/>
        </w:tabs>
        <w:spacing w:line="240" w:lineRule="auto"/>
        <w:ind w:left="426" w:hanging="426"/>
        <w:jc w:val="both"/>
        <w:rPr>
          <w:rFonts w:cs="Arial"/>
          <w:szCs w:val="22"/>
        </w:rPr>
      </w:pPr>
      <w:r w:rsidRPr="005F15DA">
        <w:rPr>
          <w:rFonts w:cs="Arial"/>
          <w:szCs w:val="22"/>
        </w:rPr>
        <w:t>Herrenlose und öffentliche Sachen (Art. 664 ZGB).</w:t>
      </w:r>
    </w:p>
    <w:p w:rsidR="00B51F09" w:rsidRPr="005F15DA" w:rsidRDefault="00B51F09" w:rsidP="008851FF">
      <w:pPr>
        <w:spacing w:line="240" w:lineRule="auto"/>
        <w:jc w:val="both"/>
        <w:rPr>
          <w:rFonts w:cs="Arial"/>
          <w:szCs w:val="22"/>
        </w:rPr>
      </w:pPr>
    </w:p>
    <w:p w:rsidR="00B51F09" w:rsidRPr="005F15DA" w:rsidRDefault="00B51F09" w:rsidP="008851FF">
      <w:pPr>
        <w:spacing w:line="240" w:lineRule="auto"/>
        <w:jc w:val="both"/>
        <w:rPr>
          <w:rFonts w:cs="Arial"/>
          <w:szCs w:val="22"/>
        </w:rPr>
      </w:pPr>
    </w:p>
    <w:p w:rsidR="00B51F09" w:rsidRPr="005F15DA" w:rsidRDefault="00264316" w:rsidP="00264316">
      <w:pPr>
        <w:pStyle w:val="berschrift4"/>
        <w:tabs>
          <w:tab w:val="left" w:pos="426"/>
        </w:tabs>
      </w:pPr>
      <w:r w:rsidRPr="005F15DA">
        <w:t>1.</w:t>
      </w:r>
      <w:r w:rsidRPr="005F15DA">
        <w:tab/>
      </w:r>
      <w:r w:rsidR="00B51F09" w:rsidRPr="005F15DA">
        <w:t>Übertragung gestützt auf Vertrag</w:t>
      </w:r>
      <w:r w:rsidR="00D95E54" w:rsidRPr="005F15DA">
        <w:t xml:space="preserve"> (Art. 656 Abs. 1 ZGB)</w:t>
      </w:r>
    </w:p>
    <w:p w:rsidR="00CD06B3" w:rsidRPr="005F15DA" w:rsidRDefault="00CD06B3" w:rsidP="008851FF">
      <w:pPr>
        <w:spacing w:line="240" w:lineRule="auto"/>
        <w:ind w:left="426"/>
        <w:jc w:val="both"/>
        <w:rPr>
          <w:rFonts w:cs="Arial"/>
          <w:szCs w:val="22"/>
        </w:rPr>
      </w:pPr>
      <w:r w:rsidRPr="005F15DA">
        <w:rPr>
          <w:rFonts w:cs="Arial"/>
          <w:szCs w:val="22"/>
        </w:rPr>
        <w:t xml:space="preserve">Als Rechtsgrund für die Übertragung von Grund-Eigentum bedarf es normalerweise einer </w:t>
      </w:r>
      <w:r w:rsidRPr="005F15DA">
        <w:rPr>
          <w:rFonts w:cs="Arial"/>
          <w:b/>
          <w:szCs w:val="22"/>
        </w:rPr>
        <w:t>vertraglichen Vereinbarung</w:t>
      </w:r>
      <w:r w:rsidRPr="005F15DA">
        <w:rPr>
          <w:rFonts w:cs="Arial"/>
          <w:szCs w:val="22"/>
        </w:rPr>
        <w:t xml:space="preserve"> (z.B. Kauf, Tausch, Schenkung). Der Vertrag muss öffen</w:t>
      </w:r>
      <w:r w:rsidRPr="005F15DA">
        <w:rPr>
          <w:rFonts w:cs="Arial"/>
          <w:szCs w:val="22"/>
        </w:rPr>
        <w:t>t</w:t>
      </w:r>
      <w:r w:rsidRPr="005F15DA">
        <w:rPr>
          <w:rFonts w:cs="Arial"/>
          <w:szCs w:val="22"/>
        </w:rPr>
        <w:t>lich beurkundet werden (Art. 657 Abs. 1 ZGB). Der Abschluss des Vertrages ist das s</w:t>
      </w:r>
      <w:r w:rsidRPr="005F15DA">
        <w:rPr>
          <w:rFonts w:cs="Arial"/>
          <w:szCs w:val="22"/>
        </w:rPr>
        <w:t>o</w:t>
      </w:r>
      <w:r w:rsidRPr="005F15DA">
        <w:rPr>
          <w:rFonts w:cs="Arial"/>
          <w:szCs w:val="22"/>
        </w:rPr>
        <w:lastRenderedPageBreak/>
        <w:t xml:space="preserve">genannte </w:t>
      </w:r>
      <w:r w:rsidRPr="005F15DA">
        <w:rPr>
          <w:rFonts w:cs="Arial"/>
          <w:b/>
          <w:szCs w:val="22"/>
        </w:rPr>
        <w:t>Verpflichtungsgeschäft</w:t>
      </w:r>
      <w:r w:rsidRPr="005F15DA">
        <w:rPr>
          <w:rFonts w:cs="Arial"/>
          <w:szCs w:val="22"/>
        </w:rPr>
        <w:t>; der Kaufvertrag ist nach Vertragsabschluss beim Notar gültig zustande gekommen. Der Verkäufer ist verpflichtet, das Eigentum am Kau</w:t>
      </w:r>
      <w:r w:rsidRPr="005F15DA">
        <w:rPr>
          <w:rFonts w:cs="Arial"/>
          <w:szCs w:val="22"/>
        </w:rPr>
        <w:t>f</w:t>
      </w:r>
      <w:r w:rsidRPr="005F15DA">
        <w:rPr>
          <w:rFonts w:cs="Arial"/>
          <w:szCs w:val="22"/>
        </w:rPr>
        <w:t xml:space="preserve">gegenstand auf den Käufer zu übertragen; der Käufer ist verpflichtet, den Kaufpreis zu bezahlen. Die Eigentumsübertragung (der </w:t>
      </w:r>
      <w:r w:rsidRPr="005F15DA">
        <w:rPr>
          <w:rFonts w:cs="Arial"/>
          <w:b/>
          <w:szCs w:val="22"/>
        </w:rPr>
        <w:t>Grundbucheintrag</w:t>
      </w:r>
      <w:r w:rsidRPr="005F15DA">
        <w:rPr>
          <w:rFonts w:cs="Arial"/>
          <w:szCs w:val="22"/>
        </w:rPr>
        <w:t xml:space="preserve">) ist das </w:t>
      </w:r>
      <w:r w:rsidRPr="005F15DA">
        <w:rPr>
          <w:rFonts w:cs="Arial"/>
          <w:b/>
          <w:szCs w:val="22"/>
        </w:rPr>
        <w:t>Verfügungsg</w:t>
      </w:r>
      <w:r w:rsidRPr="005F15DA">
        <w:rPr>
          <w:rFonts w:cs="Arial"/>
          <w:b/>
          <w:szCs w:val="22"/>
        </w:rPr>
        <w:t>e</w:t>
      </w:r>
      <w:r w:rsidRPr="005F15DA">
        <w:rPr>
          <w:rFonts w:cs="Arial"/>
          <w:b/>
          <w:szCs w:val="22"/>
        </w:rPr>
        <w:t>schäft</w:t>
      </w:r>
      <w:r w:rsidRPr="005F15DA">
        <w:rPr>
          <w:rFonts w:cs="Arial"/>
          <w:szCs w:val="22"/>
        </w:rPr>
        <w:t xml:space="preserve">; der Verkäufer erfüllt damit seine Verpflichtung aus dem Kaufvertrag. </w:t>
      </w:r>
    </w:p>
    <w:p w:rsidR="00DD17F5" w:rsidRPr="005F15DA" w:rsidRDefault="00DD17F5" w:rsidP="008851FF">
      <w:pPr>
        <w:spacing w:line="240" w:lineRule="auto"/>
        <w:ind w:left="426"/>
        <w:jc w:val="both"/>
        <w:rPr>
          <w:rFonts w:cs="Arial"/>
          <w:szCs w:val="22"/>
        </w:rPr>
      </w:pPr>
    </w:p>
    <w:p w:rsidR="00DD17F5" w:rsidRPr="005F15DA" w:rsidRDefault="00DD17F5" w:rsidP="008851FF">
      <w:pPr>
        <w:spacing w:line="240" w:lineRule="auto"/>
        <w:ind w:left="426"/>
        <w:jc w:val="both"/>
        <w:rPr>
          <w:rFonts w:cs="Arial"/>
          <w:szCs w:val="22"/>
        </w:rPr>
      </w:pPr>
      <w:r w:rsidRPr="005F15DA">
        <w:rPr>
          <w:rFonts w:cs="Arial"/>
          <w:szCs w:val="22"/>
        </w:rPr>
        <w:t>Bei Fahrnis ist der Kaufvertrag formlos gültig; die Eigentumsübertragung erfolgt mit der Übergabe des Besitzes.</w:t>
      </w:r>
    </w:p>
    <w:p w:rsidR="00DD17F5" w:rsidRPr="005F15DA" w:rsidRDefault="00DD17F5" w:rsidP="008851FF">
      <w:pPr>
        <w:spacing w:line="240" w:lineRule="auto"/>
        <w:jc w:val="both"/>
        <w:rPr>
          <w:rFonts w:cs="Arial"/>
          <w:szCs w:val="22"/>
        </w:rPr>
      </w:pPr>
    </w:p>
    <w:p w:rsidR="00D95E54" w:rsidRPr="005F15DA" w:rsidRDefault="00D95E54" w:rsidP="008851FF">
      <w:pPr>
        <w:spacing w:line="240" w:lineRule="auto"/>
        <w:jc w:val="both"/>
        <w:rPr>
          <w:rFonts w:cs="Arial"/>
          <w:szCs w:val="22"/>
        </w:rPr>
      </w:pPr>
    </w:p>
    <w:p w:rsidR="00D95E54" w:rsidRPr="005F15DA" w:rsidRDefault="00264316" w:rsidP="00264316">
      <w:pPr>
        <w:pStyle w:val="berschrift4"/>
        <w:tabs>
          <w:tab w:val="left" w:pos="426"/>
        </w:tabs>
      </w:pPr>
      <w:r w:rsidRPr="005F15DA">
        <w:t>2.</w:t>
      </w:r>
      <w:r w:rsidRPr="005F15DA">
        <w:tab/>
      </w:r>
      <w:r w:rsidR="00D95E54" w:rsidRPr="005F15DA">
        <w:t>Ausserbuchlicher Eigentumsübergang (Art. 656 Abs. 2 ZGB)</w:t>
      </w:r>
    </w:p>
    <w:p w:rsidR="00DD17F5" w:rsidRPr="005F15DA" w:rsidRDefault="00DD17F5" w:rsidP="008851FF">
      <w:pPr>
        <w:spacing w:line="240" w:lineRule="auto"/>
        <w:ind w:left="426"/>
        <w:jc w:val="both"/>
        <w:rPr>
          <w:rFonts w:cs="Arial"/>
          <w:szCs w:val="22"/>
        </w:rPr>
      </w:pPr>
      <w:r w:rsidRPr="005F15DA">
        <w:rPr>
          <w:rFonts w:cs="Arial"/>
          <w:szCs w:val="22"/>
        </w:rPr>
        <w:t xml:space="preserve">Ausnahmsweise geht das Eigentum bereits </w:t>
      </w:r>
      <w:r w:rsidRPr="005F15DA">
        <w:rPr>
          <w:rFonts w:cs="Arial"/>
          <w:b/>
          <w:szCs w:val="22"/>
        </w:rPr>
        <w:t>vor dem Grundbucheintrag</w:t>
      </w:r>
      <w:r w:rsidRPr="005F15DA">
        <w:rPr>
          <w:rFonts w:cs="Arial"/>
          <w:szCs w:val="22"/>
        </w:rPr>
        <w:t xml:space="preserve"> bzw. der Besi</w:t>
      </w:r>
      <w:r w:rsidRPr="005F15DA">
        <w:rPr>
          <w:rFonts w:cs="Arial"/>
          <w:szCs w:val="22"/>
        </w:rPr>
        <w:t>t</w:t>
      </w:r>
      <w:r w:rsidRPr="005F15DA">
        <w:rPr>
          <w:rFonts w:cs="Arial"/>
          <w:szCs w:val="22"/>
        </w:rPr>
        <w:t xml:space="preserve">zesübergabe auf den neuen Eigentümer über. Bei Grundbuchgeschäften spricht man in diesen Fällen von einem </w:t>
      </w:r>
      <w:r w:rsidRPr="005F15DA">
        <w:rPr>
          <w:rFonts w:cs="Arial"/>
          <w:b/>
          <w:szCs w:val="22"/>
        </w:rPr>
        <w:t>ausserbuchlichen Eigentumsübergang</w:t>
      </w:r>
      <w:r w:rsidRPr="005F15DA">
        <w:rPr>
          <w:rFonts w:cs="Arial"/>
          <w:szCs w:val="22"/>
        </w:rPr>
        <w:t>. Eine öffentliche B</w:t>
      </w:r>
      <w:r w:rsidRPr="005F15DA">
        <w:rPr>
          <w:rFonts w:cs="Arial"/>
          <w:szCs w:val="22"/>
        </w:rPr>
        <w:t>e</w:t>
      </w:r>
      <w:r w:rsidRPr="005F15DA">
        <w:rPr>
          <w:rFonts w:cs="Arial"/>
          <w:szCs w:val="22"/>
        </w:rPr>
        <w:t>urkundung ist in diesen Fällen nicht notwendig.</w:t>
      </w:r>
    </w:p>
    <w:p w:rsidR="00DD17F5" w:rsidRPr="005F15DA" w:rsidRDefault="00DD17F5" w:rsidP="008851FF">
      <w:pPr>
        <w:tabs>
          <w:tab w:val="left" w:pos="851"/>
        </w:tabs>
        <w:spacing w:line="240" w:lineRule="auto"/>
        <w:ind w:left="426"/>
        <w:jc w:val="both"/>
        <w:rPr>
          <w:rFonts w:cs="Arial"/>
          <w:szCs w:val="22"/>
        </w:rPr>
      </w:pPr>
    </w:p>
    <w:p w:rsidR="00DD17F5" w:rsidRPr="005F15DA" w:rsidRDefault="00DD17F5" w:rsidP="008851FF">
      <w:pPr>
        <w:tabs>
          <w:tab w:val="left" w:pos="851"/>
        </w:tabs>
        <w:spacing w:line="240" w:lineRule="auto"/>
        <w:ind w:left="426"/>
        <w:jc w:val="both"/>
        <w:rPr>
          <w:rFonts w:cs="Arial"/>
          <w:szCs w:val="22"/>
        </w:rPr>
      </w:pPr>
      <w:r w:rsidRPr="005F15DA">
        <w:rPr>
          <w:rFonts w:cs="Arial"/>
          <w:szCs w:val="22"/>
        </w:rPr>
        <w:t xml:space="preserve">Es handelt sich um folgende Sachverhalte (Art. 656 Abs. 2 ZGB, Art. </w:t>
      </w:r>
      <w:r w:rsidR="00FC4BCF" w:rsidRPr="005F15DA">
        <w:rPr>
          <w:rFonts w:cs="Arial"/>
          <w:szCs w:val="22"/>
        </w:rPr>
        <w:t xml:space="preserve">   </w:t>
      </w:r>
      <w:r w:rsidRPr="005F15DA">
        <w:rPr>
          <w:rFonts w:cs="Arial"/>
          <w:szCs w:val="22"/>
        </w:rPr>
        <w:t>FusG):</w:t>
      </w:r>
    </w:p>
    <w:p w:rsidR="00DD17F5" w:rsidRPr="005F15DA" w:rsidRDefault="00DD17F5" w:rsidP="008851FF">
      <w:pPr>
        <w:tabs>
          <w:tab w:val="left" w:pos="426"/>
          <w:tab w:val="left" w:pos="851"/>
        </w:tabs>
        <w:spacing w:line="240" w:lineRule="auto"/>
        <w:ind w:left="851" w:hanging="425"/>
        <w:jc w:val="both"/>
        <w:rPr>
          <w:rFonts w:cs="Arial"/>
          <w:szCs w:val="22"/>
        </w:rPr>
      </w:pPr>
      <w:r w:rsidRPr="005F15DA">
        <w:rPr>
          <w:rFonts w:cs="Arial"/>
          <w:szCs w:val="22"/>
        </w:rPr>
        <w:t>-</w:t>
      </w:r>
      <w:r w:rsidRPr="005F15DA">
        <w:rPr>
          <w:rFonts w:cs="Arial"/>
          <w:szCs w:val="22"/>
        </w:rPr>
        <w:tab/>
      </w:r>
      <w:r w:rsidRPr="005F15DA">
        <w:rPr>
          <w:rFonts w:cs="Arial"/>
          <w:b/>
          <w:szCs w:val="22"/>
        </w:rPr>
        <w:t>Erbgang</w:t>
      </w:r>
      <w:r w:rsidRPr="005F15DA">
        <w:rPr>
          <w:rFonts w:cs="Arial"/>
          <w:szCs w:val="22"/>
        </w:rPr>
        <w:t>: Das Eigentum geht im Zeitpunkt des Todes des Erblassers auf die Erben über</w:t>
      </w:r>
      <w:r w:rsidR="006A68B9" w:rsidRPr="005F15DA">
        <w:rPr>
          <w:rFonts w:cs="Arial"/>
          <w:szCs w:val="22"/>
        </w:rPr>
        <w:t xml:space="preserve"> (Gesamteigentum der Erbengemeinschaft)</w:t>
      </w:r>
      <w:r w:rsidRPr="005F15DA">
        <w:rPr>
          <w:rFonts w:cs="Arial"/>
          <w:szCs w:val="22"/>
        </w:rPr>
        <w:t>;</w:t>
      </w:r>
    </w:p>
    <w:p w:rsidR="00DD17F5" w:rsidRPr="005F15DA" w:rsidRDefault="00DD17F5" w:rsidP="008851FF">
      <w:pPr>
        <w:tabs>
          <w:tab w:val="left" w:pos="426"/>
          <w:tab w:val="left" w:pos="851"/>
        </w:tabs>
        <w:spacing w:line="240" w:lineRule="auto"/>
        <w:ind w:left="851" w:hanging="425"/>
        <w:jc w:val="both"/>
        <w:rPr>
          <w:rFonts w:cs="Arial"/>
          <w:szCs w:val="22"/>
        </w:rPr>
      </w:pPr>
      <w:r w:rsidRPr="005F15DA">
        <w:rPr>
          <w:rFonts w:cs="Arial"/>
          <w:szCs w:val="22"/>
        </w:rPr>
        <w:t>-</w:t>
      </w:r>
      <w:r w:rsidRPr="005F15DA">
        <w:rPr>
          <w:rFonts w:cs="Arial"/>
          <w:szCs w:val="22"/>
        </w:rPr>
        <w:tab/>
        <w:t xml:space="preserve">Ehevertrag auf </w:t>
      </w:r>
      <w:r w:rsidRPr="005F15DA">
        <w:rPr>
          <w:rFonts w:cs="Arial"/>
          <w:b/>
          <w:szCs w:val="22"/>
        </w:rPr>
        <w:t>Gütergemeinschaft</w:t>
      </w:r>
      <w:r w:rsidR="006A68B9" w:rsidRPr="005F15DA">
        <w:rPr>
          <w:rFonts w:cs="Arial"/>
          <w:szCs w:val="22"/>
        </w:rPr>
        <w:t>: das Eigentum geht mit Vertragsabschluss auf den Erwerber über (Gesamteigentum der Ehegatten)</w:t>
      </w:r>
      <w:r w:rsidRPr="005F15DA">
        <w:rPr>
          <w:rFonts w:cs="Arial"/>
          <w:szCs w:val="22"/>
        </w:rPr>
        <w:t>;</w:t>
      </w:r>
    </w:p>
    <w:p w:rsidR="00DD17F5" w:rsidRPr="005F15DA" w:rsidRDefault="00DD17F5" w:rsidP="008851FF">
      <w:pPr>
        <w:tabs>
          <w:tab w:val="left" w:pos="426"/>
          <w:tab w:val="left" w:pos="851"/>
        </w:tabs>
        <w:spacing w:line="240" w:lineRule="auto"/>
        <w:ind w:left="851" w:hanging="425"/>
        <w:jc w:val="both"/>
        <w:rPr>
          <w:rFonts w:cs="Arial"/>
          <w:szCs w:val="22"/>
        </w:rPr>
      </w:pPr>
      <w:r w:rsidRPr="005F15DA">
        <w:rPr>
          <w:rFonts w:cs="Arial"/>
          <w:szCs w:val="22"/>
        </w:rPr>
        <w:t>-</w:t>
      </w:r>
      <w:r w:rsidRPr="005F15DA">
        <w:rPr>
          <w:rFonts w:cs="Arial"/>
          <w:szCs w:val="22"/>
        </w:rPr>
        <w:tab/>
      </w:r>
      <w:r w:rsidRPr="005F15DA">
        <w:rPr>
          <w:rFonts w:cs="Arial"/>
          <w:b/>
          <w:szCs w:val="22"/>
        </w:rPr>
        <w:t>Fusion, Spaltung</w:t>
      </w:r>
      <w:r w:rsidRPr="005F15DA">
        <w:rPr>
          <w:rFonts w:cs="Arial"/>
          <w:szCs w:val="22"/>
        </w:rPr>
        <w:t xml:space="preserve">: Bei den Fusionen, Spaltungen und </w:t>
      </w:r>
      <w:r w:rsidRPr="005F15DA">
        <w:rPr>
          <w:rFonts w:cs="Arial"/>
          <w:b/>
          <w:szCs w:val="22"/>
        </w:rPr>
        <w:t xml:space="preserve">Vermögensübertragungen gemäss FusG </w:t>
      </w:r>
      <w:r w:rsidRPr="005F15DA">
        <w:rPr>
          <w:rFonts w:cs="Arial"/>
          <w:szCs w:val="22"/>
        </w:rPr>
        <w:t>geht das Eigentum mit der Eintragung im Handelsregister</w:t>
      </w:r>
      <w:r w:rsidR="006A68B9" w:rsidRPr="005F15DA">
        <w:rPr>
          <w:rFonts w:cs="Arial"/>
          <w:szCs w:val="22"/>
        </w:rPr>
        <w:t xml:space="preserve"> auf den Erwerber über. Bei der Vermögensübertragung muss in Bezug auf Grundstücke ein öffentlich beurkundeter Vertrag vorliegen; bei der Fusion und der Spaltung müssen die entsprechenden Beschlüsse öffentlich beurkundet werden;</w:t>
      </w:r>
    </w:p>
    <w:p w:rsidR="006A68B9" w:rsidRPr="005F15DA" w:rsidRDefault="006A68B9" w:rsidP="008851FF">
      <w:pPr>
        <w:tabs>
          <w:tab w:val="left" w:pos="426"/>
          <w:tab w:val="left" w:pos="851"/>
        </w:tabs>
        <w:spacing w:line="240" w:lineRule="auto"/>
        <w:ind w:left="851" w:hanging="425"/>
        <w:jc w:val="both"/>
        <w:rPr>
          <w:rFonts w:cs="Arial"/>
          <w:szCs w:val="22"/>
        </w:rPr>
      </w:pPr>
      <w:r w:rsidRPr="005F15DA">
        <w:rPr>
          <w:rFonts w:cs="Arial"/>
          <w:szCs w:val="22"/>
        </w:rPr>
        <w:t>-</w:t>
      </w:r>
      <w:r w:rsidRPr="005F15DA">
        <w:rPr>
          <w:rFonts w:cs="Arial"/>
          <w:szCs w:val="22"/>
        </w:rPr>
        <w:tab/>
      </w:r>
      <w:r w:rsidRPr="005F15DA">
        <w:rPr>
          <w:rFonts w:cs="Arial"/>
          <w:b/>
          <w:szCs w:val="22"/>
        </w:rPr>
        <w:t>Gerichtsurteil</w:t>
      </w:r>
      <w:r w:rsidRPr="005F15DA">
        <w:rPr>
          <w:rFonts w:cs="Arial"/>
          <w:szCs w:val="22"/>
        </w:rPr>
        <w:t>: Das Eigentum geht mit dem Eintritt der Rechtskraft des Urteils auf diejenige Person über, welcher die Sache zugesprochen wurde;</w:t>
      </w:r>
    </w:p>
    <w:p w:rsidR="006A68B9" w:rsidRPr="005F15DA" w:rsidRDefault="006A68B9" w:rsidP="008851FF">
      <w:pPr>
        <w:tabs>
          <w:tab w:val="left" w:pos="426"/>
          <w:tab w:val="left" w:pos="851"/>
        </w:tabs>
        <w:spacing w:line="240" w:lineRule="auto"/>
        <w:ind w:left="851" w:hanging="425"/>
        <w:jc w:val="both"/>
        <w:rPr>
          <w:rFonts w:cs="Arial"/>
          <w:szCs w:val="22"/>
        </w:rPr>
      </w:pPr>
      <w:r w:rsidRPr="005F15DA">
        <w:rPr>
          <w:rFonts w:cs="Arial"/>
          <w:szCs w:val="22"/>
        </w:rPr>
        <w:t>-</w:t>
      </w:r>
      <w:r w:rsidRPr="005F15DA">
        <w:rPr>
          <w:rFonts w:cs="Arial"/>
          <w:szCs w:val="22"/>
        </w:rPr>
        <w:tab/>
      </w:r>
      <w:r w:rsidRPr="005F15DA">
        <w:rPr>
          <w:rFonts w:cs="Arial"/>
          <w:b/>
          <w:szCs w:val="22"/>
        </w:rPr>
        <w:t>Zwangsvollstreckung</w:t>
      </w:r>
      <w:r w:rsidRPr="005F15DA">
        <w:rPr>
          <w:rFonts w:cs="Arial"/>
          <w:szCs w:val="22"/>
        </w:rPr>
        <w:t>: Das Eigentum geht mit dem Zuschlag durch den Betre</w:t>
      </w:r>
      <w:r w:rsidRPr="005F15DA">
        <w:rPr>
          <w:rFonts w:cs="Arial"/>
          <w:szCs w:val="22"/>
        </w:rPr>
        <w:t>i</w:t>
      </w:r>
      <w:r w:rsidRPr="005F15DA">
        <w:rPr>
          <w:rFonts w:cs="Arial"/>
          <w:szCs w:val="22"/>
        </w:rPr>
        <w:t>bungs- oder Konkursbeamten auf den Ersteigerer über;</w:t>
      </w:r>
    </w:p>
    <w:p w:rsidR="006A68B9" w:rsidRPr="005F15DA" w:rsidRDefault="006A68B9" w:rsidP="008851FF">
      <w:pPr>
        <w:tabs>
          <w:tab w:val="left" w:pos="426"/>
          <w:tab w:val="left" w:pos="851"/>
        </w:tabs>
        <w:spacing w:line="240" w:lineRule="auto"/>
        <w:ind w:left="851" w:hanging="425"/>
        <w:jc w:val="both"/>
        <w:rPr>
          <w:rFonts w:cs="Arial"/>
          <w:szCs w:val="22"/>
        </w:rPr>
      </w:pPr>
      <w:r w:rsidRPr="005F15DA">
        <w:rPr>
          <w:rFonts w:cs="Arial"/>
          <w:szCs w:val="22"/>
        </w:rPr>
        <w:t>-</w:t>
      </w:r>
      <w:r w:rsidRPr="005F15DA">
        <w:rPr>
          <w:rFonts w:cs="Arial"/>
          <w:szCs w:val="22"/>
        </w:rPr>
        <w:tab/>
      </w:r>
      <w:r w:rsidRPr="005F15DA">
        <w:rPr>
          <w:rFonts w:cs="Arial"/>
          <w:b/>
          <w:szCs w:val="22"/>
        </w:rPr>
        <w:t>Enteignung</w:t>
      </w:r>
      <w:r w:rsidRPr="005F15DA">
        <w:rPr>
          <w:rFonts w:cs="Arial"/>
          <w:szCs w:val="22"/>
        </w:rPr>
        <w:t>: Das Eigentum geht erst mit Bezahlung der Enteignungsentschädigung auf den Enteigner über.</w:t>
      </w:r>
    </w:p>
    <w:p w:rsidR="006A68B9" w:rsidRPr="005F15DA" w:rsidRDefault="006A68B9" w:rsidP="008851FF">
      <w:pPr>
        <w:tabs>
          <w:tab w:val="left" w:pos="426"/>
        </w:tabs>
        <w:spacing w:line="240" w:lineRule="auto"/>
        <w:ind w:left="426"/>
        <w:jc w:val="both"/>
        <w:rPr>
          <w:rFonts w:cs="Arial"/>
          <w:szCs w:val="22"/>
        </w:rPr>
      </w:pPr>
    </w:p>
    <w:p w:rsidR="006A68B9" w:rsidRPr="005F15DA" w:rsidRDefault="006A68B9" w:rsidP="008851FF">
      <w:pPr>
        <w:tabs>
          <w:tab w:val="left" w:pos="426"/>
        </w:tabs>
        <w:spacing w:line="240" w:lineRule="auto"/>
        <w:ind w:left="426"/>
        <w:jc w:val="both"/>
        <w:rPr>
          <w:rFonts w:cs="Arial"/>
          <w:szCs w:val="22"/>
        </w:rPr>
      </w:pPr>
      <w:r w:rsidRPr="005F15DA">
        <w:rPr>
          <w:rFonts w:cs="Arial"/>
          <w:szCs w:val="22"/>
        </w:rPr>
        <w:t>In all diesen Fällen kann der neue Eigentümer erst über das Grundstück verfügen, wenn der Eigentumsübergang im Grundbuch nachgeführt ist (Art. 656 Abs. 2 ZGB).</w:t>
      </w:r>
    </w:p>
    <w:p w:rsidR="006A68B9" w:rsidRPr="005F15DA" w:rsidRDefault="006A68B9" w:rsidP="008851FF">
      <w:pPr>
        <w:tabs>
          <w:tab w:val="left" w:pos="426"/>
        </w:tabs>
        <w:spacing w:line="240" w:lineRule="auto"/>
        <w:ind w:left="426"/>
        <w:jc w:val="both"/>
        <w:rPr>
          <w:rFonts w:cs="Arial"/>
          <w:szCs w:val="22"/>
        </w:rPr>
      </w:pPr>
    </w:p>
    <w:p w:rsidR="006A68B9" w:rsidRPr="005F15DA" w:rsidRDefault="006A68B9" w:rsidP="008851FF">
      <w:pPr>
        <w:tabs>
          <w:tab w:val="left" w:pos="426"/>
        </w:tabs>
        <w:spacing w:line="240" w:lineRule="auto"/>
        <w:ind w:left="426"/>
        <w:jc w:val="both"/>
        <w:rPr>
          <w:rFonts w:cs="Arial"/>
          <w:szCs w:val="22"/>
        </w:rPr>
      </w:pPr>
      <w:r w:rsidRPr="005F15DA">
        <w:rPr>
          <w:rFonts w:cs="Arial"/>
          <w:szCs w:val="22"/>
        </w:rPr>
        <w:t>Im Falle des Gerichtsurteils wird dies normalerweise vom Gericht, bei der Zwangsvol</w:t>
      </w:r>
      <w:r w:rsidRPr="005F15DA">
        <w:rPr>
          <w:rFonts w:cs="Arial"/>
          <w:szCs w:val="22"/>
        </w:rPr>
        <w:t>l</w:t>
      </w:r>
      <w:r w:rsidRPr="005F15DA">
        <w:rPr>
          <w:rFonts w:cs="Arial"/>
          <w:szCs w:val="22"/>
        </w:rPr>
        <w:t>streckung vom Betreibungs- bzw. Konkursamt und bei der Enteignung von der zuständ</w:t>
      </w:r>
      <w:r w:rsidRPr="005F15DA">
        <w:rPr>
          <w:rFonts w:cs="Arial"/>
          <w:szCs w:val="22"/>
        </w:rPr>
        <w:t>i</w:t>
      </w:r>
      <w:r w:rsidRPr="005F15DA">
        <w:rPr>
          <w:rFonts w:cs="Arial"/>
          <w:szCs w:val="22"/>
        </w:rPr>
        <w:t>gen Behörde dem Grundbuchamt gemeldet.</w:t>
      </w:r>
    </w:p>
    <w:p w:rsidR="006A68B9" w:rsidRPr="005F15DA" w:rsidRDefault="006A68B9" w:rsidP="008851FF">
      <w:pPr>
        <w:tabs>
          <w:tab w:val="left" w:pos="426"/>
        </w:tabs>
        <w:spacing w:line="240" w:lineRule="auto"/>
        <w:ind w:left="426"/>
        <w:jc w:val="both"/>
        <w:rPr>
          <w:rFonts w:cs="Arial"/>
          <w:szCs w:val="22"/>
        </w:rPr>
      </w:pPr>
    </w:p>
    <w:p w:rsidR="006A68B9" w:rsidRPr="005F15DA" w:rsidRDefault="006A68B9" w:rsidP="008851FF">
      <w:pPr>
        <w:tabs>
          <w:tab w:val="left" w:pos="426"/>
        </w:tabs>
        <w:spacing w:line="240" w:lineRule="auto"/>
        <w:ind w:left="426"/>
        <w:jc w:val="both"/>
        <w:rPr>
          <w:rFonts w:cs="Arial"/>
          <w:szCs w:val="22"/>
        </w:rPr>
      </w:pPr>
      <w:r w:rsidRPr="005F15DA">
        <w:rPr>
          <w:rFonts w:cs="Arial"/>
          <w:szCs w:val="22"/>
        </w:rPr>
        <w:t>Beim Erbgang muss dem Grundbuchamt ein Erbenschein vorgelegt werden; Fristen b</w:t>
      </w:r>
      <w:r w:rsidRPr="005F15DA">
        <w:rPr>
          <w:rFonts w:cs="Arial"/>
          <w:szCs w:val="22"/>
        </w:rPr>
        <w:t>e</w:t>
      </w:r>
      <w:r w:rsidRPr="005F15DA">
        <w:rPr>
          <w:rFonts w:cs="Arial"/>
          <w:szCs w:val="22"/>
        </w:rPr>
        <w:t>stehen diesbezüglich keine. Es ist deshalb durchaus möglich, dass beim Verkauf des Grundstückes noch der Erblasser als Eigentümer im Grundbuch eingetragen ist. In di</w:t>
      </w:r>
      <w:r w:rsidRPr="005F15DA">
        <w:rPr>
          <w:rFonts w:cs="Arial"/>
          <w:szCs w:val="22"/>
        </w:rPr>
        <w:t>e</w:t>
      </w:r>
      <w:r w:rsidRPr="005F15DA">
        <w:rPr>
          <w:rFonts w:cs="Arial"/>
          <w:szCs w:val="22"/>
        </w:rPr>
        <w:t>sem Fall muss vor der Anmeldung des Kaufvertrages der Erbgang beim Grundbuchamt angemeldet werden.</w:t>
      </w:r>
    </w:p>
    <w:p w:rsidR="006A68B9" w:rsidRPr="005F15DA" w:rsidRDefault="006A68B9" w:rsidP="008851FF">
      <w:pPr>
        <w:tabs>
          <w:tab w:val="left" w:pos="426"/>
        </w:tabs>
        <w:spacing w:line="240" w:lineRule="auto"/>
        <w:ind w:left="426"/>
        <w:jc w:val="both"/>
        <w:rPr>
          <w:rFonts w:cs="Arial"/>
          <w:szCs w:val="22"/>
        </w:rPr>
      </w:pPr>
    </w:p>
    <w:p w:rsidR="006A68B9" w:rsidRPr="005F15DA" w:rsidRDefault="006A68B9" w:rsidP="008851FF">
      <w:pPr>
        <w:tabs>
          <w:tab w:val="left" w:pos="426"/>
        </w:tabs>
        <w:spacing w:line="240" w:lineRule="auto"/>
        <w:ind w:left="426"/>
        <w:jc w:val="both"/>
        <w:rPr>
          <w:rFonts w:cs="Arial"/>
          <w:szCs w:val="22"/>
        </w:rPr>
      </w:pPr>
      <w:r w:rsidRPr="005F15DA">
        <w:rPr>
          <w:rFonts w:cs="Arial"/>
          <w:szCs w:val="22"/>
        </w:rPr>
        <w:t>Bei der Gütergemeinschaft muss dem Grundbuchamt der Ehevertrag vorgelegt werden; Fristen bestehen diesbezüglich keine.</w:t>
      </w:r>
    </w:p>
    <w:p w:rsidR="006A68B9" w:rsidRPr="005F15DA" w:rsidRDefault="006A68B9" w:rsidP="008851FF">
      <w:pPr>
        <w:tabs>
          <w:tab w:val="left" w:pos="426"/>
        </w:tabs>
        <w:spacing w:line="240" w:lineRule="auto"/>
        <w:ind w:left="426"/>
        <w:jc w:val="both"/>
        <w:rPr>
          <w:rFonts w:cs="Arial"/>
          <w:szCs w:val="22"/>
        </w:rPr>
      </w:pPr>
    </w:p>
    <w:p w:rsidR="006A68B9" w:rsidRPr="005F15DA" w:rsidRDefault="006A68B9" w:rsidP="008851FF">
      <w:pPr>
        <w:tabs>
          <w:tab w:val="left" w:pos="426"/>
        </w:tabs>
        <w:spacing w:line="240" w:lineRule="auto"/>
        <w:ind w:left="426"/>
        <w:jc w:val="both"/>
        <w:rPr>
          <w:rFonts w:cs="Arial"/>
          <w:szCs w:val="22"/>
        </w:rPr>
      </w:pPr>
      <w:r w:rsidRPr="005F15DA">
        <w:rPr>
          <w:rFonts w:cs="Arial"/>
          <w:szCs w:val="22"/>
        </w:rPr>
        <w:t>Bei der Fusion, der Spaltung und der Vermögensübertragung muss der übernehmende Rechtsträger die Änderungen beim Grundbuchamt innert einer Frist von drei Monaten (Art. 104 Abs. 1 FusG) anmelden, in einzelnen Fällen innert einem Monat (Art. 104 Abs. 2 FusG).</w:t>
      </w:r>
    </w:p>
    <w:p w:rsidR="00DD17F5" w:rsidRPr="005F15DA" w:rsidRDefault="00DD17F5" w:rsidP="008851FF">
      <w:pPr>
        <w:tabs>
          <w:tab w:val="left" w:pos="426"/>
        </w:tabs>
        <w:spacing w:line="240" w:lineRule="auto"/>
        <w:jc w:val="both"/>
        <w:rPr>
          <w:rFonts w:cs="Arial"/>
          <w:szCs w:val="22"/>
        </w:rPr>
      </w:pPr>
    </w:p>
    <w:p w:rsidR="00D95E54" w:rsidRPr="005F15DA" w:rsidRDefault="00264316" w:rsidP="00264316">
      <w:pPr>
        <w:pStyle w:val="berschrift4"/>
        <w:tabs>
          <w:tab w:val="left" w:pos="426"/>
        </w:tabs>
      </w:pPr>
      <w:r w:rsidRPr="005F15DA">
        <w:lastRenderedPageBreak/>
        <w:t>3.</w:t>
      </w:r>
      <w:r w:rsidRPr="005F15DA">
        <w:tab/>
      </w:r>
      <w:r w:rsidR="00D95E54" w:rsidRPr="005F15DA">
        <w:t>Recht auf Eintragung</w:t>
      </w:r>
      <w:r w:rsidR="003203BE" w:rsidRPr="005F15DA">
        <w:t xml:space="preserve"> (Art. 665 ZGB)</w:t>
      </w:r>
    </w:p>
    <w:p w:rsidR="00D95E54" w:rsidRPr="005F15DA" w:rsidRDefault="003203BE" w:rsidP="008851FF">
      <w:pPr>
        <w:pStyle w:val="Listenabsatz"/>
        <w:tabs>
          <w:tab w:val="left" w:pos="426"/>
        </w:tabs>
        <w:spacing w:line="240" w:lineRule="auto"/>
        <w:ind w:left="426"/>
        <w:jc w:val="both"/>
        <w:rPr>
          <w:rFonts w:cs="Arial"/>
          <w:szCs w:val="22"/>
        </w:rPr>
      </w:pPr>
      <w:r w:rsidRPr="005F15DA">
        <w:rPr>
          <w:rFonts w:cs="Arial"/>
          <w:szCs w:val="22"/>
        </w:rPr>
        <w:t xml:space="preserve">Der Erwerbsgrund (Vertrag) gibt dem Erwerber einen </w:t>
      </w:r>
      <w:r w:rsidRPr="005F15DA">
        <w:rPr>
          <w:rFonts w:cs="Arial"/>
          <w:b/>
          <w:szCs w:val="22"/>
        </w:rPr>
        <w:t>persönlichen Anspruch auf Ei</w:t>
      </w:r>
      <w:r w:rsidRPr="005F15DA">
        <w:rPr>
          <w:rFonts w:cs="Arial"/>
          <w:b/>
          <w:szCs w:val="22"/>
        </w:rPr>
        <w:t>n</w:t>
      </w:r>
      <w:r w:rsidRPr="005F15DA">
        <w:rPr>
          <w:rFonts w:cs="Arial"/>
          <w:b/>
          <w:szCs w:val="22"/>
        </w:rPr>
        <w:t>tragung</w:t>
      </w:r>
      <w:r w:rsidRPr="005F15DA">
        <w:rPr>
          <w:rFonts w:cs="Arial"/>
          <w:szCs w:val="22"/>
        </w:rPr>
        <w:t xml:space="preserve"> im Grundbuch, sobald der Erwerber seine Verpflichtungen erfüllt hat (z.B. den Kaufpreis bezahlt hat). Weigert sich </w:t>
      </w:r>
      <w:proofErr w:type="gramStart"/>
      <w:r w:rsidRPr="005F15DA">
        <w:rPr>
          <w:rFonts w:cs="Arial"/>
          <w:szCs w:val="22"/>
        </w:rPr>
        <w:t>der Veräusserer</w:t>
      </w:r>
      <w:proofErr w:type="gramEnd"/>
      <w:r w:rsidRPr="005F15DA">
        <w:rPr>
          <w:rFonts w:cs="Arial"/>
          <w:szCs w:val="22"/>
        </w:rPr>
        <w:t>, die Eintragungsbewilligung zu erte</w:t>
      </w:r>
      <w:r w:rsidRPr="005F15DA">
        <w:rPr>
          <w:rFonts w:cs="Arial"/>
          <w:szCs w:val="22"/>
        </w:rPr>
        <w:t>i</w:t>
      </w:r>
      <w:r w:rsidRPr="005F15DA">
        <w:rPr>
          <w:rFonts w:cs="Arial"/>
          <w:szCs w:val="22"/>
        </w:rPr>
        <w:t>len, muss der Erwerber beim Gericht die Zusprechung des Eigentums (Eintragungsbewi</w:t>
      </w:r>
      <w:r w:rsidRPr="005F15DA">
        <w:rPr>
          <w:rFonts w:cs="Arial"/>
          <w:szCs w:val="22"/>
        </w:rPr>
        <w:t>l</w:t>
      </w:r>
      <w:r w:rsidRPr="005F15DA">
        <w:rPr>
          <w:rFonts w:cs="Arial"/>
          <w:szCs w:val="22"/>
        </w:rPr>
        <w:t>ligung) verlangen.</w:t>
      </w:r>
    </w:p>
    <w:p w:rsidR="003203BE" w:rsidRPr="005F15DA" w:rsidRDefault="003203BE" w:rsidP="008851FF">
      <w:pPr>
        <w:pStyle w:val="Listenabsatz"/>
        <w:tabs>
          <w:tab w:val="left" w:pos="426"/>
        </w:tabs>
        <w:spacing w:line="240" w:lineRule="auto"/>
        <w:ind w:left="426"/>
        <w:jc w:val="both"/>
        <w:rPr>
          <w:rFonts w:cs="Arial"/>
          <w:szCs w:val="22"/>
        </w:rPr>
      </w:pPr>
    </w:p>
    <w:p w:rsidR="003203BE" w:rsidRPr="005F15DA" w:rsidRDefault="003203BE" w:rsidP="008851FF">
      <w:pPr>
        <w:pStyle w:val="Listenabsatz"/>
        <w:tabs>
          <w:tab w:val="left" w:pos="426"/>
        </w:tabs>
        <w:spacing w:line="240" w:lineRule="auto"/>
        <w:ind w:left="426"/>
        <w:jc w:val="both"/>
        <w:rPr>
          <w:rFonts w:cs="Arial"/>
          <w:szCs w:val="22"/>
        </w:rPr>
      </w:pPr>
      <w:r w:rsidRPr="005F15DA">
        <w:rPr>
          <w:rFonts w:cs="Arial"/>
          <w:szCs w:val="22"/>
        </w:rPr>
        <w:t>Bei Erbgang, Gerichtsurteil, Zwangsvollstreckung, Enteignung oder Aneignung kann der Erwerber einseitig die Eigentumsübertragung im Grundbuch verlangen.</w:t>
      </w:r>
    </w:p>
    <w:p w:rsidR="003203BE" w:rsidRPr="005F15DA" w:rsidRDefault="003203BE" w:rsidP="008851FF">
      <w:pPr>
        <w:pStyle w:val="Listenabsatz"/>
        <w:tabs>
          <w:tab w:val="left" w:pos="426"/>
        </w:tabs>
        <w:spacing w:line="240" w:lineRule="auto"/>
        <w:ind w:left="426"/>
        <w:jc w:val="both"/>
        <w:rPr>
          <w:rFonts w:cs="Arial"/>
          <w:szCs w:val="22"/>
        </w:rPr>
      </w:pPr>
    </w:p>
    <w:p w:rsidR="003203BE" w:rsidRPr="005F15DA" w:rsidRDefault="003203BE" w:rsidP="008851FF">
      <w:pPr>
        <w:pStyle w:val="Listenabsatz"/>
        <w:tabs>
          <w:tab w:val="left" w:pos="426"/>
        </w:tabs>
        <w:spacing w:line="240" w:lineRule="auto"/>
        <w:ind w:left="426"/>
        <w:jc w:val="both"/>
        <w:rPr>
          <w:rFonts w:cs="Arial"/>
          <w:szCs w:val="22"/>
        </w:rPr>
      </w:pPr>
      <w:r w:rsidRPr="005F15DA">
        <w:rPr>
          <w:rFonts w:cs="Arial"/>
          <w:szCs w:val="22"/>
        </w:rPr>
        <w:t>Bei Gütergemeinschaft (Begründung oder Auflösung) kann einer der Ehegatten alleine die Eigentumsübertragung im Grundbuch verlangen.</w:t>
      </w:r>
    </w:p>
    <w:p w:rsidR="003203BE" w:rsidRPr="005F15DA" w:rsidRDefault="003203BE" w:rsidP="008851FF">
      <w:pPr>
        <w:spacing w:line="240" w:lineRule="auto"/>
        <w:jc w:val="both"/>
        <w:rPr>
          <w:rFonts w:cs="Arial"/>
          <w:szCs w:val="22"/>
        </w:rPr>
      </w:pPr>
    </w:p>
    <w:p w:rsidR="00344AD5" w:rsidRPr="005F15DA" w:rsidRDefault="00344AD5" w:rsidP="008851FF">
      <w:pPr>
        <w:spacing w:line="240" w:lineRule="auto"/>
        <w:jc w:val="both"/>
        <w:rPr>
          <w:rFonts w:cs="Arial"/>
          <w:szCs w:val="22"/>
        </w:rPr>
      </w:pPr>
    </w:p>
    <w:p w:rsidR="00440E84" w:rsidRPr="005F15DA" w:rsidRDefault="00264316" w:rsidP="00264316">
      <w:pPr>
        <w:pStyle w:val="berschrift4"/>
        <w:tabs>
          <w:tab w:val="left" w:pos="426"/>
        </w:tabs>
      </w:pPr>
      <w:r w:rsidRPr="005F15DA">
        <w:t>4.</w:t>
      </w:r>
      <w:r w:rsidRPr="005F15DA">
        <w:tab/>
      </w:r>
      <w:r w:rsidR="00440E84" w:rsidRPr="005F15DA">
        <w:t>Verlust des Grundeigentums</w:t>
      </w:r>
    </w:p>
    <w:p w:rsidR="003203BE" w:rsidRPr="005F15DA" w:rsidRDefault="003203BE" w:rsidP="008851FF">
      <w:pPr>
        <w:spacing w:line="240" w:lineRule="auto"/>
        <w:ind w:left="426"/>
        <w:jc w:val="both"/>
        <w:rPr>
          <w:rFonts w:cs="Arial"/>
          <w:szCs w:val="22"/>
        </w:rPr>
      </w:pPr>
      <w:r w:rsidRPr="005F15DA">
        <w:rPr>
          <w:rFonts w:cs="Arial"/>
          <w:szCs w:val="22"/>
        </w:rPr>
        <w:t xml:space="preserve">Grundeigentum </w:t>
      </w:r>
      <w:r w:rsidR="00CA4690" w:rsidRPr="005F15DA">
        <w:rPr>
          <w:rFonts w:cs="Arial"/>
          <w:szCs w:val="22"/>
        </w:rPr>
        <w:t>geht unter mit der Löschung des Eintrages (es wird ein neuer Eigentümer eingetragen) oder mit dem vollständigen Untergang des Grundstückes (Art. 666 ZGB).</w:t>
      </w:r>
    </w:p>
    <w:p w:rsidR="00CA4690" w:rsidRPr="005F15DA" w:rsidRDefault="00CA4690" w:rsidP="008851FF">
      <w:pPr>
        <w:spacing w:line="240" w:lineRule="auto"/>
        <w:jc w:val="both"/>
        <w:rPr>
          <w:rFonts w:cs="Arial"/>
          <w:szCs w:val="22"/>
        </w:rPr>
      </w:pPr>
    </w:p>
    <w:p w:rsidR="00CA4690" w:rsidRPr="005F15DA" w:rsidRDefault="00CA4690" w:rsidP="008851FF">
      <w:pPr>
        <w:tabs>
          <w:tab w:val="left" w:pos="426"/>
        </w:tabs>
        <w:spacing w:line="240" w:lineRule="auto"/>
        <w:jc w:val="both"/>
        <w:rPr>
          <w:rFonts w:cs="Arial"/>
          <w:szCs w:val="22"/>
        </w:rPr>
      </w:pPr>
    </w:p>
    <w:p w:rsidR="00CA4690" w:rsidRPr="005F15DA" w:rsidRDefault="00264316" w:rsidP="00264316">
      <w:pPr>
        <w:pStyle w:val="berschrift4"/>
        <w:tabs>
          <w:tab w:val="left" w:pos="426"/>
        </w:tabs>
      </w:pPr>
      <w:r w:rsidRPr="005F15DA">
        <w:t>5.</w:t>
      </w:r>
      <w:r w:rsidRPr="005F15DA">
        <w:tab/>
      </w:r>
      <w:r w:rsidR="00344AD5" w:rsidRPr="005F15DA">
        <w:t>Nicht auffindbarer Eigentümer</w:t>
      </w:r>
    </w:p>
    <w:p w:rsidR="00CA4690" w:rsidRPr="005F15DA" w:rsidRDefault="00CA4690" w:rsidP="008851FF">
      <w:pPr>
        <w:spacing w:line="240" w:lineRule="auto"/>
        <w:ind w:left="426"/>
        <w:jc w:val="both"/>
        <w:rPr>
          <w:rFonts w:cs="Arial"/>
          <w:szCs w:val="22"/>
        </w:rPr>
      </w:pPr>
      <w:r w:rsidRPr="005F15DA">
        <w:rPr>
          <w:rFonts w:cs="Arial"/>
          <w:szCs w:val="22"/>
        </w:rPr>
        <w:t>Wenn der im Grundbuch eingetragene Eigentümer nicht identifiziert werden kann oder sein Wohnort unbekannt ist, ordnet das Gericht (auf Antrag) die erforderlichen Massna</w:t>
      </w:r>
      <w:r w:rsidRPr="005F15DA">
        <w:rPr>
          <w:rFonts w:cs="Arial"/>
          <w:szCs w:val="22"/>
        </w:rPr>
        <w:t>h</w:t>
      </w:r>
      <w:r w:rsidRPr="005F15DA">
        <w:rPr>
          <w:rFonts w:cs="Arial"/>
          <w:szCs w:val="22"/>
        </w:rPr>
        <w:t xml:space="preserve">men an (Art. 666a ZGB). </w:t>
      </w:r>
    </w:p>
    <w:p w:rsidR="00CA4690" w:rsidRPr="005F15DA" w:rsidRDefault="00CA4690" w:rsidP="008851FF">
      <w:pPr>
        <w:spacing w:line="240" w:lineRule="auto"/>
        <w:ind w:left="426"/>
        <w:jc w:val="both"/>
        <w:rPr>
          <w:rFonts w:cs="Arial"/>
          <w:szCs w:val="22"/>
        </w:rPr>
      </w:pPr>
    </w:p>
    <w:p w:rsidR="00CA4690" w:rsidRPr="005F15DA" w:rsidRDefault="00CA4690" w:rsidP="008851FF">
      <w:pPr>
        <w:spacing w:line="240" w:lineRule="auto"/>
        <w:ind w:left="426"/>
        <w:jc w:val="both"/>
        <w:rPr>
          <w:rFonts w:cs="Arial"/>
          <w:szCs w:val="22"/>
        </w:rPr>
      </w:pPr>
      <w:r w:rsidRPr="005F15DA">
        <w:rPr>
          <w:rFonts w:cs="Arial"/>
          <w:szCs w:val="22"/>
        </w:rPr>
        <w:t>Wenn eine juristische Person nicht mehr über die vorgeschriebenen Organe verfügt, or</w:t>
      </w:r>
      <w:r w:rsidRPr="005F15DA">
        <w:rPr>
          <w:rFonts w:cs="Arial"/>
          <w:szCs w:val="22"/>
        </w:rPr>
        <w:t>d</w:t>
      </w:r>
      <w:r w:rsidRPr="005F15DA">
        <w:rPr>
          <w:rFonts w:cs="Arial"/>
          <w:szCs w:val="22"/>
        </w:rPr>
        <w:t xml:space="preserve">net das Gericht (auf Antrag) die </w:t>
      </w:r>
      <w:r w:rsidR="00440E84" w:rsidRPr="005F15DA">
        <w:rPr>
          <w:rFonts w:cs="Arial"/>
          <w:szCs w:val="22"/>
        </w:rPr>
        <w:t>erforderlichen Massnahmen an (Art. 666b ZGB)</w:t>
      </w:r>
    </w:p>
    <w:p w:rsidR="00344AD5" w:rsidRPr="005F15DA" w:rsidRDefault="00344AD5" w:rsidP="008851FF">
      <w:pPr>
        <w:tabs>
          <w:tab w:val="left" w:pos="426"/>
        </w:tabs>
        <w:spacing w:line="240" w:lineRule="auto"/>
        <w:jc w:val="both"/>
        <w:rPr>
          <w:rFonts w:cs="Arial"/>
          <w:szCs w:val="22"/>
        </w:rPr>
      </w:pPr>
    </w:p>
    <w:p w:rsidR="00344AD5" w:rsidRPr="005F15DA" w:rsidRDefault="00344AD5" w:rsidP="008851FF">
      <w:pPr>
        <w:tabs>
          <w:tab w:val="left" w:pos="426"/>
        </w:tabs>
        <w:spacing w:line="240" w:lineRule="auto"/>
        <w:jc w:val="both"/>
        <w:rPr>
          <w:rFonts w:cs="Arial"/>
          <w:szCs w:val="22"/>
        </w:rPr>
      </w:pPr>
    </w:p>
    <w:p w:rsidR="00651AD5" w:rsidRPr="005F15DA" w:rsidRDefault="00651AD5" w:rsidP="008851FF">
      <w:pPr>
        <w:tabs>
          <w:tab w:val="left" w:pos="426"/>
        </w:tabs>
        <w:spacing w:line="240" w:lineRule="auto"/>
        <w:jc w:val="both"/>
        <w:rPr>
          <w:rFonts w:cs="Arial"/>
          <w:szCs w:val="22"/>
        </w:rPr>
      </w:pPr>
    </w:p>
    <w:p w:rsidR="00344AD5" w:rsidRPr="005F15DA" w:rsidRDefault="00651AD5" w:rsidP="005759BE">
      <w:pPr>
        <w:pStyle w:val="berschrift3"/>
        <w:rPr>
          <w:lang w:val="de-CH"/>
        </w:rPr>
      </w:pPr>
      <w:bookmarkStart w:id="138" w:name="_Toc432175658"/>
      <w:r w:rsidRPr="005F15DA">
        <w:rPr>
          <w:lang w:val="de-CH"/>
        </w:rPr>
        <w:t>C.</w:t>
      </w:r>
      <w:r w:rsidRPr="005F15DA">
        <w:rPr>
          <w:lang w:val="de-CH"/>
        </w:rPr>
        <w:tab/>
      </w:r>
      <w:r w:rsidR="00344AD5" w:rsidRPr="005F15DA">
        <w:rPr>
          <w:lang w:val="de-CH"/>
        </w:rPr>
        <w:t>Inhalt des Grundeigentums</w:t>
      </w:r>
      <w:bookmarkEnd w:id="138"/>
    </w:p>
    <w:p w:rsidR="00344AD5" w:rsidRPr="005F15DA" w:rsidRDefault="00344AD5" w:rsidP="008851FF">
      <w:pPr>
        <w:spacing w:line="240" w:lineRule="auto"/>
        <w:jc w:val="both"/>
        <w:rPr>
          <w:rFonts w:cs="Arial"/>
          <w:szCs w:val="22"/>
        </w:rPr>
      </w:pPr>
    </w:p>
    <w:p w:rsidR="00D172F7" w:rsidRPr="005F15DA" w:rsidRDefault="00264316" w:rsidP="00264316">
      <w:pPr>
        <w:pStyle w:val="berschrift4"/>
        <w:tabs>
          <w:tab w:val="left" w:pos="426"/>
        </w:tabs>
      </w:pPr>
      <w:r w:rsidRPr="005F15DA">
        <w:t>1.</w:t>
      </w:r>
      <w:r w:rsidRPr="005F15DA">
        <w:tab/>
      </w:r>
      <w:r w:rsidR="00D172F7" w:rsidRPr="005F15DA">
        <w:t>Grundeigentum</w:t>
      </w:r>
      <w:r w:rsidR="00A50DE4" w:rsidRPr="005F15DA">
        <w:t xml:space="preserve"> (Art. 667 ff. ZGB)</w:t>
      </w:r>
    </w:p>
    <w:p w:rsidR="00CA4690" w:rsidRPr="005F15DA" w:rsidRDefault="004B4839" w:rsidP="008851FF">
      <w:pPr>
        <w:tabs>
          <w:tab w:val="left" w:pos="426"/>
        </w:tabs>
        <w:spacing w:line="240" w:lineRule="auto"/>
        <w:ind w:left="426" w:hanging="426"/>
        <w:jc w:val="both"/>
        <w:rPr>
          <w:rFonts w:cs="Arial"/>
          <w:szCs w:val="22"/>
        </w:rPr>
      </w:pPr>
      <w:r w:rsidRPr="005F15DA">
        <w:rPr>
          <w:rFonts w:cs="Arial"/>
          <w:szCs w:val="22"/>
        </w:rPr>
        <w:tab/>
      </w:r>
      <w:r w:rsidR="00344AD5" w:rsidRPr="005F15DA">
        <w:rPr>
          <w:rFonts w:cs="Arial"/>
          <w:szCs w:val="22"/>
        </w:rPr>
        <w:t>Wie vorstehend erwähnt, erstreckt sich das Eigentum an Grund und Boden nach oben und unten auf den Luftraum und das Erdreich. Das Eigentum umfasst alle Bauten, Pfla</w:t>
      </w:r>
      <w:r w:rsidR="00344AD5" w:rsidRPr="005F15DA">
        <w:rPr>
          <w:rFonts w:cs="Arial"/>
          <w:szCs w:val="22"/>
        </w:rPr>
        <w:t>n</w:t>
      </w:r>
      <w:r w:rsidR="00344AD5" w:rsidRPr="005F15DA">
        <w:rPr>
          <w:rFonts w:cs="Arial"/>
          <w:szCs w:val="22"/>
        </w:rPr>
        <w:t xml:space="preserve">zen und Quellen. </w:t>
      </w:r>
    </w:p>
    <w:p w:rsidR="00D172F7" w:rsidRPr="005F15DA" w:rsidRDefault="00D172F7" w:rsidP="008851FF">
      <w:pPr>
        <w:spacing w:line="240" w:lineRule="auto"/>
        <w:jc w:val="both"/>
        <w:rPr>
          <w:rFonts w:cs="Arial"/>
          <w:szCs w:val="22"/>
        </w:rPr>
      </w:pPr>
    </w:p>
    <w:p w:rsidR="00D172F7" w:rsidRPr="005F15DA" w:rsidRDefault="00D172F7" w:rsidP="008851FF">
      <w:pPr>
        <w:spacing w:line="240" w:lineRule="auto"/>
        <w:jc w:val="both"/>
        <w:rPr>
          <w:rFonts w:cs="Arial"/>
          <w:szCs w:val="22"/>
        </w:rPr>
      </w:pPr>
    </w:p>
    <w:p w:rsidR="00D172F7" w:rsidRPr="005F15DA" w:rsidRDefault="00264316" w:rsidP="00264316">
      <w:pPr>
        <w:pStyle w:val="berschrift4"/>
        <w:tabs>
          <w:tab w:val="left" w:pos="426"/>
        </w:tabs>
      </w:pPr>
      <w:r w:rsidRPr="005F15DA">
        <w:t>2.</w:t>
      </w:r>
      <w:r w:rsidRPr="005F15DA">
        <w:tab/>
      </w:r>
      <w:r w:rsidR="00D172F7" w:rsidRPr="005F15DA">
        <w:t>Baute auf fremdem Boden</w:t>
      </w:r>
      <w:r w:rsidR="00A50DE4" w:rsidRPr="005F15DA">
        <w:t xml:space="preserve"> (Art. 671 ff. ZGB)</w:t>
      </w:r>
    </w:p>
    <w:p w:rsidR="00344AD5" w:rsidRPr="005F15DA" w:rsidRDefault="00344AD5" w:rsidP="008851FF">
      <w:pPr>
        <w:spacing w:line="240" w:lineRule="auto"/>
        <w:ind w:left="426"/>
        <w:jc w:val="both"/>
        <w:rPr>
          <w:rFonts w:cs="Arial"/>
          <w:szCs w:val="22"/>
        </w:rPr>
      </w:pPr>
      <w:r w:rsidRPr="005F15DA">
        <w:rPr>
          <w:rFonts w:cs="Arial"/>
          <w:szCs w:val="22"/>
        </w:rPr>
        <w:t>Wenn nun für die Erstellung eines Bauwerkes fremdes Material auf eigenem Boden oder eigenes Material auf fremden Boden verwendet wird</w:t>
      </w:r>
      <w:r w:rsidR="00D50139" w:rsidRPr="005F15DA">
        <w:rPr>
          <w:rFonts w:cs="Arial"/>
          <w:szCs w:val="22"/>
        </w:rPr>
        <w:t>, wird dieses Material Bestandteil des Grundstückes (Akzessionsprinzip), d.h. das Material wird Eigentum des Grundeigent</w:t>
      </w:r>
      <w:r w:rsidR="00D50139" w:rsidRPr="005F15DA">
        <w:rPr>
          <w:rFonts w:cs="Arial"/>
          <w:szCs w:val="22"/>
        </w:rPr>
        <w:t>ü</w:t>
      </w:r>
      <w:r w:rsidR="00D50139" w:rsidRPr="005F15DA">
        <w:rPr>
          <w:rFonts w:cs="Arial"/>
          <w:szCs w:val="22"/>
        </w:rPr>
        <w:t>mers. Wurde das Material ohne den Willen des Grundeigentümers bzw. des Materiale</w:t>
      </w:r>
      <w:r w:rsidR="00D50139" w:rsidRPr="005F15DA">
        <w:rPr>
          <w:rFonts w:cs="Arial"/>
          <w:szCs w:val="22"/>
        </w:rPr>
        <w:t>i</w:t>
      </w:r>
      <w:r w:rsidR="00D50139" w:rsidRPr="005F15DA">
        <w:rPr>
          <w:rFonts w:cs="Arial"/>
          <w:szCs w:val="22"/>
        </w:rPr>
        <w:t>gentümers verwendet, kann die Trennung von Material und Boden verlangt werden. Wenn keine Trennung von Boden und Material stattfindet, ist für das Material eine ang</w:t>
      </w:r>
      <w:r w:rsidR="00D50139" w:rsidRPr="005F15DA">
        <w:rPr>
          <w:rFonts w:cs="Arial"/>
          <w:szCs w:val="22"/>
        </w:rPr>
        <w:t>e</w:t>
      </w:r>
      <w:r w:rsidR="00D50139" w:rsidRPr="005F15DA">
        <w:rPr>
          <w:rFonts w:cs="Arial"/>
          <w:szCs w:val="22"/>
        </w:rPr>
        <w:t>messene Entschädigung zu bezahlen.</w:t>
      </w:r>
    </w:p>
    <w:p w:rsidR="00D50139" w:rsidRPr="005F15DA" w:rsidRDefault="00D50139" w:rsidP="008851FF">
      <w:pPr>
        <w:spacing w:line="240" w:lineRule="auto"/>
        <w:jc w:val="both"/>
        <w:rPr>
          <w:rFonts w:cs="Arial"/>
          <w:szCs w:val="22"/>
        </w:rPr>
      </w:pPr>
    </w:p>
    <w:p w:rsidR="00D50139" w:rsidRPr="005F15DA" w:rsidRDefault="00D50139" w:rsidP="008851FF">
      <w:pPr>
        <w:spacing w:line="240" w:lineRule="auto"/>
        <w:jc w:val="both"/>
        <w:rPr>
          <w:rFonts w:cs="Arial"/>
          <w:szCs w:val="22"/>
        </w:rPr>
      </w:pPr>
    </w:p>
    <w:p w:rsidR="00D172F7" w:rsidRPr="005F15DA" w:rsidRDefault="00264316" w:rsidP="00264316">
      <w:pPr>
        <w:pStyle w:val="berschrift4"/>
        <w:tabs>
          <w:tab w:val="left" w:pos="426"/>
        </w:tabs>
      </w:pPr>
      <w:r w:rsidRPr="005F15DA">
        <w:t>3.</w:t>
      </w:r>
      <w:r w:rsidRPr="005F15DA">
        <w:tab/>
      </w:r>
      <w:r w:rsidR="00D172F7" w:rsidRPr="005F15DA">
        <w:t>Überragende Bauten</w:t>
      </w:r>
      <w:r w:rsidR="00A50DE4" w:rsidRPr="005F15DA">
        <w:t xml:space="preserve"> (Art. 674 ZGB)</w:t>
      </w:r>
    </w:p>
    <w:p w:rsidR="00D172F7" w:rsidRPr="005F15DA" w:rsidRDefault="00A50DE4" w:rsidP="008851FF">
      <w:pPr>
        <w:pStyle w:val="Listenabsatz"/>
        <w:spacing w:line="240" w:lineRule="auto"/>
        <w:ind w:left="426"/>
        <w:jc w:val="both"/>
        <w:rPr>
          <w:rFonts w:cs="Arial"/>
          <w:szCs w:val="22"/>
        </w:rPr>
      </w:pPr>
      <w:r w:rsidRPr="005F15DA">
        <w:rPr>
          <w:rFonts w:cs="Arial"/>
          <w:szCs w:val="22"/>
        </w:rPr>
        <w:t>Bauten und andere Vorrichtungen, die von einem Grundstück auf ein anderes überragen gehören dem Eigentümer der Baute bzw. der Vorrichtung; Voraussetzung ist allerdings, dass für die überragende Baute ein dingliches Recht (eine Dienstbarkeit) begründet wu</w:t>
      </w:r>
      <w:r w:rsidRPr="005F15DA">
        <w:rPr>
          <w:rFonts w:cs="Arial"/>
          <w:szCs w:val="22"/>
        </w:rPr>
        <w:t>r</w:t>
      </w:r>
      <w:r w:rsidRPr="005F15DA">
        <w:rPr>
          <w:rFonts w:cs="Arial"/>
          <w:szCs w:val="22"/>
        </w:rPr>
        <w:t xml:space="preserve">de. </w:t>
      </w:r>
    </w:p>
    <w:p w:rsidR="00D172F7" w:rsidRPr="005F15DA" w:rsidRDefault="00D172F7" w:rsidP="008851FF">
      <w:pPr>
        <w:pStyle w:val="Listenabsatz"/>
        <w:spacing w:line="240" w:lineRule="auto"/>
        <w:ind w:left="426"/>
        <w:jc w:val="both"/>
        <w:rPr>
          <w:rFonts w:cs="Arial"/>
          <w:szCs w:val="22"/>
        </w:rPr>
      </w:pPr>
    </w:p>
    <w:p w:rsidR="00D172F7" w:rsidRPr="005F15DA" w:rsidRDefault="00264316" w:rsidP="00264316">
      <w:pPr>
        <w:pStyle w:val="berschrift4"/>
        <w:tabs>
          <w:tab w:val="left" w:pos="426"/>
        </w:tabs>
      </w:pPr>
      <w:r w:rsidRPr="005F15DA">
        <w:lastRenderedPageBreak/>
        <w:t>4.</w:t>
      </w:r>
      <w:r w:rsidRPr="005F15DA">
        <w:tab/>
      </w:r>
      <w:r w:rsidR="00D172F7" w:rsidRPr="005F15DA">
        <w:t>Baurecht</w:t>
      </w:r>
      <w:r w:rsidR="00A50DE4" w:rsidRPr="005F15DA">
        <w:t xml:space="preserve"> (Art. 675 ZGB)</w:t>
      </w:r>
    </w:p>
    <w:p w:rsidR="00D172F7" w:rsidRPr="005F15DA" w:rsidRDefault="00A50DE4" w:rsidP="008851FF">
      <w:pPr>
        <w:pStyle w:val="Listenabsatz"/>
        <w:spacing w:line="240" w:lineRule="auto"/>
        <w:ind w:left="426"/>
        <w:jc w:val="both"/>
        <w:rPr>
          <w:rFonts w:cs="Arial"/>
          <w:szCs w:val="22"/>
        </w:rPr>
      </w:pPr>
      <w:r w:rsidRPr="005F15DA">
        <w:rPr>
          <w:rFonts w:cs="Arial"/>
          <w:szCs w:val="22"/>
        </w:rPr>
        <w:t>Bauwerke und andere Vorrichtungen, die dauernd mit einem anderen Grundstück ve</w:t>
      </w:r>
      <w:r w:rsidRPr="005F15DA">
        <w:rPr>
          <w:rFonts w:cs="Arial"/>
          <w:szCs w:val="22"/>
        </w:rPr>
        <w:t>r</w:t>
      </w:r>
      <w:r w:rsidRPr="005F15DA">
        <w:rPr>
          <w:rFonts w:cs="Arial"/>
          <w:szCs w:val="22"/>
        </w:rPr>
        <w:t>bunden sind, können einen besonderen Eigentümer haben, wenn eine Baurechtsdiens</w:t>
      </w:r>
      <w:r w:rsidRPr="005F15DA">
        <w:rPr>
          <w:rFonts w:cs="Arial"/>
          <w:szCs w:val="22"/>
        </w:rPr>
        <w:t>t</w:t>
      </w:r>
      <w:r w:rsidRPr="005F15DA">
        <w:rPr>
          <w:rFonts w:cs="Arial"/>
          <w:szCs w:val="22"/>
        </w:rPr>
        <w:t>barkeit im Grundbuch eingetragen ist.</w:t>
      </w:r>
    </w:p>
    <w:p w:rsidR="00D172F7" w:rsidRPr="005F15DA" w:rsidRDefault="00D172F7" w:rsidP="008851FF">
      <w:pPr>
        <w:spacing w:line="240" w:lineRule="auto"/>
        <w:jc w:val="both"/>
        <w:rPr>
          <w:rFonts w:cs="Arial"/>
          <w:szCs w:val="22"/>
        </w:rPr>
      </w:pPr>
    </w:p>
    <w:p w:rsidR="00D172F7" w:rsidRPr="005F15DA" w:rsidRDefault="00D172F7" w:rsidP="008851FF">
      <w:pPr>
        <w:spacing w:line="240" w:lineRule="auto"/>
        <w:jc w:val="both"/>
        <w:rPr>
          <w:rFonts w:cs="Arial"/>
          <w:szCs w:val="22"/>
        </w:rPr>
      </w:pPr>
    </w:p>
    <w:p w:rsidR="00D172F7" w:rsidRPr="005F15DA" w:rsidRDefault="00264316" w:rsidP="00264316">
      <w:pPr>
        <w:pStyle w:val="berschrift4"/>
        <w:tabs>
          <w:tab w:val="left" w:pos="426"/>
        </w:tabs>
      </w:pPr>
      <w:r w:rsidRPr="005F15DA">
        <w:t>5.</w:t>
      </w:r>
      <w:r w:rsidRPr="005F15DA">
        <w:tab/>
      </w:r>
      <w:r w:rsidR="00D172F7" w:rsidRPr="005F15DA">
        <w:t>Leitungen</w:t>
      </w:r>
      <w:r w:rsidR="00A50DE4" w:rsidRPr="005F15DA">
        <w:t xml:space="preserve"> (Art. 676 ZGB)</w:t>
      </w:r>
    </w:p>
    <w:p w:rsidR="00D172F7" w:rsidRPr="005F15DA" w:rsidRDefault="005969BF" w:rsidP="008851FF">
      <w:pPr>
        <w:pStyle w:val="Listenabsatz"/>
        <w:spacing w:line="240" w:lineRule="auto"/>
        <w:ind w:left="426"/>
        <w:jc w:val="both"/>
        <w:rPr>
          <w:rFonts w:cs="Arial"/>
          <w:szCs w:val="22"/>
        </w:rPr>
      </w:pPr>
      <w:r w:rsidRPr="005F15DA">
        <w:rPr>
          <w:rFonts w:cs="Arial"/>
          <w:szCs w:val="22"/>
        </w:rPr>
        <w:t>Leitungen zur Ver- und Entsorgung eines Werkes, die ausserhalb des Grundstückes li</w:t>
      </w:r>
      <w:r w:rsidRPr="005F15DA">
        <w:rPr>
          <w:rFonts w:cs="Arial"/>
          <w:szCs w:val="22"/>
        </w:rPr>
        <w:t>e</w:t>
      </w:r>
      <w:r w:rsidRPr="005F15DA">
        <w:rPr>
          <w:rFonts w:cs="Arial"/>
          <w:szCs w:val="22"/>
        </w:rPr>
        <w:t>gen, welchem sie dienen, gehören dem Eigentümer des Werkes</w:t>
      </w:r>
      <w:r w:rsidR="00681D81" w:rsidRPr="005F15DA">
        <w:rPr>
          <w:rFonts w:cs="Arial"/>
          <w:szCs w:val="22"/>
        </w:rPr>
        <w:t>. Handelt es sich um pr</w:t>
      </w:r>
      <w:r w:rsidR="00681D81" w:rsidRPr="005F15DA">
        <w:rPr>
          <w:rFonts w:cs="Arial"/>
          <w:szCs w:val="22"/>
        </w:rPr>
        <w:t>i</w:t>
      </w:r>
      <w:r w:rsidR="00681D81" w:rsidRPr="005F15DA">
        <w:rPr>
          <w:rFonts w:cs="Arial"/>
          <w:szCs w:val="22"/>
        </w:rPr>
        <w:t xml:space="preserve">vate Leitungen, müssen die </w:t>
      </w:r>
      <w:r w:rsidRPr="005F15DA">
        <w:rPr>
          <w:rFonts w:cs="Arial"/>
          <w:szCs w:val="22"/>
        </w:rPr>
        <w:t>Durchleitungsrechte mit einer Dienstbarkeit dinglich siche</w:t>
      </w:r>
      <w:r w:rsidRPr="005F15DA">
        <w:rPr>
          <w:rFonts w:cs="Arial"/>
          <w:szCs w:val="22"/>
        </w:rPr>
        <w:t>r</w:t>
      </w:r>
      <w:r w:rsidRPr="005F15DA">
        <w:rPr>
          <w:rFonts w:cs="Arial"/>
          <w:szCs w:val="22"/>
        </w:rPr>
        <w:t>ge</w:t>
      </w:r>
      <w:r w:rsidR="00681D81" w:rsidRPr="005F15DA">
        <w:rPr>
          <w:rFonts w:cs="Arial"/>
          <w:szCs w:val="22"/>
        </w:rPr>
        <w:t>stellt werden; bei öffentlichen Leitungen (Gemeinde-Wasserversorgung, ARA-Hauptleitungen usw.) ist keine Dienstbarkeit notwendig, weil es sich um Anlagen im Int</w:t>
      </w:r>
      <w:r w:rsidR="00681D81" w:rsidRPr="005F15DA">
        <w:rPr>
          <w:rFonts w:cs="Arial"/>
          <w:szCs w:val="22"/>
        </w:rPr>
        <w:t>e</w:t>
      </w:r>
      <w:r w:rsidR="00681D81" w:rsidRPr="005F15DA">
        <w:rPr>
          <w:rFonts w:cs="Arial"/>
          <w:szCs w:val="22"/>
        </w:rPr>
        <w:t>resse der Öffentlichkeit handelt, für welche die Enteignung möglich wäre.</w:t>
      </w:r>
    </w:p>
    <w:p w:rsidR="00D172F7" w:rsidRPr="005F15DA" w:rsidRDefault="00D172F7" w:rsidP="008851FF">
      <w:pPr>
        <w:spacing w:line="240" w:lineRule="auto"/>
        <w:jc w:val="both"/>
        <w:rPr>
          <w:rFonts w:cs="Arial"/>
          <w:szCs w:val="22"/>
        </w:rPr>
      </w:pPr>
    </w:p>
    <w:p w:rsidR="00D172F7" w:rsidRPr="005F15DA" w:rsidRDefault="00D172F7" w:rsidP="008851FF">
      <w:pPr>
        <w:spacing w:line="240" w:lineRule="auto"/>
        <w:jc w:val="both"/>
        <w:rPr>
          <w:rFonts w:cs="Arial"/>
          <w:szCs w:val="22"/>
        </w:rPr>
      </w:pPr>
    </w:p>
    <w:p w:rsidR="00D172F7" w:rsidRPr="005F15DA" w:rsidRDefault="00264316" w:rsidP="00264316">
      <w:pPr>
        <w:pStyle w:val="berschrift4"/>
        <w:tabs>
          <w:tab w:val="left" w:pos="426"/>
        </w:tabs>
      </w:pPr>
      <w:r w:rsidRPr="005F15DA">
        <w:t>6.</w:t>
      </w:r>
      <w:r w:rsidRPr="005F15DA">
        <w:tab/>
      </w:r>
      <w:r w:rsidR="00D172F7" w:rsidRPr="005F15DA">
        <w:t>Fahrnisbauten</w:t>
      </w:r>
      <w:r w:rsidR="005969BF" w:rsidRPr="005F15DA">
        <w:t xml:space="preserve"> (Art. 677 ZGB)</w:t>
      </w:r>
    </w:p>
    <w:p w:rsidR="00D172F7" w:rsidRPr="005F15DA" w:rsidRDefault="005969BF" w:rsidP="008851FF">
      <w:pPr>
        <w:pStyle w:val="Listenabsatz"/>
        <w:spacing w:line="240" w:lineRule="auto"/>
        <w:ind w:left="426"/>
        <w:jc w:val="both"/>
        <w:rPr>
          <w:rFonts w:cs="Arial"/>
          <w:szCs w:val="22"/>
        </w:rPr>
      </w:pPr>
      <w:r w:rsidRPr="005F15DA">
        <w:rPr>
          <w:rFonts w:cs="Arial"/>
          <w:szCs w:val="22"/>
        </w:rPr>
        <w:t>Von Fahrnisbauten spricht man, wenn eine Baute (Hütte, Baracke, usw.) ohne die A</w:t>
      </w:r>
      <w:r w:rsidRPr="005F15DA">
        <w:rPr>
          <w:rFonts w:cs="Arial"/>
          <w:szCs w:val="22"/>
        </w:rPr>
        <w:t>b</w:t>
      </w:r>
      <w:r w:rsidRPr="005F15DA">
        <w:rPr>
          <w:rFonts w:cs="Arial"/>
          <w:szCs w:val="22"/>
        </w:rPr>
        <w:t>sicht der dauernden Verbindung mit einem fremden Grundstück erstellt wird. Hier wird das Akzessionsprinzip durchbrochen, d.h. der Grundeigentümer wird nicht Eigentümer der Fahrnisbaute.</w:t>
      </w:r>
    </w:p>
    <w:p w:rsidR="005969BF" w:rsidRPr="005F15DA" w:rsidRDefault="005969BF" w:rsidP="008851FF">
      <w:pPr>
        <w:spacing w:line="240" w:lineRule="auto"/>
        <w:jc w:val="both"/>
        <w:rPr>
          <w:rFonts w:cs="Arial"/>
          <w:szCs w:val="22"/>
        </w:rPr>
      </w:pPr>
    </w:p>
    <w:p w:rsidR="005969BF" w:rsidRPr="005F15DA" w:rsidRDefault="005969BF" w:rsidP="008851FF">
      <w:pPr>
        <w:spacing w:line="240" w:lineRule="auto"/>
        <w:jc w:val="both"/>
        <w:rPr>
          <w:rFonts w:cs="Arial"/>
          <w:szCs w:val="22"/>
        </w:rPr>
      </w:pPr>
    </w:p>
    <w:p w:rsidR="005969BF" w:rsidRPr="005F15DA" w:rsidRDefault="00264316" w:rsidP="00264316">
      <w:pPr>
        <w:pStyle w:val="berschrift4"/>
        <w:tabs>
          <w:tab w:val="left" w:pos="426"/>
        </w:tabs>
      </w:pPr>
      <w:r w:rsidRPr="005F15DA">
        <w:t>7.</w:t>
      </w:r>
      <w:r w:rsidRPr="005F15DA">
        <w:tab/>
      </w:r>
      <w:r w:rsidR="005969BF" w:rsidRPr="005F15DA">
        <w:t>Einpflanzungen (Art. 678 ZGB)</w:t>
      </w:r>
    </w:p>
    <w:p w:rsidR="005969BF" w:rsidRPr="005F15DA" w:rsidRDefault="005969BF" w:rsidP="008851FF">
      <w:pPr>
        <w:pStyle w:val="Listenabsatz"/>
        <w:spacing w:line="240" w:lineRule="auto"/>
        <w:ind w:left="426"/>
        <w:jc w:val="both"/>
        <w:rPr>
          <w:rFonts w:cs="Arial"/>
          <w:szCs w:val="22"/>
        </w:rPr>
      </w:pPr>
      <w:r w:rsidRPr="005F15DA">
        <w:rPr>
          <w:rFonts w:cs="Arial"/>
          <w:szCs w:val="22"/>
        </w:rPr>
        <w:t>Wenn jemand fremde Pflanzen auf eigenem Boden oder eigene Pflanzen auf fremdem Boden verwendet, unterstehen diese Pflanzen den gleichen Regeln wie der Baute auf fremdem Boden oder der Fahrnisbaute. Einpflanzungen können für mindestens 10 und maximal 100 Jahre mittels Dienstbarkeit sichergestellt werden.</w:t>
      </w:r>
    </w:p>
    <w:p w:rsidR="00D172F7" w:rsidRPr="005F15DA" w:rsidRDefault="00D172F7" w:rsidP="008851FF">
      <w:pPr>
        <w:spacing w:line="240" w:lineRule="auto"/>
        <w:jc w:val="both"/>
        <w:rPr>
          <w:rFonts w:cs="Arial"/>
          <w:szCs w:val="22"/>
        </w:rPr>
      </w:pPr>
    </w:p>
    <w:p w:rsidR="00D172F7" w:rsidRPr="005F15DA" w:rsidRDefault="00D172F7" w:rsidP="008851FF">
      <w:pPr>
        <w:spacing w:line="240" w:lineRule="auto"/>
        <w:jc w:val="both"/>
        <w:rPr>
          <w:rFonts w:cs="Arial"/>
          <w:szCs w:val="22"/>
        </w:rPr>
      </w:pPr>
    </w:p>
    <w:p w:rsidR="00D172F7" w:rsidRPr="005F15DA" w:rsidRDefault="00264316" w:rsidP="00264316">
      <w:pPr>
        <w:pStyle w:val="berschrift4"/>
        <w:tabs>
          <w:tab w:val="left" w:pos="426"/>
        </w:tabs>
      </w:pPr>
      <w:r w:rsidRPr="005F15DA">
        <w:t>8.</w:t>
      </w:r>
      <w:r w:rsidRPr="005F15DA">
        <w:tab/>
      </w:r>
      <w:r w:rsidR="005969BF" w:rsidRPr="005F15DA">
        <w:t>Verantwortlichkeit</w:t>
      </w:r>
      <w:r w:rsidR="004B4839" w:rsidRPr="005F15DA">
        <w:t xml:space="preserve"> (Art. 679 und 679a ZGB)</w:t>
      </w:r>
    </w:p>
    <w:p w:rsidR="00D172F7" w:rsidRPr="005F15DA" w:rsidRDefault="004B4839" w:rsidP="008851FF">
      <w:pPr>
        <w:pStyle w:val="Listenabsatz"/>
        <w:spacing w:line="240" w:lineRule="auto"/>
        <w:ind w:left="426"/>
        <w:jc w:val="both"/>
        <w:rPr>
          <w:rFonts w:cs="Arial"/>
          <w:szCs w:val="22"/>
        </w:rPr>
      </w:pPr>
      <w:r w:rsidRPr="005F15DA">
        <w:rPr>
          <w:rFonts w:cs="Arial"/>
          <w:szCs w:val="22"/>
        </w:rPr>
        <w:t>Wird jemand durch die Überschreitung des Eigentumsrechtes eines Grundeigentümers geschädigt oder mit Schaden bedroht, kann er auf Beseitigung der Schädigung oder Schutz gegen drohenden Schaden sowie auf Schadenersatz klagen.</w:t>
      </w:r>
    </w:p>
    <w:p w:rsidR="004B4839" w:rsidRPr="005F15DA" w:rsidRDefault="004B4839" w:rsidP="008851FF">
      <w:pPr>
        <w:pStyle w:val="Listenabsatz"/>
        <w:spacing w:line="240" w:lineRule="auto"/>
        <w:ind w:left="426"/>
        <w:jc w:val="both"/>
        <w:rPr>
          <w:rFonts w:cs="Arial"/>
          <w:szCs w:val="22"/>
        </w:rPr>
      </w:pPr>
      <w:r w:rsidRPr="005F15DA">
        <w:rPr>
          <w:rFonts w:cs="Arial"/>
          <w:szCs w:val="22"/>
        </w:rPr>
        <w:t>Wenn eine Baute oder Einrichtung einem Nachbargrundstück bestimmt Eigenschaften entzieht, bestehen die vorstehenden Ansprüche nur, wenn bei der Erstellung der Baute oder Einrichtung die damals geltenden Vorschriften nicht eingehalten wurden.</w:t>
      </w:r>
    </w:p>
    <w:p w:rsidR="004B4839" w:rsidRPr="005F15DA" w:rsidRDefault="004B4839" w:rsidP="008851FF">
      <w:pPr>
        <w:pStyle w:val="Listenabsatz"/>
        <w:spacing w:line="240" w:lineRule="auto"/>
        <w:ind w:left="426"/>
        <w:jc w:val="both"/>
        <w:rPr>
          <w:rFonts w:cs="Arial"/>
          <w:szCs w:val="22"/>
        </w:rPr>
      </w:pPr>
      <w:r w:rsidRPr="005F15DA">
        <w:rPr>
          <w:rFonts w:cs="Arial"/>
          <w:szCs w:val="22"/>
        </w:rPr>
        <w:t>Wenn ein Grundeigentümer einem Nachbarn vorübergehend übermässige Nachteile z</w:t>
      </w:r>
      <w:r w:rsidRPr="005F15DA">
        <w:rPr>
          <w:rFonts w:cs="Arial"/>
          <w:szCs w:val="22"/>
        </w:rPr>
        <w:t>u</w:t>
      </w:r>
      <w:r w:rsidRPr="005F15DA">
        <w:rPr>
          <w:rFonts w:cs="Arial"/>
          <w:szCs w:val="22"/>
        </w:rPr>
        <w:t>fügt und dadurch ein Schaden entsteht, kann der Nachbar vom Grundeigentümer Sch</w:t>
      </w:r>
      <w:r w:rsidRPr="005F15DA">
        <w:rPr>
          <w:rFonts w:cs="Arial"/>
          <w:szCs w:val="22"/>
        </w:rPr>
        <w:t>a</w:t>
      </w:r>
      <w:r w:rsidRPr="005F15DA">
        <w:rPr>
          <w:rFonts w:cs="Arial"/>
          <w:szCs w:val="22"/>
        </w:rPr>
        <w:t>denersatz verlangen.</w:t>
      </w:r>
    </w:p>
    <w:p w:rsidR="00D172F7" w:rsidRPr="005F15DA" w:rsidRDefault="00D172F7" w:rsidP="008851FF">
      <w:pPr>
        <w:spacing w:line="240" w:lineRule="auto"/>
        <w:jc w:val="both"/>
        <w:rPr>
          <w:rFonts w:cs="Arial"/>
          <w:szCs w:val="22"/>
        </w:rPr>
      </w:pPr>
    </w:p>
    <w:p w:rsidR="00D172F7" w:rsidRPr="005F15DA" w:rsidRDefault="00D172F7" w:rsidP="008851FF">
      <w:pPr>
        <w:tabs>
          <w:tab w:val="left" w:pos="426"/>
        </w:tabs>
        <w:spacing w:line="240" w:lineRule="auto"/>
        <w:jc w:val="both"/>
        <w:rPr>
          <w:rFonts w:cs="Arial"/>
          <w:szCs w:val="22"/>
        </w:rPr>
      </w:pPr>
    </w:p>
    <w:p w:rsidR="00D172F7" w:rsidRPr="005F15DA" w:rsidRDefault="00D172F7" w:rsidP="008851FF">
      <w:pPr>
        <w:tabs>
          <w:tab w:val="left" w:pos="426"/>
        </w:tabs>
        <w:spacing w:line="240" w:lineRule="auto"/>
        <w:jc w:val="both"/>
        <w:rPr>
          <w:rFonts w:cs="Arial"/>
          <w:szCs w:val="22"/>
        </w:rPr>
      </w:pPr>
    </w:p>
    <w:p w:rsidR="00D172F7" w:rsidRPr="005F15DA" w:rsidRDefault="00651AD5" w:rsidP="005759BE">
      <w:pPr>
        <w:pStyle w:val="berschrift3"/>
        <w:rPr>
          <w:lang w:val="de-CH"/>
        </w:rPr>
      </w:pPr>
      <w:bookmarkStart w:id="139" w:name="_Toc432175659"/>
      <w:r w:rsidRPr="005F15DA">
        <w:rPr>
          <w:lang w:val="de-CH"/>
        </w:rPr>
        <w:t>D.</w:t>
      </w:r>
      <w:r w:rsidRPr="005F15DA">
        <w:rPr>
          <w:lang w:val="de-CH"/>
        </w:rPr>
        <w:tab/>
      </w:r>
      <w:r w:rsidR="00D172F7" w:rsidRPr="005F15DA">
        <w:rPr>
          <w:lang w:val="de-CH"/>
        </w:rPr>
        <w:t>Beschränkungen des Grundeigentums</w:t>
      </w:r>
      <w:r w:rsidR="00B828BF" w:rsidRPr="005F15DA">
        <w:rPr>
          <w:lang w:val="de-CH"/>
        </w:rPr>
        <w:t xml:space="preserve"> (Art. 680 ff. ZGB)</w:t>
      </w:r>
      <w:bookmarkEnd w:id="139"/>
    </w:p>
    <w:p w:rsidR="00D172F7" w:rsidRPr="005F15DA" w:rsidRDefault="00D172F7" w:rsidP="008851FF">
      <w:pPr>
        <w:spacing w:line="240" w:lineRule="auto"/>
        <w:jc w:val="both"/>
        <w:rPr>
          <w:rFonts w:cs="Arial"/>
          <w:szCs w:val="22"/>
        </w:rPr>
      </w:pPr>
    </w:p>
    <w:p w:rsidR="00D172F7" w:rsidRPr="005F15DA" w:rsidRDefault="00264316" w:rsidP="00264316">
      <w:pPr>
        <w:pStyle w:val="berschrift4"/>
      </w:pPr>
      <w:r w:rsidRPr="005F15DA">
        <w:t>1.</w:t>
      </w:r>
      <w:r w:rsidRPr="005F15DA">
        <w:tab/>
      </w:r>
      <w:r w:rsidR="00C75EBB" w:rsidRPr="005F15DA">
        <w:t>Im Allgemeinen (Art. 680 ZGB)</w:t>
      </w:r>
    </w:p>
    <w:p w:rsidR="00C75EBB" w:rsidRPr="005F15DA" w:rsidRDefault="00C75EBB" w:rsidP="008851FF">
      <w:pPr>
        <w:pStyle w:val="Listenabsatz"/>
        <w:spacing w:line="240" w:lineRule="auto"/>
        <w:ind w:left="426"/>
        <w:jc w:val="both"/>
        <w:rPr>
          <w:rFonts w:cs="Arial"/>
          <w:szCs w:val="22"/>
        </w:rPr>
      </w:pPr>
      <w:r w:rsidRPr="005F15DA">
        <w:rPr>
          <w:rFonts w:cs="Arial"/>
          <w:szCs w:val="22"/>
        </w:rPr>
        <w:t>Die gesetzlichen Eigentumsbeschränkungen bestehen ohne Grundbucheintrag (z.B. Bauvorschriften). Die Aufhebung oder Abänderung derselben muss öffentlich beurkundet und im Grundbuch eingetragen werden. Öffentlich-rechtliche Eigentumsbeschränkungen können nicht aufgehoben oder abgeändert werden.</w:t>
      </w:r>
    </w:p>
    <w:p w:rsidR="00D172F7" w:rsidRPr="005F15DA" w:rsidRDefault="00D172F7" w:rsidP="008851FF">
      <w:pPr>
        <w:tabs>
          <w:tab w:val="left" w:pos="426"/>
        </w:tabs>
        <w:spacing w:line="240" w:lineRule="auto"/>
        <w:jc w:val="both"/>
        <w:rPr>
          <w:rFonts w:cs="Arial"/>
          <w:szCs w:val="22"/>
        </w:rPr>
      </w:pPr>
    </w:p>
    <w:p w:rsidR="00C75EBB" w:rsidRPr="005F15DA" w:rsidRDefault="00C75EBB" w:rsidP="008851FF">
      <w:pPr>
        <w:tabs>
          <w:tab w:val="left" w:pos="426"/>
        </w:tabs>
        <w:spacing w:line="240" w:lineRule="auto"/>
        <w:jc w:val="both"/>
        <w:rPr>
          <w:rFonts w:cs="Arial"/>
          <w:szCs w:val="22"/>
        </w:rPr>
      </w:pPr>
    </w:p>
    <w:p w:rsidR="00C75EBB" w:rsidRPr="005F15DA" w:rsidRDefault="00264316" w:rsidP="00264316">
      <w:pPr>
        <w:pStyle w:val="berschrift4"/>
      </w:pPr>
      <w:r w:rsidRPr="005F15DA">
        <w:lastRenderedPageBreak/>
        <w:t>2.</w:t>
      </w:r>
      <w:r w:rsidRPr="005F15DA">
        <w:tab/>
      </w:r>
      <w:r w:rsidR="00C75EBB" w:rsidRPr="005F15DA">
        <w:t>Veräusserungsbeschränkungen</w:t>
      </w:r>
      <w:r w:rsidR="005A0F80" w:rsidRPr="005F15DA">
        <w:t>, Gesetzliche Vorkaufsrechte (Art. 681 ff. ZGB)</w:t>
      </w:r>
    </w:p>
    <w:p w:rsidR="00C75EBB" w:rsidRPr="005F15DA" w:rsidRDefault="00C75EBB" w:rsidP="008851FF">
      <w:pPr>
        <w:tabs>
          <w:tab w:val="left" w:pos="426"/>
          <w:tab w:val="left" w:pos="851"/>
        </w:tabs>
        <w:spacing w:line="240" w:lineRule="auto"/>
        <w:jc w:val="both"/>
        <w:rPr>
          <w:rFonts w:cs="Arial"/>
          <w:szCs w:val="22"/>
        </w:rPr>
      </w:pPr>
      <w:r w:rsidRPr="005F15DA">
        <w:rPr>
          <w:rFonts w:cs="Arial"/>
          <w:szCs w:val="22"/>
        </w:rPr>
        <w:tab/>
        <w:t>Gesetzliche Vorkaufsrechte des ZGB sind:</w:t>
      </w:r>
    </w:p>
    <w:p w:rsidR="00C75EBB" w:rsidRPr="005F15DA" w:rsidRDefault="00C75EBB" w:rsidP="009D34F3">
      <w:pPr>
        <w:pStyle w:val="Listenabsatz"/>
        <w:numPr>
          <w:ilvl w:val="0"/>
          <w:numId w:val="8"/>
        </w:numPr>
        <w:tabs>
          <w:tab w:val="left" w:pos="426"/>
          <w:tab w:val="left" w:pos="851"/>
          <w:tab w:val="left" w:pos="1276"/>
        </w:tabs>
        <w:spacing w:line="240" w:lineRule="auto"/>
        <w:ind w:hanging="294"/>
        <w:jc w:val="both"/>
        <w:rPr>
          <w:rFonts w:cs="Arial"/>
          <w:szCs w:val="22"/>
        </w:rPr>
      </w:pPr>
      <w:r w:rsidRPr="005F15DA">
        <w:rPr>
          <w:rFonts w:cs="Arial"/>
          <w:szCs w:val="22"/>
        </w:rPr>
        <w:t>das Vorkaufsrecht der Miteigentümer (Art. 682 ZGB);</w:t>
      </w:r>
    </w:p>
    <w:p w:rsidR="00C75EBB" w:rsidRPr="005F15DA" w:rsidRDefault="008C2B92" w:rsidP="009D34F3">
      <w:pPr>
        <w:pStyle w:val="Listenabsatz"/>
        <w:numPr>
          <w:ilvl w:val="0"/>
          <w:numId w:val="8"/>
        </w:numPr>
        <w:tabs>
          <w:tab w:val="left" w:pos="426"/>
          <w:tab w:val="left" w:pos="851"/>
        </w:tabs>
        <w:spacing w:line="240" w:lineRule="auto"/>
        <w:ind w:hanging="294"/>
        <w:jc w:val="both"/>
        <w:rPr>
          <w:rFonts w:cs="Arial"/>
          <w:szCs w:val="22"/>
        </w:rPr>
      </w:pPr>
      <w:r w:rsidRPr="005F15DA">
        <w:rPr>
          <w:rFonts w:cs="Arial"/>
          <w:szCs w:val="22"/>
        </w:rPr>
        <w:t>das Vorkaufsrecht des Grundeigentümers am Baurecht bzw. des Baurechtsberechti</w:t>
      </w:r>
      <w:r w:rsidRPr="005F15DA">
        <w:rPr>
          <w:rFonts w:cs="Arial"/>
          <w:szCs w:val="22"/>
        </w:rPr>
        <w:t>g</w:t>
      </w:r>
      <w:r w:rsidRPr="005F15DA">
        <w:rPr>
          <w:rFonts w:cs="Arial"/>
          <w:szCs w:val="22"/>
        </w:rPr>
        <w:t>ten am belasteten Boden (Art. 682 ZGB);</w:t>
      </w:r>
    </w:p>
    <w:p w:rsidR="00C75EBB" w:rsidRPr="005F15DA" w:rsidRDefault="00C75EBB" w:rsidP="008851FF">
      <w:pPr>
        <w:tabs>
          <w:tab w:val="left" w:pos="426"/>
          <w:tab w:val="left" w:pos="851"/>
        </w:tabs>
        <w:spacing w:line="240" w:lineRule="auto"/>
        <w:jc w:val="both"/>
        <w:rPr>
          <w:rFonts w:cs="Arial"/>
          <w:szCs w:val="22"/>
        </w:rPr>
      </w:pPr>
    </w:p>
    <w:p w:rsidR="00CD3B9D" w:rsidRPr="005F15DA" w:rsidRDefault="00CD3B9D" w:rsidP="008851FF">
      <w:pPr>
        <w:tabs>
          <w:tab w:val="left" w:pos="426"/>
          <w:tab w:val="left" w:pos="851"/>
        </w:tabs>
        <w:spacing w:line="240" w:lineRule="auto"/>
        <w:ind w:left="426" w:hanging="426"/>
        <w:jc w:val="both"/>
        <w:rPr>
          <w:rFonts w:cs="Arial"/>
          <w:szCs w:val="22"/>
        </w:rPr>
      </w:pPr>
      <w:r w:rsidRPr="005F15DA">
        <w:rPr>
          <w:rFonts w:cs="Arial"/>
          <w:szCs w:val="22"/>
        </w:rPr>
        <w:tab/>
        <w:t>Daneben bestehen auch noch die gesetzlichen Vorkaufsrechte an landwirtschaftlichen Gewerb</w:t>
      </w:r>
      <w:r w:rsidR="00C060B8" w:rsidRPr="005F15DA">
        <w:rPr>
          <w:rFonts w:cs="Arial"/>
          <w:szCs w:val="22"/>
        </w:rPr>
        <w:t>en und Grundstücken gemäss BGBB (Art. 682a ZGB).</w:t>
      </w:r>
    </w:p>
    <w:p w:rsidR="00CD3B9D" w:rsidRPr="005F15DA" w:rsidRDefault="00CD3B9D" w:rsidP="008851FF">
      <w:pPr>
        <w:tabs>
          <w:tab w:val="left" w:pos="426"/>
          <w:tab w:val="left" w:pos="851"/>
        </w:tabs>
        <w:spacing w:line="240" w:lineRule="auto"/>
        <w:jc w:val="both"/>
        <w:rPr>
          <w:rFonts w:cs="Arial"/>
          <w:szCs w:val="22"/>
        </w:rPr>
      </w:pPr>
    </w:p>
    <w:p w:rsidR="00E87987" w:rsidRPr="005F15DA" w:rsidRDefault="00E87987" w:rsidP="008851FF">
      <w:pPr>
        <w:tabs>
          <w:tab w:val="left" w:pos="426"/>
        </w:tabs>
        <w:spacing w:line="240" w:lineRule="auto"/>
        <w:ind w:left="426" w:hanging="426"/>
        <w:jc w:val="both"/>
        <w:rPr>
          <w:rFonts w:cs="Arial"/>
          <w:szCs w:val="22"/>
        </w:rPr>
      </w:pPr>
      <w:r w:rsidRPr="005F15DA">
        <w:rPr>
          <w:rFonts w:cs="Arial"/>
          <w:szCs w:val="22"/>
        </w:rPr>
        <w:tab/>
        <w:t xml:space="preserve">Soll ein gesetzliches Vorkaufsrecht aufgehoben oder abgeändert werden, muss diese Vereinbarung öffentlich beurkundet werden. Wenn das Vorkaufsrecht zugunsten eines anderen Grundstückes besteht, kann die Aufhebung oder Abänderung </w:t>
      </w:r>
      <w:r w:rsidR="008C2B92" w:rsidRPr="005F15DA">
        <w:rPr>
          <w:rFonts w:cs="Arial"/>
          <w:szCs w:val="22"/>
        </w:rPr>
        <w:t>im Grundbuch vorgemerkt werden (Art. 681b ZGB).</w:t>
      </w:r>
    </w:p>
    <w:p w:rsidR="00F307B4" w:rsidRPr="005F15DA" w:rsidRDefault="00F307B4" w:rsidP="008851FF">
      <w:pPr>
        <w:tabs>
          <w:tab w:val="left" w:pos="426"/>
        </w:tabs>
        <w:spacing w:line="240" w:lineRule="auto"/>
        <w:ind w:left="426" w:hanging="426"/>
        <w:jc w:val="both"/>
        <w:rPr>
          <w:rFonts w:cs="Arial"/>
          <w:szCs w:val="22"/>
        </w:rPr>
      </w:pPr>
    </w:p>
    <w:p w:rsidR="00E87987" w:rsidRPr="005F15DA" w:rsidRDefault="00E87987" w:rsidP="008851FF">
      <w:pPr>
        <w:tabs>
          <w:tab w:val="left" w:pos="426"/>
        </w:tabs>
        <w:spacing w:line="240" w:lineRule="auto"/>
        <w:ind w:left="426" w:hanging="426"/>
        <w:jc w:val="both"/>
        <w:rPr>
          <w:rFonts w:cs="Arial"/>
          <w:szCs w:val="22"/>
        </w:rPr>
      </w:pPr>
      <w:r w:rsidRPr="005F15DA">
        <w:rPr>
          <w:rFonts w:cs="Arial"/>
          <w:szCs w:val="22"/>
        </w:rPr>
        <w:tab/>
        <w:t>Der Vorkaufsberechtigte kann, nach Eintritt des Vorkaufsfalles (</w:t>
      </w:r>
      <w:r w:rsidR="00CD3B9D" w:rsidRPr="005F15DA">
        <w:rPr>
          <w:rFonts w:cs="Arial"/>
          <w:szCs w:val="22"/>
        </w:rPr>
        <w:t xml:space="preserve">aber </w:t>
      </w:r>
      <w:r w:rsidRPr="005F15DA">
        <w:rPr>
          <w:rFonts w:cs="Arial"/>
          <w:szCs w:val="22"/>
        </w:rPr>
        <w:t>nicht zum Voraus), schriftlich auf die Ausübung se</w:t>
      </w:r>
      <w:r w:rsidR="008C2B92" w:rsidRPr="005F15DA">
        <w:rPr>
          <w:rFonts w:cs="Arial"/>
          <w:szCs w:val="22"/>
        </w:rPr>
        <w:t>ines Vorkaufsrechtes verzichten (Art. 681b ZGB).</w:t>
      </w:r>
    </w:p>
    <w:p w:rsidR="00F307B4" w:rsidRPr="005F15DA" w:rsidRDefault="00F307B4" w:rsidP="008851FF">
      <w:pPr>
        <w:tabs>
          <w:tab w:val="left" w:pos="426"/>
        </w:tabs>
        <w:spacing w:line="240" w:lineRule="auto"/>
        <w:ind w:left="426" w:hanging="426"/>
        <w:jc w:val="both"/>
        <w:rPr>
          <w:rFonts w:cs="Arial"/>
          <w:szCs w:val="22"/>
        </w:rPr>
      </w:pPr>
    </w:p>
    <w:p w:rsidR="00E87987" w:rsidRPr="005F15DA" w:rsidRDefault="00E87987" w:rsidP="008851FF">
      <w:pPr>
        <w:tabs>
          <w:tab w:val="left" w:pos="426"/>
        </w:tabs>
        <w:spacing w:line="240" w:lineRule="auto"/>
        <w:ind w:left="426" w:hanging="426"/>
        <w:jc w:val="both"/>
        <w:rPr>
          <w:rFonts w:cs="Arial"/>
          <w:szCs w:val="22"/>
        </w:rPr>
      </w:pPr>
      <w:r w:rsidRPr="005F15DA">
        <w:rPr>
          <w:rFonts w:cs="Arial"/>
          <w:szCs w:val="22"/>
        </w:rPr>
        <w:tab/>
        <w:t>Nach dem Abschluss des Kaufvertrages muss der Vorkaufsberechtigte über den A</w:t>
      </w:r>
      <w:r w:rsidRPr="005F15DA">
        <w:rPr>
          <w:rFonts w:cs="Arial"/>
          <w:szCs w:val="22"/>
        </w:rPr>
        <w:t>b</w:t>
      </w:r>
      <w:r w:rsidRPr="005F15DA">
        <w:rPr>
          <w:rFonts w:cs="Arial"/>
          <w:szCs w:val="22"/>
        </w:rPr>
        <w:t>schluss und Inhalt des Kaufvertrages in Kenntnis gesetzt werden (Zustellung einer Ve</w:t>
      </w:r>
      <w:r w:rsidRPr="005F15DA">
        <w:rPr>
          <w:rFonts w:cs="Arial"/>
          <w:szCs w:val="22"/>
        </w:rPr>
        <w:t>r</w:t>
      </w:r>
      <w:r w:rsidRPr="005F15DA">
        <w:rPr>
          <w:rFonts w:cs="Arial"/>
          <w:szCs w:val="22"/>
        </w:rPr>
        <w:t>tragskopie). Ab Erhalt des Vertrages hat der Berechtigte 3 Monate Zeit, sein Vorkauf</w:t>
      </w:r>
      <w:r w:rsidRPr="005F15DA">
        <w:rPr>
          <w:rFonts w:cs="Arial"/>
          <w:szCs w:val="22"/>
        </w:rPr>
        <w:t>s</w:t>
      </w:r>
      <w:r w:rsidRPr="005F15DA">
        <w:rPr>
          <w:rFonts w:cs="Arial"/>
          <w:szCs w:val="22"/>
        </w:rPr>
        <w:t xml:space="preserve">recht auszuüben (wobei eine absolute Verjährungsfrist von 2 Jahren seit Eintragung des neuen Eigentümers im Grundbuch besteht). Reagiert der Berechtigte nicht innerhalb 3 Monaten seit Erhalt der Vertragskopie, kann der neue Eigentümer </w:t>
      </w:r>
      <w:r w:rsidR="008C2B92" w:rsidRPr="005F15DA">
        <w:rPr>
          <w:rFonts w:cs="Arial"/>
          <w:szCs w:val="22"/>
        </w:rPr>
        <w:t>im Grundbuch eing</w:t>
      </w:r>
      <w:r w:rsidR="008C2B92" w:rsidRPr="005F15DA">
        <w:rPr>
          <w:rFonts w:cs="Arial"/>
          <w:szCs w:val="22"/>
        </w:rPr>
        <w:t>e</w:t>
      </w:r>
      <w:r w:rsidR="008C2B92" w:rsidRPr="005F15DA">
        <w:rPr>
          <w:rFonts w:cs="Arial"/>
          <w:szCs w:val="22"/>
        </w:rPr>
        <w:t>tragen werden (Art. 681a ZGB).</w:t>
      </w:r>
    </w:p>
    <w:p w:rsidR="00F307B4" w:rsidRPr="005F15DA" w:rsidRDefault="00F307B4" w:rsidP="008851FF">
      <w:pPr>
        <w:tabs>
          <w:tab w:val="left" w:pos="426"/>
        </w:tabs>
        <w:spacing w:line="240" w:lineRule="auto"/>
        <w:ind w:left="426" w:hanging="426"/>
        <w:jc w:val="both"/>
        <w:rPr>
          <w:rFonts w:cs="Arial"/>
          <w:szCs w:val="22"/>
        </w:rPr>
      </w:pPr>
    </w:p>
    <w:p w:rsidR="008C2B92" w:rsidRPr="005F15DA" w:rsidRDefault="008C2B92" w:rsidP="008851FF">
      <w:pPr>
        <w:tabs>
          <w:tab w:val="left" w:pos="426"/>
        </w:tabs>
        <w:spacing w:line="240" w:lineRule="auto"/>
        <w:ind w:left="426" w:hanging="426"/>
        <w:jc w:val="both"/>
        <w:rPr>
          <w:rFonts w:cs="Arial"/>
          <w:szCs w:val="22"/>
        </w:rPr>
      </w:pPr>
      <w:r w:rsidRPr="005F15DA">
        <w:rPr>
          <w:rFonts w:cs="Arial"/>
          <w:szCs w:val="22"/>
        </w:rPr>
        <w:tab/>
        <w:t>Das gesetzliche Vorkaufsrecht geht den vertraglichen Vorkaufsrechten vor.</w:t>
      </w:r>
    </w:p>
    <w:p w:rsidR="00F307B4" w:rsidRPr="005F15DA" w:rsidRDefault="00F307B4" w:rsidP="008851FF">
      <w:pPr>
        <w:tabs>
          <w:tab w:val="left" w:pos="426"/>
        </w:tabs>
        <w:spacing w:line="240" w:lineRule="auto"/>
        <w:ind w:left="426" w:hanging="426"/>
        <w:jc w:val="both"/>
        <w:rPr>
          <w:rFonts w:cs="Arial"/>
          <w:szCs w:val="22"/>
        </w:rPr>
      </w:pPr>
    </w:p>
    <w:p w:rsidR="008C2B92" w:rsidRPr="005F15DA" w:rsidRDefault="008C2B92" w:rsidP="008851FF">
      <w:pPr>
        <w:tabs>
          <w:tab w:val="left" w:pos="426"/>
        </w:tabs>
        <w:spacing w:line="240" w:lineRule="auto"/>
        <w:ind w:left="426" w:hanging="426"/>
        <w:jc w:val="both"/>
        <w:rPr>
          <w:rFonts w:cs="Arial"/>
          <w:szCs w:val="22"/>
        </w:rPr>
      </w:pPr>
      <w:r w:rsidRPr="005F15DA">
        <w:rPr>
          <w:rFonts w:cs="Arial"/>
          <w:szCs w:val="22"/>
        </w:rPr>
        <w:tab/>
        <w:t>Das gesetzliche Vorkaufsrecht kann weder vererbt noch abgetreten werden.</w:t>
      </w:r>
    </w:p>
    <w:p w:rsidR="00F307B4" w:rsidRPr="005F15DA" w:rsidRDefault="00F307B4" w:rsidP="008851FF">
      <w:pPr>
        <w:tabs>
          <w:tab w:val="left" w:pos="426"/>
        </w:tabs>
        <w:spacing w:line="240" w:lineRule="auto"/>
        <w:ind w:left="426" w:hanging="426"/>
        <w:jc w:val="both"/>
        <w:rPr>
          <w:rFonts w:cs="Arial"/>
          <w:szCs w:val="22"/>
        </w:rPr>
      </w:pPr>
    </w:p>
    <w:p w:rsidR="008C2B92" w:rsidRPr="005F15DA" w:rsidRDefault="008C2B92" w:rsidP="008851FF">
      <w:pPr>
        <w:tabs>
          <w:tab w:val="left" w:pos="426"/>
        </w:tabs>
        <w:spacing w:line="240" w:lineRule="auto"/>
        <w:ind w:left="426" w:hanging="426"/>
        <w:jc w:val="both"/>
        <w:rPr>
          <w:rFonts w:cs="Arial"/>
          <w:szCs w:val="22"/>
        </w:rPr>
      </w:pPr>
      <w:r w:rsidRPr="005F15DA">
        <w:rPr>
          <w:rFonts w:cs="Arial"/>
          <w:szCs w:val="22"/>
        </w:rPr>
        <w:tab/>
        <w:t>Das gesetzliche Vorkaufsrecht kann auch bei der Zwangsversteigerung ausgeübt we</w:t>
      </w:r>
      <w:r w:rsidRPr="005F15DA">
        <w:rPr>
          <w:rFonts w:cs="Arial"/>
          <w:szCs w:val="22"/>
        </w:rPr>
        <w:t>r</w:t>
      </w:r>
      <w:r w:rsidRPr="005F15DA">
        <w:rPr>
          <w:rFonts w:cs="Arial"/>
          <w:szCs w:val="22"/>
        </w:rPr>
        <w:t>den, aber nur an der Steigerung selbst und zu den Bedingungen, welche für den Erste</w:t>
      </w:r>
      <w:r w:rsidRPr="005F15DA">
        <w:rPr>
          <w:rFonts w:cs="Arial"/>
          <w:szCs w:val="22"/>
        </w:rPr>
        <w:t>i</w:t>
      </w:r>
      <w:r w:rsidRPr="005F15DA">
        <w:rPr>
          <w:rFonts w:cs="Arial"/>
          <w:szCs w:val="22"/>
        </w:rPr>
        <w:t>gerer gelten.</w:t>
      </w:r>
    </w:p>
    <w:p w:rsidR="00CD3B9D" w:rsidRPr="005F15DA" w:rsidRDefault="00CD3B9D" w:rsidP="008851FF">
      <w:pPr>
        <w:tabs>
          <w:tab w:val="left" w:pos="426"/>
        </w:tabs>
        <w:spacing w:line="240" w:lineRule="auto"/>
        <w:jc w:val="both"/>
        <w:rPr>
          <w:rFonts w:cs="Arial"/>
          <w:szCs w:val="22"/>
        </w:rPr>
      </w:pPr>
    </w:p>
    <w:p w:rsidR="00CD3B9D" w:rsidRPr="005F15DA" w:rsidRDefault="00CD3B9D" w:rsidP="008851FF">
      <w:pPr>
        <w:tabs>
          <w:tab w:val="left" w:pos="426"/>
        </w:tabs>
        <w:spacing w:line="240" w:lineRule="auto"/>
        <w:jc w:val="both"/>
        <w:rPr>
          <w:rFonts w:cs="Arial"/>
          <w:szCs w:val="22"/>
        </w:rPr>
      </w:pPr>
    </w:p>
    <w:p w:rsidR="00CD3B9D" w:rsidRPr="005F15DA" w:rsidRDefault="00264316" w:rsidP="00264316">
      <w:pPr>
        <w:pStyle w:val="berschrift4"/>
      </w:pPr>
      <w:r w:rsidRPr="005F15DA">
        <w:t>3.</w:t>
      </w:r>
      <w:r w:rsidRPr="005F15DA">
        <w:tab/>
      </w:r>
      <w:r w:rsidR="00CD3B9D" w:rsidRPr="005F15DA">
        <w:t>Nachbarrecht (Art. 684 - 698 ZGB)</w:t>
      </w:r>
    </w:p>
    <w:p w:rsidR="00C75EBB" w:rsidRPr="005F15DA" w:rsidRDefault="008C2B92" w:rsidP="008851FF">
      <w:pPr>
        <w:tabs>
          <w:tab w:val="left" w:pos="426"/>
        </w:tabs>
        <w:spacing w:line="240" w:lineRule="auto"/>
        <w:ind w:left="426"/>
        <w:jc w:val="both"/>
        <w:rPr>
          <w:rFonts w:cs="Arial"/>
          <w:szCs w:val="22"/>
        </w:rPr>
      </w:pPr>
      <w:r w:rsidRPr="005F15DA">
        <w:rPr>
          <w:rFonts w:cs="Arial"/>
          <w:szCs w:val="22"/>
        </w:rPr>
        <w:t xml:space="preserve">Jeder Grundeigentümer muss sich der übermässigen </w:t>
      </w:r>
      <w:r w:rsidRPr="005F15DA">
        <w:rPr>
          <w:rFonts w:cs="Arial"/>
          <w:b/>
          <w:szCs w:val="22"/>
        </w:rPr>
        <w:t>Einwirkung</w:t>
      </w:r>
      <w:r w:rsidRPr="005F15DA">
        <w:rPr>
          <w:rFonts w:cs="Arial"/>
          <w:szCs w:val="22"/>
        </w:rPr>
        <w:t xml:space="preserve"> </w:t>
      </w:r>
      <w:r w:rsidR="00F307B4" w:rsidRPr="005F15DA">
        <w:rPr>
          <w:rFonts w:cs="Arial"/>
          <w:szCs w:val="22"/>
        </w:rPr>
        <w:t>(z.B. Lärm, Schall, E</w:t>
      </w:r>
      <w:r w:rsidR="00F307B4" w:rsidRPr="005F15DA">
        <w:rPr>
          <w:rFonts w:cs="Arial"/>
          <w:szCs w:val="22"/>
        </w:rPr>
        <w:t>r</w:t>
      </w:r>
      <w:r w:rsidR="00F307B4" w:rsidRPr="005F15DA">
        <w:rPr>
          <w:rFonts w:cs="Arial"/>
          <w:szCs w:val="22"/>
        </w:rPr>
        <w:t xml:space="preserve">schütterung, usw.) </w:t>
      </w:r>
      <w:r w:rsidRPr="005F15DA">
        <w:rPr>
          <w:rFonts w:cs="Arial"/>
          <w:szCs w:val="22"/>
        </w:rPr>
        <w:t xml:space="preserve">auf das Nachbargrundstück enthalten, soweit die Emissionen nicht durch </w:t>
      </w:r>
      <w:r w:rsidR="000B22B6" w:rsidRPr="005F15DA">
        <w:rPr>
          <w:rFonts w:cs="Arial"/>
          <w:szCs w:val="22"/>
        </w:rPr>
        <w:t>Lage und Beschaffenheit des emittierenden Grundstückes oder nach Ortsgebrauch gerechtfertigt sind.</w:t>
      </w:r>
    </w:p>
    <w:p w:rsidR="00CD3B9D" w:rsidRPr="005F15DA" w:rsidRDefault="00CD3B9D" w:rsidP="008851FF">
      <w:pPr>
        <w:tabs>
          <w:tab w:val="left" w:pos="426"/>
        </w:tabs>
        <w:spacing w:line="240" w:lineRule="auto"/>
        <w:ind w:left="426"/>
        <w:jc w:val="both"/>
        <w:rPr>
          <w:rFonts w:cs="Arial"/>
          <w:szCs w:val="22"/>
        </w:rPr>
      </w:pPr>
    </w:p>
    <w:p w:rsidR="00BF6897" w:rsidRPr="005F15DA" w:rsidRDefault="00BF6897" w:rsidP="008851FF">
      <w:pPr>
        <w:tabs>
          <w:tab w:val="left" w:pos="426"/>
        </w:tabs>
        <w:spacing w:line="240" w:lineRule="auto"/>
        <w:ind w:left="426"/>
        <w:jc w:val="both"/>
        <w:rPr>
          <w:rFonts w:cs="Arial"/>
          <w:szCs w:val="22"/>
        </w:rPr>
      </w:pPr>
      <w:r w:rsidRPr="005F15DA">
        <w:rPr>
          <w:rFonts w:cs="Arial"/>
          <w:szCs w:val="22"/>
        </w:rPr>
        <w:t xml:space="preserve">Bei </w:t>
      </w:r>
      <w:r w:rsidRPr="005F15DA">
        <w:rPr>
          <w:rFonts w:cs="Arial"/>
          <w:b/>
          <w:szCs w:val="22"/>
        </w:rPr>
        <w:t>Grabungen</w:t>
      </w:r>
      <w:r w:rsidRPr="005F15DA">
        <w:rPr>
          <w:rFonts w:cs="Arial"/>
          <w:szCs w:val="22"/>
        </w:rPr>
        <w:t xml:space="preserve"> und der Erstellung von Bauten darf das Erdreich der Nachbargrundst</w:t>
      </w:r>
      <w:r w:rsidRPr="005F15DA">
        <w:rPr>
          <w:rFonts w:cs="Arial"/>
          <w:szCs w:val="22"/>
        </w:rPr>
        <w:t>ü</w:t>
      </w:r>
      <w:r w:rsidRPr="005F15DA">
        <w:rPr>
          <w:rFonts w:cs="Arial"/>
          <w:szCs w:val="22"/>
        </w:rPr>
        <w:t>cke inklusive vorhandener Bauten nicht in Bewegung gebracht werden.</w:t>
      </w:r>
    </w:p>
    <w:p w:rsidR="00CD3B9D" w:rsidRPr="005F15DA" w:rsidRDefault="00CD3B9D" w:rsidP="008851FF">
      <w:pPr>
        <w:tabs>
          <w:tab w:val="left" w:pos="426"/>
        </w:tabs>
        <w:spacing w:line="240" w:lineRule="auto"/>
        <w:ind w:left="426"/>
        <w:jc w:val="both"/>
        <w:rPr>
          <w:rFonts w:cs="Arial"/>
          <w:szCs w:val="22"/>
        </w:rPr>
      </w:pPr>
    </w:p>
    <w:p w:rsidR="00BF6897" w:rsidRPr="005F15DA" w:rsidRDefault="00BF6897" w:rsidP="008851FF">
      <w:pPr>
        <w:tabs>
          <w:tab w:val="left" w:pos="426"/>
        </w:tabs>
        <w:spacing w:line="240" w:lineRule="auto"/>
        <w:ind w:left="426"/>
        <w:jc w:val="both"/>
        <w:rPr>
          <w:rFonts w:cs="Arial"/>
          <w:szCs w:val="22"/>
        </w:rPr>
      </w:pPr>
      <w:r w:rsidRPr="005F15DA">
        <w:rPr>
          <w:rFonts w:cs="Arial"/>
          <w:b/>
          <w:szCs w:val="22"/>
        </w:rPr>
        <w:t>Überragende Äste</w:t>
      </w:r>
      <w:r w:rsidRPr="005F15DA">
        <w:rPr>
          <w:rFonts w:cs="Arial"/>
          <w:szCs w:val="22"/>
        </w:rPr>
        <w:t xml:space="preserve"> und Wurzeln kann der Nachbar kappen, wenn sie dessen Eigentum schädigen und vom Eigentümer der Pflanzen nicht beseitigt werden. Duldet der Nachbar das Überragen von Ästen, hat er Anspruch auf die an ihnen wachsenden Früchte.</w:t>
      </w:r>
    </w:p>
    <w:p w:rsidR="00CD3B9D" w:rsidRPr="005F15DA" w:rsidRDefault="00CD3B9D" w:rsidP="008851FF">
      <w:pPr>
        <w:tabs>
          <w:tab w:val="left" w:pos="426"/>
        </w:tabs>
        <w:spacing w:line="240" w:lineRule="auto"/>
        <w:ind w:left="426"/>
        <w:jc w:val="both"/>
        <w:rPr>
          <w:rFonts w:cs="Arial"/>
          <w:szCs w:val="22"/>
        </w:rPr>
      </w:pPr>
    </w:p>
    <w:p w:rsidR="00BF6897" w:rsidRPr="005F15DA" w:rsidRDefault="00BF6897" w:rsidP="008851FF">
      <w:pPr>
        <w:tabs>
          <w:tab w:val="left" w:pos="426"/>
        </w:tabs>
        <w:spacing w:line="240" w:lineRule="auto"/>
        <w:ind w:left="426"/>
        <w:jc w:val="both"/>
        <w:rPr>
          <w:rFonts w:cs="Arial"/>
          <w:szCs w:val="22"/>
        </w:rPr>
      </w:pPr>
      <w:r w:rsidRPr="005F15DA">
        <w:rPr>
          <w:rFonts w:cs="Arial"/>
          <w:szCs w:val="22"/>
        </w:rPr>
        <w:t xml:space="preserve">Bezüglich der </w:t>
      </w:r>
      <w:r w:rsidRPr="005F15DA">
        <w:rPr>
          <w:rFonts w:cs="Arial"/>
          <w:b/>
          <w:szCs w:val="22"/>
        </w:rPr>
        <w:t>Grenzabstände</w:t>
      </w:r>
      <w:r w:rsidRPr="005F15DA">
        <w:rPr>
          <w:rFonts w:cs="Arial"/>
          <w:szCs w:val="22"/>
        </w:rPr>
        <w:t xml:space="preserve"> für Bauten, Anlagen und Pflanzen bestehen kantonal g</w:t>
      </w:r>
      <w:r w:rsidRPr="005F15DA">
        <w:rPr>
          <w:rFonts w:cs="Arial"/>
          <w:szCs w:val="22"/>
        </w:rPr>
        <w:t>e</w:t>
      </w:r>
      <w:r w:rsidRPr="005F15DA">
        <w:rPr>
          <w:rFonts w:cs="Arial"/>
          <w:szCs w:val="22"/>
        </w:rPr>
        <w:t>regelte Vorschriften (im Kanton Bern: EGzZGB, Bernisches Baugesetz, Gemeinde</w:t>
      </w:r>
      <w:r w:rsidR="00291A49" w:rsidRPr="005F15DA">
        <w:rPr>
          <w:rFonts w:cs="Arial"/>
          <w:szCs w:val="22"/>
        </w:rPr>
        <w:t>-Baureglemente).</w:t>
      </w:r>
      <w:r w:rsidRPr="005F15DA">
        <w:rPr>
          <w:rFonts w:cs="Arial"/>
          <w:szCs w:val="22"/>
        </w:rPr>
        <w:t xml:space="preserve"> </w:t>
      </w:r>
    </w:p>
    <w:p w:rsidR="00CD3B9D" w:rsidRPr="005F15DA" w:rsidRDefault="00CD3B9D" w:rsidP="008851FF">
      <w:pPr>
        <w:tabs>
          <w:tab w:val="left" w:pos="426"/>
        </w:tabs>
        <w:spacing w:line="240" w:lineRule="auto"/>
        <w:ind w:left="426"/>
        <w:jc w:val="both"/>
        <w:rPr>
          <w:rFonts w:cs="Arial"/>
          <w:szCs w:val="22"/>
        </w:rPr>
      </w:pPr>
    </w:p>
    <w:p w:rsidR="00C75EBB" w:rsidRPr="005F15DA" w:rsidRDefault="00291A49" w:rsidP="008851FF">
      <w:pPr>
        <w:tabs>
          <w:tab w:val="left" w:pos="426"/>
        </w:tabs>
        <w:spacing w:line="240" w:lineRule="auto"/>
        <w:ind w:left="426"/>
        <w:jc w:val="both"/>
        <w:rPr>
          <w:rFonts w:cs="Arial"/>
          <w:szCs w:val="22"/>
        </w:rPr>
      </w:pPr>
      <w:r w:rsidRPr="005F15DA">
        <w:rPr>
          <w:rFonts w:cs="Arial"/>
          <w:szCs w:val="22"/>
        </w:rPr>
        <w:lastRenderedPageBreak/>
        <w:t xml:space="preserve">Jeder Grundeigentümer ist verpflichtet, das vom oben liegenden Grundstück natürlich </w:t>
      </w:r>
      <w:r w:rsidRPr="005F15DA">
        <w:rPr>
          <w:rFonts w:cs="Arial"/>
          <w:b/>
          <w:szCs w:val="22"/>
        </w:rPr>
        <w:t>a</w:t>
      </w:r>
      <w:r w:rsidRPr="005F15DA">
        <w:rPr>
          <w:rFonts w:cs="Arial"/>
          <w:b/>
          <w:szCs w:val="22"/>
        </w:rPr>
        <w:t>b</w:t>
      </w:r>
      <w:r w:rsidRPr="005F15DA">
        <w:rPr>
          <w:rFonts w:cs="Arial"/>
          <w:b/>
          <w:szCs w:val="22"/>
        </w:rPr>
        <w:t>fliessende Wasser</w:t>
      </w:r>
      <w:r w:rsidRPr="005F15DA">
        <w:rPr>
          <w:rFonts w:cs="Arial"/>
          <w:szCs w:val="22"/>
        </w:rPr>
        <w:t xml:space="preserve"> (Regen, Schnee, nicht gefasste Quellen, usw.) abzunehmen. Das unten liegende Grundstück hat Anspruch auf das vom oberen abfliessende Wasser, s</w:t>
      </w:r>
      <w:r w:rsidRPr="005F15DA">
        <w:rPr>
          <w:rFonts w:cs="Arial"/>
          <w:szCs w:val="22"/>
        </w:rPr>
        <w:t>o</w:t>
      </w:r>
      <w:r w:rsidRPr="005F15DA">
        <w:rPr>
          <w:rFonts w:cs="Arial"/>
          <w:szCs w:val="22"/>
        </w:rPr>
        <w:t>weit das Wasser nicht für das oben liegende Grundstück unentbehrlich ist. Der natürliche Ablauf darf nicht zum Nachteil eines Nachbarn verändert werden.</w:t>
      </w:r>
    </w:p>
    <w:p w:rsidR="00CD3B9D" w:rsidRPr="005F15DA" w:rsidRDefault="00CD3B9D" w:rsidP="008851FF">
      <w:pPr>
        <w:tabs>
          <w:tab w:val="left" w:pos="426"/>
        </w:tabs>
        <w:spacing w:line="240" w:lineRule="auto"/>
        <w:ind w:left="426"/>
        <w:jc w:val="both"/>
        <w:rPr>
          <w:rFonts w:cs="Arial"/>
          <w:szCs w:val="22"/>
        </w:rPr>
      </w:pPr>
    </w:p>
    <w:p w:rsidR="00C75EBB" w:rsidRPr="005F15DA" w:rsidRDefault="00291A49" w:rsidP="008851FF">
      <w:pPr>
        <w:tabs>
          <w:tab w:val="left" w:pos="426"/>
          <w:tab w:val="left" w:pos="851"/>
        </w:tabs>
        <w:spacing w:line="240" w:lineRule="auto"/>
        <w:ind w:left="426"/>
        <w:jc w:val="both"/>
        <w:rPr>
          <w:rFonts w:cs="Arial"/>
          <w:szCs w:val="22"/>
        </w:rPr>
      </w:pPr>
      <w:r w:rsidRPr="005F15DA">
        <w:rPr>
          <w:rFonts w:cs="Arial"/>
          <w:szCs w:val="22"/>
        </w:rPr>
        <w:t xml:space="preserve">Die </w:t>
      </w:r>
      <w:r w:rsidRPr="005F15DA">
        <w:rPr>
          <w:rFonts w:cs="Arial"/>
          <w:b/>
          <w:szCs w:val="22"/>
        </w:rPr>
        <w:t>Durchleitung</w:t>
      </w:r>
      <w:r w:rsidRPr="005F15DA">
        <w:rPr>
          <w:rFonts w:cs="Arial"/>
          <w:szCs w:val="22"/>
        </w:rPr>
        <w:t xml:space="preserve"> von Röhren </w:t>
      </w:r>
      <w:r w:rsidR="00FF58FC" w:rsidRPr="005F15DA">
        <w:rPr>
          <w:rFonts w:cs="Arial"/>
          <w:szCs w:val="22"/>
        </w:rPr>
        <w:t>sowie von Leitungen zur Ver- und Entsorgung muss gegen volle Entschädigung gestattet werden, wenn eine anderes Grundstück sonst nicht oder nur mit unverhältnismässigen Kosten erschlossen werden kann (Art. 691 ff. ZGB). Das Durchleitungsrecht kann auf Kosten des Berechtigten als Dienstbarkeit im Grundbuch eingetragen werden. Wenn sich die Verhältnisse ändern, kann der Belastete die Verl</w:t>
      </w:r>
      <w:r w:rsidR="00FF58FC" w:rsidRPr="005F15DA">
        <w:rPr>
          <w:rFonts w:cs="Arial"/>
          <w:szCs w:val="22"/>
        </w:rPr>
        <w:t>e</w:t>
      </w:r>
      <w:r w:rsidR="00FF58FC" w:rsidRPr="005F15DA">
        <w:rPr>
          <w:rFonts w:cs="Arial"/>
          <w:szCs w:val="22"/>
        </w:rPr>
        <w:t>gung der Leitungen, und zwar in der Regel auf Kosten des Berechtigten, verlangen (Art. 693 ZGB).</w:t>
      </w:r>
    </w:p>
    <w:p w:rsidR="00CD3B9D" w:rsidRPr="005F15DA" w:rsidRDefault="00CD3B9D" w:rsidP="008851FF">
      <w:pPr>
        <w:tabs>
          <w:tab w:val="left" w:pos="426"/>
          <w:tab w:val="left" w:pos="851"/>
        </w:tabs>
        <w:spacing w:line="240" w:lineRule="auto"/>
        <w:ind w:left="426"/>
        <w:jc w:val="both"/>
        <w:rPr>
          <w:rFonts w:cs="Arial"/>
          <w:szCs w:val="22"/>
        </w:rPr>
      </w:pPr>
    </w:p>
    <w:p w:rsidR="00C75EBB" w:rsidRPr="005F15DA" w:rsidRDefault="00FF58FC" w:rsidP="008851FF">
      <w:pPr>
        <w:tabs>
          <w:tab w:val="left" w:pos="426"/>
          <w:tab w:val="left" w:pos="851"/>
        </w:tabs>
        <w:spacing w:line="240" w:lineRule="auto"/>
        <w:ind w:left="426"/>
        <w:jc w:val="both"/>
        <w:rPr>
          <w:rFonts w:cs="Arial"/>
          <w:szCs w:val="22"/>
        </w:rPr>
      </w:pPr>
      <w:r w:rsidRPr="005F15DA">
        <w:rPr>
          <w:rFonts w:cs="Arial"/>
          <w:szCs w:val="22"/>
        </w:rPr>
        <w:t xml:space="preserve">Wenn ein Grundeigentümer keinen genügenden Weg von seinem Grundstück auf eine Strasse hat, kann er vom Nachbarn, gegen volle Entschädigung, ein </w:t>
      </w:r>
      <w:r w:rsidRPr="005F15DA">
        <w:rPr>
          <w:rFonts w:cs="Arial"/>
          <w:b/>
          <w:szCs w:val="22"/>
        </w:rPr>
        <w:t>Notwegrecht</w:t>
      </w:r>
      <w:r w:rsidRPr="005F15DA">
        <w:rPr>
          <w:rFonts w:cs="Arial"/>
          <w:szCs w:val="22"/>
        </w:rPr>
        <w:t xml:space="preserve"> </w:t>
      </w:r>
      <w:r w:rsidR="00FA6DFA" w:rsidRPr="005F15DA">
        <w:rPr>
          <w:rFonts w:cs="Arial"/>
          <w:szCs w:val="22"/>
        </w:rPr>
        <w:t>ve</w:t>
      </w:r>
      <w:r w:rsidR="00FA6DFA" w:rsidRPr="005F15DA">
        <w:rPr>
          <w:rFonts w:cs="Arial"/>
          <w:szCs w:val="22"/>
        </w:rPr>
        <w:t>r</w:t>
      </w:r>
      <w:r w:rsidR="00FA6DFA" w:rsidRPr="005F15DA">
        <w:rPr>
          <w:rFonts w:cs="Arial"/>
          <w:szCs w:val="22"/>
        </w:rPr>
        <w:t>langen</w:t>
      </w:r>
      <w:r w:rsidRPr="005F15DA">
        <w:rPr>
          <w:rFonts w:cs="Arial"/>
          <w:szCs w:val="22"/>
        </w:rPr>
        <w:t xml:space="preserve"> (Art. 694 ZGB).</w:t>
      </w:r>
    </w:p>
    <w:p w:rsidR="00CD3B9D" w:rsidRPr="005F15DA" w:rsidRDefault="00CD3B9D" w:rsidP="008851FF">
      <w:pPr>
        <w:tabs>
          <w:tab w:val="left" w:pos="426"/>
          <w:tab w:val="left" w:pos="851"/>
        </w:tabs>
        <w:spacing w:line="240" w:lineRule="auto"/>
        <w:ind w:left="426"/>
        <w:jc w:val="both"/>
        <w:rPr>
          <w:rFonts w:cs="Arial"/>
          <w:szCs w:val="22"/>
        </w:rPr>
      </w:pPr>
    </w:p>
    <w:p w:rsidR="00C75EBB" w:rsidRPr="005F15DA" w:rsidRDefault="00FF58FC" w:rsidP="008851FF">
      <w:pPr>
        <w:tabs>
          <w:tab w:val="left" w:pos="426"/>
          <w:tab w:val="left" w:pos="851"/>
        </w:tabs>
        <w:spacing w:line="240" w:lineRule="auto"/>
        <w:ind w:left="426"/>
        <w:jc w:val="both"/>
        <w:rPr>
          <w:rFonts w:cs="Arial"/>
          <w:szCs w:val="22"/>
        </w:rPr>
      </w:pPr>
      <w:r w:rsidRPr="005F15DA">
        <w:rPr>
          <w:rFonts w:cs="Arial"/>
          <w:szCs w:val="22"/>
        </w:rPr>
        <w:t>Die Kantone können für andere Wegrechte (für die Bewirtschaftung, das Bebauen, zur Vornahme von Ausbesserungen) nähere Vorschriften aufstellen.</w:t>
      </w:r>
    </w:p>
    <w:p w:rsidR="00CD3B9D" w:rsidRPr="005F15DA" w:rsidRDefault="00CD3B9D" w:rsidP="008851FF">
      <w:pPr>
        <w:tabs>
          <w:tab w:val="left" w:pos="426"/>
          <w:tab w:val="left" w:pos="851"/>
        </w:tabs>
        <w:spacing w:line="240" w:lineRule="auto"/>
        <w:ind w:left="426"/>
        <w:jc w:val="both"/>
        <w:rPr>
          <w:rFonts w:cs="Arial"/>
          <w:szCs w:val="22"/>
        </w:rPr>
      </w:pPr>
    </w:p>
    <w:p w:rsidR="00C75EBB" w:rsidRPr="005F15DA" w:rsidRDefault="005A0F80" w:rsidP="008851FF">
      <w:pPr>
        <w:tabs>
          <w:tab w:val="left" w:pos="426"/>
          <w:tab w:val="left" w:pos="851"/>
        </w:tabs>
        <w:spacing w:line="240" w:lineRule="auto"/>
        <w:ind w:left="426"/>
        <w:jc w:val="both"/>
        <w:rPr>
          <w:rFonts w:cs="Arial"/>
          <w:szCs w:val="22"/>
        </w:rPr>
      </w:pPr>
      <w:r w:rsidRPr="005F15DA">
        <w:rPr>
          <w:rFonts w:cs="Arial"/>
          <w:szCs w:val="22"/>
        </w:rPr>
        <w:t>Die Kosten für die Einfriedungen (Gartenzäune und dergleichen) trägt der Grundeigent</w:t>
      </w:r>
      <w:r w:rsidRPr="005F15DA">
        <w:rPr>
          <w:rFonts w:cs="Arial"/>
          <w:szCs w:val="22"/>
        </w:rPr>
        <w:t>ü</w:t>
      </w:r>
      <w:r w:rsidRPr="005F15DA">
        <w:rPr>
          <w:rFonts w:cs="Arial"/>
          <w:szCs w:val="22"/>
        </w:rPr>
        <w:t>mer; falls die Einfriedung im Miteigentum steht, tragen die Miteigentümer die Kosten g</w:t>
      </w:r>
      <w:r w:rsidRPr="005F15DA">
        <w:rPr>
          <w:rFonts w:cs="Arial"/>
          <w:szCs w:val="22"/>
        </w:rPr>
        <w:t>e</w:t>
      </w:r>
      <w:r w:rsidRPr="005F15DA">
        <w:rPr>
          <w:rFonts w:cs="Arial"/>
          <w:szCs w:val="22"/>
        </w:rPr>
        <w:t>meinsam (Art. 697 ZGB).</w:t>
      </w:r>
    </w:p>
    <w:p w:rsidR="00CD3B9D" w:rsidRPr="005F15DA" w:rsidRDefault="00CD3B9D" w:rsidP="008851FF">
      <w:pPr>
        <w:tabs>
          <w:tab w:val="left" w:pos="426"/>
          <w:tab w:val="left" w:pos="851"/>
        </w:tabs>
        <w:spacing w:line="240" w:lineRule="auto"/>
        <w:ind w:left="426"/>
        <w:jc w:val="both"/>
        <w:rPr>
          <w:rFonts w:cs="Arial"/>
          <w:szCs w:val="22"/>
        </w:rPr>
      </w:pPr>
    </w:p>
    <w:p w:rsidR="00C75EBB" w:rsidRPr="005F15DA" w:rsidRDefault="005A0F80" w:rsidP="008851FF">
      <w:pPr>
        <w:tabs>
          <w:tab w:val="left" w:pos="426"/>
          <w:tab w:val="left" w:pos="851"/>
        </w:tabs>
        <w:spacing w:line="240" w:lineRule="auto"/>
        <w:ind w:left="426"/>
        <w:jc w:val="both"/>
        <w:rPr>
          <w:rFonts w:cs="Arial"/>
          <w:szCs w:val="22"/>
        </w:rPr>
      </w:pPr>
      <w:r w:rsidRPr="005F15DA">
        <w:rPr>
          <w:rFonts w:cs="Arial"/>
          <w:szCs w:val="22"/>
        </w:rPr>
        <w:t xml:space="preserve">Die </w:t>
      </w:r>
      <w:r w:rsidRPr="005F15DA">
        <w:rPr>
          <w:rFonts w:cs="Arial"/>
          <w:b/>
          <w:szCs w:val="22"/>
        </w:rPr>
        <w:t>Unterhaltspflicht</w:t>
      </w:r>
      <w:r w:rsidRPr="005F15DA">
        <w:rPr>
          <w:rFonts w:cs="Arial"/>
          <w:szCs w:val="22"/>
        </w:rPr>
        <w:t xml:space="preserve"> (Kosten der Vorrichtungen zur Ausübung der nachbarrechtlichen Befugnisse) muss von den Grundeigentümern im Verhältnis ihres Interesses getragen werden (Art. 698 ZGB).</w:t>
      </w:r>
    </w:p>
    <w:p w:rsidR="00C75EBB" w:rsidRPr="005F15DA" w:rsidRDefault="00C75EBB" w:rsidP="008851FF">
      <w:pPr>
        <w:tabs>
          <w:tab w:val="left" w:pos="426"/>
        </w:tabs>
        <w:spacing w:line="240" w:lineRule="auto"/>
        <w:jc w:val="both"/>
        <w:rPr>
          <w:rFonts w:cs="Arial"/>
          <w:szCs w:val="22"/>
        </w:rPr>
      </w:pPr>
    </w:p>
    <w:p w:rsidR="00F42C97" w:rsidRPr="005F15DA" w:rsidRDefault="00F42C97" w:rsidP="008851FF">
      <w:pPr>
        <w:spacing w:line="240" w:lineRule="auto"/>
        <w:jc w:val="both"/>
        <w:rPr>
          <w:rFonts w:cs="Arial"/>
          <w:szCs w:val="22"/>
        </w:rPr>
      </w:pPr>
    </w:p>
    <w:p w:rsidR="00D172F7" w:rsidRPr="005F15DA" w:rsidRDefault="00264316" w:rsidP="00264316">
      <w:pPr>
        <w:pStyle w:val="berschrift4"/>
      </w:pPr>
      <w:r w:rsidRPr="005F15DA">
        <w:t>4.</w:t>
      </w:r>
      <w:r w:rsidRPr="005F15DA">
        <w:tab/>
      </w:r>
      <w:r w:rsidR="003A1695" w:rsidRPr="005F15DA">
        <w:t>Recht auf Zutritt und Abwehr (Art. 699 – 701 ZGB)</w:t>
      </w:r>
    </w:p>
    <w:p w:rsidR="00D172F7" w:rsidRPr="005F15DA" w:rsidRDefault="000A392A" w:rsidP="008851FF">
      <w:pPr>
        <w:tabs>
          <w:tab w:val="left" w:pos="426"/>
        </w:tabs>
        <w:spacing w:line="240" w:lineRule="auto"/>
        <w:ind w:left="426" w:hanging="426"/>
        <w:jc w:val="both"/>
        <w:rPr>
          <w:rFonts w:cs="Arial"/>
          <w:szCs w:val="22"/>
        </w:rPr>
      </w:pPr>
      <w:r w:rsidRPr="005F15DA">
        <w:rPr>
          <w:rFonts w:cs="Arial"/>
          <w:szCs w:val="22"/>
        </w:rPr>
        <w:tab/>
      </w:r>
      <w:r w:rsidR="00E211E5" w:rsidRPr="005F15DA">
        <w:rPr>
          <w:rFonts w:cs="Arial"/>
          <w:szCs w:val="22"/>
        </w:rPr>
        <w:t>Jedermann darf in ortsüblichem Umfang und soweit keine besonderen Verbote erlassen wurden, Wald und Weide betreten und sich wildwachsenden Beeren, Pilze und dergle</w:t>
      </w:r>
      <w:r w:rsidR="00E211E5" w:rsidRPr="005F15DA">
        <w:rPr>
          <w:rFonts w:cs="Arial"/>
          <w:szCs w:val="22"/>
        </w:rPr>
        <w:t>i</w:t>
      </w:r>
      <w:r w:rsidR="00E211E5" w:rsidRPr="005F15DA">
        <w:rPr>
          <w:rFonts w:cs="Arial"/>
          <w:szCs w:val="22"/>
        </w:rPr>
        <w:t>chen aneignen.</w:t>
      </w:r>
    </w:p>
    <w:p w:rsidR="00F307B4" w:rsidRPr="005F15DA" w:rsidRDefault="00F307B4" w:rsidP="008851FF">
      <w:pPr>
        <w:tabs>
          <w:tab w:val="left" w:pos="426"/>
        </w:tabs>
        <w:spacing w:line="240" w:lineRule="auto"/>
        <w:ind w:left="426" w:hanging="426"/>
        <w:jc w:val="both"/>
        <w:rPr>
          <w:rFonts w:cs="Arial"/>
          <w:szCs w:val="22"/>
        </w:rPr>
      </w:pPr>
    </w:p>
    <w:p w:rsidR="00E211E5" w:rsidRPr="005F15DA" w:rsidRDefault="00E211E5" w:rsidP="008851FF">
      <w:pPr>
        <w:tabs>
          <w:tab w:val="left" w:pos="426"/>
        </w:tabs>
        <w:spacing w:line="240" w:lineRule="auto"/>
        <w:ind w:left="426" w:hanging="426"/>
        <w:jc w:val="both"/>
        <w:rPr>
          <w:rFonts w:cs="Arial"/>
          <w:szCs w:val="22"/>
        </w:rPr>
      </w:pPr>
      <w:r w:rsidRPr="005F15DA">
        <w:rPr>
          <w:rFonts w:cs="Arial"/>
          <w:szCs w:val="22"/>
        </w:rPr>
        <w:tab/>
        <w:t>Werden Sachen auf fremde Grundstücke gebracht (durch Wasser, Wind, Lawinen, and</w:t>
      </w:r>
      <w:r w:rsidRPr="005F15DA">
        <w:rPr>
          <w:rFonts w:cs="Arial"/>
          <w:szCs w:val="22"/>
        </w:rPr>
        <w:t>e</w:t>
      </w:r>
      <w:r w:rsidRPr="005F15DA">
        <w:rPr>
          <w:rFonts w:cs="Arial"/>
          <w:szCs w:val="22"/>
        </w:rPr>
        <w:t>re Naturgewalten oder zufällige Ereignisse) oder geraten Tiere auf fremden Boden, darf der Eigentümer der Sache bzw. des Tieres das fremde Grundstück betreten um seine Sachen bzw. Tiere wegzuschaffen.</w:t>
      </w:r>
    </w:p>
    <w:p w:rsidR="00F307B4" w:rsidRPr="005F15DA" w:rsidRDefault="00F307B4" w:rsidP="008851FF">
      <w:pPr>
        <w:tabs>
          <w:tab w:val="left" w:pos="426"/>
        </w:tabs>
        <w:spacing w:line="240" w:lineRule="auto"/>
        <w:ind w:left="426" w:hanging="426"/>
        <w:jc w:val="both"/>
        <w:rPr>
          <w:rFonts w:cs="Arial"/>
          <w:szCs w:val="22"/>
        </w:rPr>
      </w:pPr>
    </w:p>
    <w:p w:rsidR="00E211E5" w:rsidRPr="005F15DA" w:rsidRDefault="00A160B7" w:rsidP="008851FF">
      <w:pPr>
        <w:tabs>
          <w:tab w:val="left" w:pos="426"/>
        </w:tabs>
        <w:spacing w:line="240" w:lineRule="auto"/>
        <w:ind w:left="426" w:hanging="426"/>
        <w:jc w:val="both"/>
        <w:rPr>
          <w:rFonts w:cs="Arial"/>
          <w:szCs w:val="22"/>
        </w:rPr>
      </w:pPr>
      <w:r w:rsidRPr="005F15DA">
        <w:rPr>
          <w:rFonts w:cs="Arial"/>
          <w:szCs w:val="22"/>
        </w:rPr>
        <w:tab/>
      </w:r>
      <w:r w:rsidR="00E211E5" w:rsidRPr="005F15DA">
        <w:rPr>
          <w:rFonts w:cs="Arial"/>
          <w:szCs w:val="22"/>
        </w:rPr>
        <w:t xml:space="preserve">Zur Abwehr von </w:t>
      </w:r>
      <w:r w:rsidRPr="005F15DA">
        <w:rPr>
          <w:rFonts w:cs="Arial"/>
          <w:szCs w:val="22"/>
        </w:rPr>
        <w:t xml:space="preserve">gegenwärtiger </w:t>
      </w:r>
      <w:r w:rsidR="00E211E5" w:rsidRPr="005F15DA">
        <w:rPr>
          <w:rFonts w:cs="Arial"/>
          <w:szCs w:val="22"/>
        </w:rPr>
        <w:t xml:space="preserve">Gefahr oder </w:t>
      </w:r>
      <w:r w:rsidRPr="005F15DA">
        <w:rPr>
          <w:rFonts w:cs="Arial"/>
          <w:szCs w:val="22"/>
        </w:rPr>
        <w:t>drohendem Schaden darf in fremdes Grun</w:t>
      </w:r>
      <w:r w:rsidRPr="005F15DA">
        <w:rPr>
          <w:rFonts w:cs="Arial"/>
          <w:szCs w:val="22"/>
        </w:rPr>
        <w:t>d</w:t>
      </w:r>
      <w:r w:rsidRPr="005F15DA">
        <w:rPr>
          <w:rFonts w:cs="Arial"/>
          <w:szCs w:val="22"/>
        </w:rPr>
        <w:t>eigentum eingegriffen werden, wenn Gefahr oder Schaden ungleich grösser sind als die durch den Eingriff entstehende Beeinträchtigung.</w:t>
      </w:r>
    </w:p>
    <w:p w:rsidR="000A392A" w:rsidRPr="005F15DA" w:rsidRDefault="000A392A" w:rsidP="008851FF">
      <w:pPr>
        <w:spacing w:line="240" w:lineRule="auto"/>
        <w:jc w:val="both"/>
        <w:rPr>
          <w:rFonts w:cs="Arial"/>
          <w:szCs w:val="22"/>
        </w:rPr>
      </w:pPr>
    </w:p>
    <w:p w:rsidR="000A392A" w:rsidRPr="005F15DA" w:rsidRDefault="000A392A" w:rsidP="008851FF">
      <w:pPr>
        <w:spacing w:line="240" w:lineRule="auto"/>
        <w:jc w:val="both"/>
        <w:rPr>
          <w:rFonts w:cs="Arial"/>
          <w:szCs w:val="22"/>
        </w:rPr>
      </w:pPr>
    </w:p>
    <w:p w:rsidR="000A392A" w:rsidRPr="005F15DA" w:rsidRDefault="00264316" w:rsidP="00264316">
      <w:pPr>
        <w:pStyle w:val="berschrift4"/>
        <w:tabs>
          <w:tab w:val="left" w:pos="426"/>
        </w:tabs>
      </w:pPr>
      <w:r w:rsidRPr="005F15DA">
        <w:t>5.</w:t>
      </w:r>
      <w:r w:rsidRPr="005F15DA">
        <w:tab/>
      </w:r>
      <w:r w:rsidR="000A392A" w:rsidRPr="005F15DA">
        <w:t>Öffentlich-rechtliche Beschränkungen (Art. 702 – 703 ZGB)</w:t>
      </w:r>
    </w:p>
    <w:p w:rsidR="00D172F7" w:rsidRPr="005F15DA" w:rsidRDefault="000A392A" w:rsidP="008851FF">
      <w:pPr>
        <w:tabs>
          <w:tab w:val="left" w:pos="426"/>
        </w:tabs>
        <w:spacing w:line="240" w:lineRule="auto"/>
        <w:ind w:left="426" w:hanging="426"/>
        <w:jc w:val="both"/>
        <w:rPr>
          <w:rFonts w:cs="Arial"/>
          <w:szCs w:val="22"/>
        </w:rPr>
      </w:pPr>
      <w:r w:rsidRPr="005F15DA">
        <w:rPr>
          <w:rFonts w:cs="Arial"/>
          <w:szCs w:val="22"/>
        </w:rPr>
        <w:tab/>
        <w:t>Bund, Kantone und Gemeinden können zum allgemeinen Wohl Beschränkungen des Grundeigentums aufstellen (z.B. Bau-, Feuer und Gesundheitspolizei, Bodenverbess</w:t>
      </w:r>
      <w:r w:rsidRPr="005F15DA">
        <w:rPr>
          <w:rFonts w:cs="Arial"/>
          <w:szCs w:val="22"/>
        </w:rPr>
        <w:t>e</w:t>
      </w:r>
      <w:r w:rsidRPr="005F15DA">
        <w:rPr>
          <w:rFonts w:cs="Arial"/>
          <w:szCs w:val="22"/>
        </w:rPr>
        <w:t>rungen, Erhaltung von Altertümern und Naturdenkmälern, usw.).</w:t>
      </w:r>
    </w:p>
    <w:p w:rsidR="00CF04FF" w:rsidRDefault="00CF04FF" w:rsidP="008851FF">
      <w:pPr>
        <w:tabs>
          <w:tab w:val="left" w:pos="426"/>
        </w:tabs>
        <w:spacing w:line="240" w:lineRule="auto"/>
        <w:ind w:left="426" w:hanging="426"/>
        <w:jc w:val="both"/>
        <w:rPr>
          <w:rFonts w:cs="Arial"/>
          <w:szCs w:val="22"/>
        </w:rPr>
      </w:pPr>
    </w:p>
    <w:p w:rsidR="000A392A" w:rsidRPr="005F15DA" w:rsidRDefault="000A392A" w:rsidP="008851FF">
      <w:pPr>
        <w:tabs>
          <w:tab w:val="left" w:pos="426"/>
        </w:tabs>
        <w:spacing w:line="240" w:lineRule="auto"/>
        <w:ind w:left="426" w:hanging="426"/>
        <w:jc w:val="both"/>
        <w:rPr>
          <w:rFonts w:cs="Arial"/>
          <w:szCs w:val="22"/>
        </w:rPr>
      </w:pPr>
      <w:r w:rsidRPr="005F15DA">
        <w:rPr>
          <w:rFonts w:cs="Arial"/>
          <w:szCs w:val="22"/>
        </w:rPr>
        <w:tab/>
        <w:t>Das Verfahren für Bodenverbesserungen ist in Art. 703 ZGB und den kantonalen Verfa</w:t>
      </w:r>
      <w:r w:rsidRPr="005F15DA">
        <w:rPr>
          <w:rFonts w:cs="Arial"/>
          <w:szCs w:val="22"/>
        </w:rPr>
        <w:t>h</w:t>
      </w:r>
      <w:r w:rsidRPr="005F15DA">
        <w:rPr>
          <w:rFonts w:cs="Arial"/>
          <w:szCs w:val="22"/>
        </w:rPr>
        <w:t>rensvorschriften geregelt.</w:t>
      </w:r>
    </w:p>
    <w:p w:rsidR="000A392A" w:rsidRPr="005F15DA" w:rsidRDefault="000A392A" w:rsidP="008851FF">
      <w:pPr>
        <w:spacing w:line="240" w:lineRule="auto"/>
        <w:jc w:val="both"/>
        <w:rPr>
          <w:rFonts w:cs="Arial"/>
          <w:szCs w:val="22"/>
        </w:rPr>
      </w:pPr>
    </w:p>
    <w:p w:rsidR="000A392A" w:rsidRPr="005F15DA" w:rsidRDefault="000A392A" w:rsidP="005759BE">
      <w:pPr>
        <w:pStyle w:val="berschrift3"/>
        <w:rPr>
          <w:lang w:val="de-CH"/>
        </w:rPr>
      </w:pPr>
      <w:bookmarkStart w:id="140" w:name="_Toc432175660"/>
      <w:r w:rsidRPr="005F15DA">
        <w:rPr>
          <w:lang w:val="de-CH"/>
        </w:rPr>
        <w:lastRenderedPageBreak/>
        <w:t>E.</w:t>
      </w:r>
      <w:r w:rsidR="00B828BF" w:rsidRPr="005F15DA">
        <w:rPr>
          <w:lang w:val="de-CH"/>
        </w:rPr>
        <w:tab/>
      </w:r>
      <w:r w:rsidRPr="005F15DA">
        <w:rPr>
          <w:lang w:val="de-CH"/>
        </w:rPr>
        <w:t>Rechte an Quellen und Brunnen</w:t>
      </w:r>
      <w:r w:rsidR="00A160B7" w:rsidRPr="005F15DA">
        <w:rPr>
          <w:lang w:val="de-CH"/>
        </w:rPr>
        <w:t xml:space="preserve"> (Art. 704 – 712 ZGB)</w:t>
      </w:r>
      <w:bookmarkEnd w:id="140"/>
    </w:p>
    <w:p w:rsidR="000A392A" w:rsidRPr="005F15DA" w:rsidRDefault="000A392A" w:rsidP="008851FF">
      <w:pPr>
        <w:spacing w:line="240" w:lineRule="auto"/>
        <w:jc w:val="both"/>
        <w:rPr>
          <w:rFonts w:cs="Arial"/>
          <w:szCs w:val="22"/>
        </w:rPr>
      </w:pPr>
    </w:p>
    <w:p w:rsidR="004D6FE6" w:rsidRPr="005F15DA" w:rsidRDefault="004B63AA" w:rsidP="008851FF">
      <w:pPr>
        <w:spacing w:line="240" w:lineRule="auto"/>
        <w:jc w:val="both"/>
        <w:rPr>
          <w:rFonts w:cs="Arial"/>
          <w:szCs w:val="22"/>
        </w:rPr>
      </w:pPr>
      <w:r w:rsidRPr="005F15DA">
        <w:rPr>
          <w:rFonts w:cs="Arial"/>
          <w:szCs w:val="22"/>
        </w:rPr>
        <w:t>Quellen sind Bestandteile der Grundstücke und können nur zugleich mit dem Boden, dem sie entspringen, zu Eigentum erworben werden.</w:t>
      </w:r>
      <w:r w:rsidR="004D6FE6" w:rsidRPr="005F15DA">
        <w:rPr>
          <w:rFonts w:cs="Arial"/>
          <w:szCs w:val="22"/>
        </w:rPr>
        <w:t xml:space="preserve"> </w:t>
      </w:r>
    </w:p>
    <w:p w:rsidR="00F307B4" w:rsidRPr="005F15DA" w:rsidRDefault="00F307B4" w:rsidP="008851FF">
      <w:pPr>
        <w:spacing w:line="240" w:lineRule="auto"/>
        <w:jc w:val="both"/>
        <w:rPr>
          <w:rFonts w:cs="Arial"/>
          <w:szCs w:val="22"/>
        </w:rPr>
      </w:pPr>
    </w:p>
    <w:p w:rsidR="004D6FE6" w:rsidRPr="005F15DA" w:rsidRDefault="004D6FE6" w:rsidP="008851FF">
      <w:pPr>
        <w:spacing w:line="240" w:lineRule="auto"/>
        <w:jc w:val="both"/>
        <w:rPr>
          <w:rFonts w:cs="Arial"/>
          <w:szCs w:val="22"/>
        </w:rPr>
      </w:pPr>
      <w:r w:rsidRPr="005F15DA">
        <w:rPr>
          <w:rFonts w:cs="Arial"/>
          <w:szCs w:val="22"/>
        </w:rPr>
        <w:t>Soll die Quelle dem jeweiligen Eigentümer eines anderen Grundstückes gehören, muss eine Dienstbarkeit begründet werden. Soll die Quelle unabhängig vom Eigentum am berechtigten Grundstück gehandelt werden, kann das Quellenrecht (falls die Vor</w:t>
      </w:r>
      <w:r w:rsidR="00F307B4" w:rsidRPr="005F15DA">
        <w:rPr>
          <w:rFonts w:cs="Arial"/>
          <w:szCs w:val="22"/>
        </w:rPr>
        <w:t>aussetzungen erfüllt sind) als s</w:t>
      </w:r>
      <w:r w:rsidRPr="005F15DA">
        <w:rPr>
          <w:rFonts w:cs="Arial"/>
          <w:szCs w:val="22"/>
        </w:rPr>
        <w:t xml:space="preserve">elbständiges und dauerndes Recht ausgestaltet werden. </w:t>
      </w:r>
    </w:p>
    <w:p w:rsidR="00F307B4" w:rsidRPr="005F15DA" w:rsidRDefault="00F307B4" w:rsidP="008851FF">
      <w:pPr>
        <w:spacing w:line="240" w:lineRule="auto"/>
        <w:jc w:val="both"/>
        <w:rPr>
          <w:rFonts w:cs="Arial"/>
          <w:szCs w:val="22"/>
        </w:rPr>
      </w:pPr>
    </w:p>
    <w:p w:rsidR="000A392A" w:rsidRPr="005F15DA" w:rsidRDefault="004D6FE6" w:rsidP="008851FF">
      <w:pPr>
        <w:spacing w:line="240" w:lineRule="auto"/>
        <w:jc w:val="both"/>
        <w:rPr>
          <w:rFonts w:cs="Arial"/>
          <w:szCs w:val="22"/>
        </w:rPr>
      </w:pPr>
      <w:r w:rsidRPr="005F15DA">
        <w:rPr>
          <w:rFonts w:cs="Arial"/>
          <w:szCs w:val="22"/>
        </w:rPr>
        <w:t>Grundwasser ist den Quellen gleichgestellt. Die Kantone haben aber das Recht, die Nutzung von Quellen und Grundwasser durch Private ganz oder teilweise zu verbieten bzw. die Nu</w:t>
      </w:r>
      <w:r w:rsidRPr="005F15DA">
        <w:rPr>
          <w:rFonts w:cs="Arial"/>
          <w:szCs w:val="22"/>
        </w:rPr>
        <w:t>t</w:t>
      </w:r>
      <w:r w:rsidRPr="005F15DA">
        <w:rPr>
          <w:rFonts w:cs="Arial"/>
          <w:szCs w:val="22"/>
        </w:rPr>
        <w:t>zung, insbesondere des Grundwassers, der Öffentlichkeit vorzubehalten. Von diesem Recht haben wohl die meisten Kantone Gebrauch gemacht, so dass die Nutzung des Grundwassers bei der öffentlichen Hand (Kantone, Gemeinden usw.) liegt.</w:t>
      </w:r>
    </w:p>
    <w:p w:rsidR="00F307B4" w:rsidRPr="005F15DA" w:rsidRDefault="00F307B4" w:rsidP="008851FF">
      <w:pPr>
        <w:spacing w:line="240" w:lineRule="auto"/>
        <w:jc w:val="both"/>
        <w:rPr>
          <w:rFonts w:cs="Arial"/>
          <w:szCs w:val="22"/>
        </w:rPr>
      </w:pPr>
    </w:p>
    <w:p w:rsidR="009121BD" w:rsidRPr="005F15DA" w:rsidRDefault="009121BD" w:rsidP="008851FF">
      <w:pPr>
        <w:spacing w:line="240" w:lineRule="auto"/>
        <w:jc w:val="both"/>
        <w:rPr>
          <w:rFonts w:cs="Arial"/>
          <w:szCs w:val="22"/>
        </w:rPr>
      </w:pPr>
      <w:r w:rsidRPr="005F15DA">
        <w:rPr>
          <w:rFonts w:cs="Arial"/>
          <w:szCs w:val="22"/>
        </w:rPr>
        <w:t xml:space="preserve">Wenn durch Bauten oder Anlagen </w:t>
      </w:r>
      <w:r w:rsidR="00F307B4" w:rsidRPr="005F15DA">
        <w:rPr>
          <w:rFonts w:cs="Arial"/>
          <w:szCs w:val="22"/>
        </w:rPr>
        <w:t xml:space="preserve">des Grundeigentümers </w:t>
      </w:r>
      <w:r w:rsidRPr="005F15DA">
        <w:rPr>
          <w:rFonts w:cs="Arial"/>
          <w:szCs w:val="22"/>
        </w:rPr>
        <w:t>die Menge oder Qualität der g</w:t>
      </w:r>
      <w:r w:rsidRPr="005F15DA">
        <w:rPr>
          <w:rFonts w:cs="Arial"/>
          <w:szCs w:val="22"/>
        </w:rPr>
        <w:t>e</w:t>
      </w:r>
      <w:r w:rsidRPr="005F15DA">
        <w:rPr>
          <w:rFonts w:cs="Arial"/>
          <w:szCs w:val="22"/>
        </w:rPr>
        <w:t>nutzten oder gefassten Quelle beeinträchtigt wird, kann der Quelleneigentümer Schadene</w:t>
      </w:r>
      <w:r w:rsidRPr="005F15DA">
        <w:rPr>
          <w:rFonts w:cs="Arial"/>
          <w:szCs w:val="22"/>
        </w:rPr>
        <w:t>r</w:t>
      </w:r>
      <w:r w:rsidRPr="005F15DA">
        <w:rPr>
          <w:rFonts w:cs="Arial"/>
          <w:szCs w:val="22"/>
        </w:rPr>
        <w:t>satz verlangen. Wenn das Quellwasser für die Bewirtschaftung eines Grundstückes (oder für eine Trinkwasserversorgung) unentbehrlich ist, kann soweit möglich, die Wiederherstellung des alten Zustandes verlangt werden.</w:t>
      </w:r>
    </w:p>
    <w:p w:rsidR="00F307B4" w:rsidRPr="005F15DA" w:rsidRDefault="00F307B4" w:rsidP="008851FF">
      <w:pPr>
        <w:spacing w:line="240" w:lineRule="auto"/>
        <w:jc w:val="both"/>
        <w:rPr>
          <w:rFonts w:cs="Arial"/>
          <w:szCs w:val="22"/>
        </w:rPr>
      </w:pPr>
    </w:p>
    <w:p w:rsidR="009121BD" w:rsidRPr="005F15DA" w:rsidRDefault="009121BD" w:rsidP="008851FF">
      <w:pPr>
        <w:spacing w:line="240" w:lineRule="auto"/>
        <w:jc w:val="both"/>
        <w:rPr>
          <w:rFonts w:cs="Arial"/>
          <w:szCs w:val="22"/>
        </w:rPr>
      </w:pPr>
      <w:r w:rsidRPr="005F15DA">
        <w:rPr>
          <w:rFonts w:cs="Arial"/>
          <w:szCs w:val="22"/>
        </w:rPr>
        <w:t>Ähnlich dem Notwegrecht besteht im ZGB ein Notbrunnen (Art. 710 ZGB).</w:t>
      </w:r>
    </w:p>
    <w:p w:rsidR="00C060B8" w:rsidRPr="005F15DA" w:rsidRDefault="00C060B8" w:rsidP="008851FF">
      <w:pPr>
        <w:spacing w:line="240" w:lineRule="auto"/>
        <w:jc w:val="both"/>
        <w:rPr>
          <w:rFonts w:cs="Arial"/>
          <w:szCs w:val="22"/>
        </w:rPr>
      </w:pPr>
    </w:p>
    <w:p w:rsidR="00C060B8" w:rsidRPr="005F15DA" w:rsidRDefault="00C060B8" w:rsidP="008851FF">
      <w:pPr>
        <w:tabs>
          <w:tab w:val="left" w:pos="426"/>
        </w:tabs>
        <w:spacing w:line="240" w:lineRule="auto"/>
        <w:jc w:val="both"/>
        <w:rPr>
          <w:rFonts w:cs="Arial"/>
          <w:szCs w:val="22"/>
        </w:rPr>
      </w:pPr>
    </w:p>
    <w:p w:rsidR="00C060B8" w:rsidRPr="005F15DA" w:rsidRDefault="00C060B8" w:rsidP="008851FF">
      <w:pPr>
        <w:tabs>
          <w:tab w:val="left" w:pos="426"/>
        </w:tabs>
        <w:spacing w:line="240" w:lineRule="auto"/>
        <w:jc w:val="both"/>
        <w:rPr>
          <w:rFonts w:cs="Arial"/>
          <w:szCs w:val="22"/>
        </w:rPr>
      </w:pPr>
    </w:p>
    <w:p w:rsidR="00C060B8" w:rsidRPr="005F15DA" w:rsidRDefault="00B828BF" w:rsidP="005759BE">
      <w:pPr>
        <w:pStyle w:val="berschrift3"/>
        <w:rPr>
          <w:lang w:val="de-CH"/>
        </w:rPr>
      </w:pPr>
      <w:bookmarkStart w:id="141" w:name="_Toc432175661"/>
      <w:r w:rsidRPr="005F15DA">
        <w:rPr>
          <w:lang w:val="de-CH"/>
        </w:rPr>
        <w:t>F.</w:t>
      </w:r>
      <w:r w:rsidRPr="005F15DA">
        <w:rPr>
          <w:lang w:val="de-CH"/>
        </w:rPr>
        <w:tab/>
      </w:r>
      <w:r w:rsidR="00C060B8" w:rsidRPr="005F15DA">
        <w:rPr>
          <w:lang w:val="de-CH"/>
        </w:rPr>
        <w:t>Das Stockwerkeigentum (Art. 712</w:t>
      </w:r>
      <w:r w:rsidR="008F6147" w:rsidRPr="005F15DA">
        <w:rPr>
          <w:lang w:val="de-CH"/>
        </w:rPr>
        <w:t xml:space="preserve"> </w:t>
      </w:r>
      <w:r w:rsidR="00C060B8" w:rsidRPr="005F15DA">
        <w:rPr>
          <w:lang w:val="de-CH"/>
        </w:rPr>
        <w:t>a – 712</w:t>
      </w:r>
      <w:r w:rsidR="008F6147" w:rsidRPr="005F15DA">
        <w:rPr>
          <w:lang w:val="de-CH"/>
        </w:rPr>
        <w:t xml:space="preserve"> </w:t>
      </w:r>
      <w:r w:rsidR="00C060B8" w:rsidRPr="005F15DA">
        <w:rPr>
          <w:lang w:val="de-CH"/>
        </w:rPr>
        <w:t>t ZGB)</w:t>
      </w:r>
      <w:bookmarkEnd w:id="141"/>
    </w:p>
    <w:p w:rsidR="000A392A" w:rsidRPr="005F15DA" w:rsidRDefault="000A392A" w:rsidP="008851FF">
      <w:pPr>
        <w:spacing w:line="240" w:lineRule="auto"/>
        <w:jc w:val="both"/>
        <w:rPr>
          <w:rFonts w:cs="Arial"/>
          <w:szCs w:val="22"/>
        </w:rPr>
      </w:pPr>
    </w:p>
    <w:p w:rsidR="00C060B8" w:rsidRPr="005F15DA" w:rsidRDefault="00264316" w:rsidP="00264316">
      <w:pPr>
        <w:pStyle w:val="berschrift4"/>
      </w:pPr>
      <w:r w:rsidRPr="005F15DA">
        <w:t>1.</w:t>
      </w:r>
      <w:r w:rsidRPr="005F15DA">
        <w:tab/>
      </w:r>
      <w:r w:rsidR="00FB1B88" w:rsidRPr="005F15DA">
        <w:t>Inhalt und Gegenstand</w:t>
      </w:r>
    </w:p>
    <w:p w:rsidR="00FB1B88" w:rsidRPr="005F15DA" w:rsidRDefault="00FB1B88" w:rsidP="008851FF">
      <w:pPr>
        <w:tabs>
          <w:tab w:val="left" w:pos="426"/>
        </w:tabs>
        <w:spacing w:line="240" w:lineRule="auto"/>
        <w:ind w:left="426"/>
        <w:jc w:val="both"/>
        <w:rPr>
          <w:rFonts w:cs="Arial"/>
          <w:szCs w:val="22"/>
        </w:rPr>
      </w:pPr>
      <w:r w:rsidRPr="005F15DA">
        <w:rPr>
          <w:rFonts w:cs="Arial"/>
          <w:szCs w:val="22"/>
        </w:rPr>
        <w:t>Art. 712</w:t>
      </w:r>
      <w:r w:rsidR="008F6147" w:rsidRPr="005F15DA">
        <w:rPr>
          <w:rFonts w:cs="Arial"/>
          <w:szCs w:val="22"/>
        </w:rPr>
        <w:t xml:space="preserve"> </w:t>
      </w:r>
      <w:r w:rsidRPr="005F15DA">
        <w:rPr>
          <w:rFonts w:cs="Arial"/>
          <w:szCs w:val="22"/>
        </w:rPr>
        <w:t>a ZGB definiert Stockwerkeigentum wie folgt:</w:t>
      </w:r>
    </w:p>
    <w:p w:rsidR="00FB1B88" w:rsidRPr="005F15DA" w:rsidRDefault="00FB1B88" w:rsidP="008851FF">
      <w:pPr>
        <w:tabs>
          <w:tab w:val="left" w:pos="426"/>
        </w:tabs>
        <w:spacing w:line="240" w:lineRule="auto"/>
        <w:ind w:left="426"/>
        <w:jc w:val="both"/>
        <w:rPr>
          <w:rFonts w:cs="Arial"/>
          <w:szCs w:val="22"/>
        </w:rPr>
      </w:pPr>
      <w:r w:rsidRPr="005F15DA">
        <w:rPr>
          <w:rFonts w:cs="Arial"/>
          <w:szCs w:val="22"/>
        </w:rPr>
        <w:t xml:space="preserve">„Stockwerkeigentum ist der </w:t>
      </w:r>
      <w:r w:rsidRPr="005F15DA">
        <w:rPr>
          <w:rFonts w:cs="Arial"/>
          <w:b/>
          <w:szCs w:val="22"/>
        </w:rPr>
        <w:t>Miteigentumsanteil an einem Grundstück</w:t>
      </w:r>
      <w:r w:rsidRPr="005F15DA">
        <w:rPr>
          <w:rFonts w:cs="Arial"/>
          <w:szCs w:val="22"/>
        </w:rPr>
        <w:t>, der dem Mite</w:t>
      </w:r>
      <w:r w:rsidRPr="005F15DA">
        <w:rPr>
          <w:rFonts w:cs="Arial"/>
          <w:szCs w:val="22"/>
        </w:rPr>
        <w:t>i</w:t>
      </w:r>
      <w:r w:rsidRPr="005F15DA">
        <w:rPr>
          <w:rFonts w:cs="Arial"/>
          <w:szCs w:val="22"/>
        </w:rPr>
        <w:t xml:space="preserve">gentümer das </w:t>
      </w:r>
      <w:r w:rsidRPr="005F15DA">
        <w:rPr>
          <w:rFonts w:cs="Arial"/>
          <w:b/>
          <w:szCs w:val="22"/>
        </w:rPr>
        <w:t>Sonderrecht</w:t>
      </w:r>
      <w:r w:rsidRPr="005F15DA">
        <w:rPr>
          <w:rFonts w:cs="Arial"/>
          <w:szCs w:val="22"/>
        </w:rPr>
        <w:t xml:space="preserve"> gibt, bestimmt Teile eines Gebäudes </w:t>
      </w:r>
      <w:r w:rsidRPr="005F15DA">
        <w:rPr>
          <w:rFonts w:cs="Arial"/>
          <w:b/>
          <w:szCs w:val="22"/>
        </w:rPr>
        <w:t>ausschliesslich zu benutzen</w:t>
      </w:r>
      <w:r w:rsidRPr="005F15DA">
        <w:rPr>
          <w:rFonts w:cs="Arial"/>
          <w:szCs w:val="22"/>
        </w:rPr>
        <w:t xml:space="preserve"> und </w:t>
      </w:r>
      <w:r w:rsidRPr="005F15DA">
        <w:rPr>
          <w:rFonts w:cs="Arial"/>
          <w:b/>
          <w:szCs w:val="22"/>
        </w:rPr>
        <w:t>innen auszubauen</w:t>
      </w:r>
      <w:r w:rsidRPr="005F15DA">
        <w:rPr>
          <w:rFonts w:cs="Arial"/>
          <w:szCs w:val="22"/>
        </w:rPr>
        <w:t>.“</w:t>
      </w:r>
    </w:p>
    <w:p w:rsidR="00F307B4" w:rsidRPr="005F15DA" w:rsidRDefault="00F307B4" w:rsidP="008851FF">
      <w:pPr>
        <w:tabs>
          <w:tab w:val="left" w:pos="426"/>
        </w:tabs>
        <w:spacing w:line="240" w:lineRule="auto"/>
        <w:ind w:left="426"/>
        <w:jc w:val="both"/>
        <w:rPr>
          <w:rFonts w:cs="Arial"/>
          <w:szCs w:val="22"/>
        </w:rPr>
      </w:pPr>
    </w:p>
    <w:p w:rsidR="00C809B1" w:rsidRPr="005F15DA" w:rsidRDefault="00C809B1" w:rsidP="008851FF">
      <w:pPr>
        <w:tabs>
          <w:tab w:val="left" w:pos="426"/>
        </w:tabs>
        <w:spacing w:line="240" w:lineRule="auto"/>
        <w:ind w:left="426"/>
        <w:jc w:val="both"/>
        <w:rPr>
          <w:rFonts w:cs="Arial"/>
          <w:szCs w:val="22"/>
        </w:rPr>
      </w:pPr>
      <w:r w:rsidRPr="005F15DA">
        <w:rPr>
          <w:rFonts w:cs="Arial"/>
          <w:szCs w:val="22"/>
        </w:rPr>
        <w:t>Auch ein selbständiges und dauerndes Baurecht kann zu Stockwerkeigentum ausgesta</w:t>
      </w:r>
      <w:r w:rsidRPr="005F15DA">
        <w:rPr>
          <w:rFonts w:cs="Arial"/>
          <w:szCs w:val="22"/>
        </w:rPr>
        <w:t>l</w:t>
      </w:r>
      <w:r w:rsidRPr="005F15DA">
        <w:rPr>
          <w:rFonts w:cs="Arial"/>
          <w:szCs w:val="22"/>
        </w:rPr>
        <w:t>tet werden, nicht aber eine Baurechtsdienstbarkeit.</w:t>
      </w:r>
    </w:p>
    <w:p w:rsidR="00F307B4" w:rsidRPr="005F15DA" w:rsidRDefault="00F307B4" w:rsidP="008851FF">
      <w:pPr>
        <w:tabs>
          <w:tab w:val="left" w:pos="426"/>
        </w:tabs>
        <w:spacing w:line="240" w:lineRule="auto"/>
        <w:ind w:left="426"/>
        <w:jc w:val="both"/>
        <w:rPr>
          <w:rFonts w:cs="Arial"/>
          <w:szCs w:val="22"/>
        </w:rPr>
      </w:pPr>
    </w:p>
    <w:p w:rsidR="00FB1B88" w:rsidRPr="005F15DA" w:rsidRDefault="00FB1B88" w:rsidP="008851FF">
      <w:pPr>
        <w:tabs>
          <w:tab w:val="left" w:pos="426"/>
        </w:tabs>
        <w:spacing w:line="240" w:lineRule="auto"/>
        <w:ind w:left="426" w:hanging="426"/>
        <w:jc w:val="both"/>
        <w:rPr>
          <w:rFonts w:cs="Arial"/>
          <w:szCs w:val="22"/>
        </w:rPr>
      </w:pPr>
      <w:r w:rsidRPr="005F15DA">
        <w:rPr>
          <w:rFonts w:cs="Arial"/>
          <w:szCs w:val="22"/>
        </w:rPr>
        <w:tab/>
        <w:t>Gegenstand des Sonderrechts (Art. 712</w:t>
      </w:r>
      <w:r w:rsidR="008F6147" w:rsidRPr="005F15DA">
        <w:rPr>
          <w:rFonts w:cs="Arial"/>
          <w:szCs w:val="22"/>
        </w:rPr>
        <w:t xml:space="preserve"> </w:t>
      </w:r>
      <w:r w:rsidRPr="005F15DA">
        <w:rPr>
          <w:rFonts w:cs="Arial"/>
          <w:szCs w:val="22"/>
        </w:rPr>
        <w:t>b ZGB) können einzelne Stockwerke oder Teile von Stockwerken sein, die als Wohnung oder als Einheiten von Räumen mit eigenem Z</w:t>
      </w:r>
      <w:r w:rsidRPr="005F15DA">
        <w:rPr>
          <w:rFonts w:cs="Arial"/>
          <w:szCs w:val="22"/>
        </w:rPr>
        <w:t>u</w:t>
      </w:r>
      <w:r w:rsidRPr="005F15DA">
        <w:rPr>
          <w:rFonts w:cs="Arial"/>
          <w:szCs w:val="22"/>
        </w:rPr>
        <w:t>gang in sich abgeschlossen sein müssen. Die Einheiten können getrennte Nebenräume umfassen (z.B. Kellerräume).</w:t>
      </w:r>
    </w:p>
    <w:p w:rsidR="00F307B4" w:rsidRPr="005F15DA" w:rsidRDefault="00F307B4" w:rsidP="008851FF">
      <w:pPr>
        <w:tabs>
          <w:tab w:val="left" w:pos="426"/>
        </w:tabs>
        <w:spacing w:line="240" w:lineRule="auto"/>
        <w:ind w:left="426" w:hanging="426"/>
        <w:jc w:val="both"/>
        <w:rPr>
          <w:rFonts w:cs="Arial"/>
          <w:szCs w:val="22"/>
        </w:rPr>
      </w:pPr>
    </w:p>
    <w:p w:rsidR="00C21987" w:rsidRPr="005F15DA" w:rsidRDefault="00C21987" w:rsidP="008851FF">
      <w:pPr>
        <w:tabs>
          <w:tab w:val="left" w:pos="426"/>
        </w:tabs>
        <w:spacing w:line="240" w:lineRule="auto"/>
        <w:ind w:left="426" w:hanging="426"/>
        <w:jc w:val="both"/>
        <w:rPr>
          <w:rFonts w:cs="Arial"/>
          <w:szCs w:val="22"/>
        </w:rPr>
      </w:pPr>
      <w:r w:rsidRPr="005F15DA">
        <w:rPr>
          <w:rFonts w:cs="Arial"/>
          <w:szCs w:val="22"/>
        </w:rPr>
        <w:tab/>
        <w:t>In der Verwaltung, Benutzung und baulichen Ausgestaltung seiner eigenen Räume ist jeder Stockwerkeigentümer frei; er darf aber nicht in die gleichen Rechte der anderen Stockwerkeigentümer eingreifen. Die gemeinschaftlichen Bauteile und Anlagen dürfen nicht beschädigt oder in ihrer Funktion beeinträchtigt werden.</w:t>
      </w:r>
    </w:p>
    <w:p w:rsidR="00F307B4" w:rsidRPr="005F15DA" w:rsidRDefault="00F307B4" w:rsidP="008851FF">
      <w:pPr>
        <w:tabs>
          <w:tab w:val="left" w:pos="426"/>
        </w:tabs>
        <w:spacing w:line="240" w:lineRule="auto"/>
        <w:ind w:left="426" w:hanging="426"/>
        <w:jc w:val="both"/>
        <w:rPr>
          <w:rFonts w:cs="Arial"/>
          <w:szCs w:val="22"/>
        </w:rPr>
      </w:pPr>
    </w:p>
    <w:p w:rsidR="00C21987" w:rsidRPr="005F15DA" w:rsidRDefault="00C21987" w:rsidP="008851FF">
      <w:pPr>
        <w:tabs>
          <w:tab w:val="left" w:pos="426"/>
        </w:tabs>
        <w:spacing w:line="240" w:lineRule="auto"/>
        <w:ind w:left="426" w:hanging="426"/>
        <w:jc w:val="both"/>
        <w:rPr>
          <w:rFonts w:cs="Arial"/>
          <w:szCs w:val="22"/>
        </w:rPr>
      </w:pPr>
      <w:r w:rsidRPr="005F15DA">
        <w:rPr>
          <w:rFonts w:cs="Arial"/>
          <w:szCs w:val="22"/>
        </w:rPr>
        <w:tab/>
        <w:t>Die eigenen Räume und Anlagen müssen vom Stockwerkeigentümer so unterhalten we</w:t>
      </w:r>
      <w:r w:rsidRPr="005F15DA">
        <w:rPr>
          <w:rFonts w:cs="Arial"/>
          <w:szCs w:val="22"/>
        </w:rPr>
        <w:t>r</w:t>
      </w:r>
      <w:r w:rsidRPr="005F15DA">
        <w:rPr>
          <w:rFonts w:cs="Arial"/>
          <w:szCs w:val="22"/>
        </w:rPr>
        <w:t>den, dass der einwandfreie Zustand und das gute Aussehen des Gebäudes gewahrt ist.</w:t>
      </w:r>
    </w:p>
    <w:p w:rsidR="00FB1B88" w:rsidRPr="005F15DA" w:rsidRDefault="00FB1B88" w:rsidP="008851FF">
      <w:pPr>
        <w:tabs>
          <w:tab w:val="left" w:pos="426"/>
        </w:tabs>
        <w:spacing w:line="240" w:lineRule="auto"/>
        <w:jc w:val="both"/>
        <w:rPr>
          <w:rFonts w:cs="Arial"/>
          <w:szCs w:val="22"/>
        </w:rPr>
      </w:pPr>
    </w:p>
    <w:p w:rsidR="00FB1B88" w:rsidRPr="005F15DA" w:rsidRDefault="00FB1B88" w:rsidP="008851FF">
      <w:pPr>
        <w:tabs>
          <w:tab w:val="left" w:pos="426"/>
        </w:tabs>
        <w:spacing w:line="240" w:lineRule="auto"/>
        <w:jc w:val="both"/>
        <w:rPr>
          <w:rFonts w:cs="Arial"/>
          <w:szCs w:val="22"/>
        </w:rPr>
      </w:pPr>
    </w:p>
    <w:p w:rsidR="00FB1B88" w:rsidRPr="005F15DA" w:rsidRDefault="00264316" w:rsidP="00264316">
      <w:pPr>
        <w:pStyle w:val="berschrift4"/>
      </w:pPr>
      <w:r w:rsidRPr="005F15DA">
        <w:lastRenderedPageBreak/>
        <w:t>2.</w:t>
      </w:r>
      <w:r w:rsidRPr="005F15DA">
        <w:tab/>
      </w:r>
      <w:r w:rsidR="006D32F2" w:rsidRPr="005F15DA">
        <w:t>Verfügung / Vorkaufsrecht</w:t>
      </w:r>
    </w:p>
    <w:p w:rsidR="006D32F2" w:rsidRPr="005F15DA" w:rsidRDefault="006D32F2" w:rsidP="008851FF">
      <w:pPr>
        <w:tabs>
          <w:tab w:val="left" w:pos="426"/>
        </w:tabs>
        <w:spacing w:line="240" w:lineRule="auto"/>
        <w:ind w:left="426" w:hanging="426"/>
        <w:jc w:val="both"/>
        <w:rPr>
          <w:rFonts w:cs="Arial"/>
          <w:szCs w:val="22"/>
        </w:rPr>
      </w:pPr>
      <w:r w:rsidRPr="005F15DA">
        <w:rPr>
          <w:rFonts w:cs="Arial"/>
          <w:szCs w:val="22"/>
        </w:rPr>
        <w:tab/>
        <w:t xml:space="preserve">Beim Stockwerkeigentum besteht </w:t>
      </w:r>
      <w:r w:rsidRPr="005F15DA">
        <w:rPr>
          <w:rFonts w:cs="Arial"/>
          <w:b/>
          <w:szCs w:val="22"/>
        </w:rPr>
        <w:t>kein gesetzliches Vorkaufsrecht</w:t>
      </w:r>
      <w:r w:rsidRPr="005F15DA">
        <w:rPr>
          <w:rFonts w:cs="Arial"/>
          <w:szCs w:val="22"/>
        </w:rPr>
        <w:t xml:space="preserve"> der anderen Stoc</w:t>
      </w:r>
      <w:r w:rsidRPr="005F15DA">
        <w:rPr>
          <w:rFonts w:cs="Arial"/>
          <w:szCs w:val="22"/>
        </w:rPr>
        <w:t>k</w:t>
      </w:r>
      <w:r w:rsidRPr="005F15DA">
        <w:rPr>
          <w:rFonts w:cs="Arial"/>
          <w:szCs w:val="22"/>
        </w:rPr>
        <w:t>werkeigentümer (Art. 712</w:t>
      </w:r>
      <w:r w:rsidR="008F6147" w:rsidRPr="005F15DA">
        <w:rPr>
          <w:rFonts w:cs="Arial"/>
          <w:szCs w:val="22"/>
        </w:rPr>
        <w:t xml:space="preserve"> </w:t>
      </w:r>
      <w:r w:rsidRPr="005F15DA">
        <w:rPr>
          <w:rFonts w:cs="Arial"/>
          <w:szCs w:val="22"/>
        </w:rPr>
        <w:t xml:space="preserve">c ZGB). </w:t>
      </w:r>
    </w:p>
    <w:p w:rsidR="00F307B4" w:rsidRPr="005F15DA" w:rsidRDefault="00F307B4" w:rsidP="008851FF">
      <w:pPr>
        <w:tabs>
          <w:tab w:val="left" w:pos="426"/>
        </w:tabs>
        <w:spacing w:line="240" w:lineRule="auto"/>
        <w:ind w:left="426" w:hanging="426"/>
        <w:jc w:val="both"/>
        <w:rPr>
          <w:rFonts w:cs="Arial"/>
          <w:szCs w:val="22"/>
        </w:rPr>
      </w:pPr>
    </w:p>
    <w:p w:rsidR="006D32F2" w:rsidRPr="005F15DA" w:rsidRDefault="006D32F2" w:rsidP="008851FF">
      <w:pPr>
        <w:tabs>
          <w:tab w:val="left" w:pos="426"/>
        </w:tabs>
        <w:spacing w:line="240" w:lineRule="auto"/>
        <w:ind w:left="426" w:hanging="426"/>
        <w:jc w:val="both"/>
        <w:rPr>
          <w:rFonts w:cs="Arial"/>
          <w:szCs w:val="22"/>
        </w:rPr>
      </w:pPr>
      <w:r w:rsidRPr="005F15DA">
        <w:rPr>
          <w:rFonts w:cs="Arial"/>
          <w:szCs w:val="22"/>
        </w:rPr>
        <w:tab/>
        <w:t>Es ist aber möglich, bei der Begründung von Stockwerkeigentum oder zu einem späteren Zeitpunkt ein (vertragliches) Vorkaufsrecht der anderen Stockwerkeigentümer einzufü</w:t>
      </w:r>
      <w:r w:rsidRPr="005F15DA">
        <w:rPr>
          <w:rFonts w:cs="Arial"/>
          <w:szCs w:val="22"/>
        </w:rPr>
        <w:t>h</w:t>
      </w:r>
      <w:r w:rsidRPr="005F15DA">
        <w:rPr>
          <w:rFonts w:cs="Arial"/>
          <w:szCs w:val="22"/>
        </w:rPr>
        <w:t>ren; dieses (vertragliche) Vorkaufsrecht kann im Grundbuch vorgemerkt werden.</w:t>
      </w:r>
    </w:p>
    <w:p w:rsidR="006D32F2" w:rsidRPr="005F15DA" w:rsidRDefault="006D32F2" w:rsidP="008851FF">
      <w:pPr>
        <w:tabs>
          <w:tab w:val="left" w:pos="426"/>
        </w:tabs>
        <w:spacing w:line="240" w:lineRule="auto"/>
        <w:jc w:val="both"/>
        <w:rPr>
          <w:rFonts w:cs="Arial"/>
          <w:szCs w:val="22"/>
        </w:rPr>
      </w:pPr>
    </w:p>
    <w:p w:rsidR="006D32F2" w:rsidRPr="005F15DA" w:rsidRDefault="006D32F2" w:rsidP="008851FF">
      <w:pPr>
        <w:tabs>
          <w:tab w:val="left" w:pos="426"/>
        </w:tabs>
        <w:spacing w:line="240" w:lineRule="auto"/>
        <w:jc w:val="both"/>
        <w:rPr>
          <w:rFonts w:cs="Arial"/>
          <w:szCs w:val="22"/>
        </w:rPr>
      </w:pPr>
    </w:p>
    <w:p w:rsidR="006D32F2" w:rsidRPr="005F15DA" w:rsidRDefault="00264316" w:rsidP="00264316">
      <w:pPr>
        <w:pStyle w:val="berschrift4"/>
      </w:pPr>
      <w:r w:rsidRPr="005F15DA">
        <w:t>3.</w:t>
      </w:r>
      <w:r w:rsidRPr="005F15DA">
        <w:tab/>
      </w:r>
      <w:r w:rsidR="00D91079" w:rsidRPr="005F15DA">
        <w:t>Begründungsakt</w:t>
      </w:r>
    </w:p>
    <w:p w:rsidR="006D32F2" w:rsidRPr="005F15DA" w:rsidRDefault="00D91079" w:rsidP="008851FF">
      <w:pPr>
        <w:tabs>
          <w:tab w:val="left" w:pos="426"/>
        </w:tabs>
        <w:spacing w:after="60" w:line="240" w:lineRule="auto"/>
        <w:jc w:val="both"/>
        <w:rPr>
          <w:rFonts w:cs="Arial"/>
          <w:szCs w:val="22"/>
        </w:rPr>
      </w:pPr>
      <w:r w:rsidRPr="005F15DA">
        <w:rPr>
          <w:rFonts w:cs="Arial"/>
          <w:szCs w:val="22"/>
        </w:rPr>
        <w:tab/>
        <w:t>Stockwerkeigentum wird begründet (Art. 712</w:t>
      </w:r>
      <w:r w:rsidR="008F6147" w:rsidRPr="005F15DA">
        <w:rPr>
          <w:rFonts w:cs="Arial"/>
          <w:szCs w:val="22"/>
        </w:rPr>
        <w:t xml:space="preserve"> </w:t>
      </w:r>
      <w:r w:rsidRPr="005F15DA">
        <w:rPr>
          <w:rFonts w:cs="Arial"/>
          <w:szCs w:val="22"/>
        </w:rPr>
        <w:t>d ZGB):</w:t>
      </w:r>
    </w:p>
    <w:p w:rsidR="00D91079" w:rsidRPr="005F15DA" w:rsidRDefault="00D91079" w:rsidP="008851FF">
      <w:pPr>
        <w:tabs>
          <w:tab w:val="left" w:pos="426"/>
          <w:tab w:val="left" w:pos="5670"/>
        </w:tabs>
        <w:spacing w:after="60" w:line="240" w:lineRule="auto"/>
        <w:jc w:val="both"/>
        <w:rPr>
          <w:rFonts w:cs="Arial"/>
          <w:szCs w:val="22"/>
        </w:rPr>
      </w:pPr>
      <w:r w:rsidRPr="005F15DA">
        <w:rPr>
          <w:rFonts w:cs="Arial"/>
          <w:szCs w:val="22"/>
        </w:rPr>
        <w:tab/>
      </w:r>
      <w:r w:rsidRPr="005F15DA">
        <w:rPr>
          <w:rFonts w:cs="Arial"/>
          <w:szCs w:val="22"/>
          <w:u w:val="single"/>
        </w:rPr>
        <w:t>Rechtsgrundausweis</w:t>
      </w:r>
      <w:r w:rsidRPr="005F15DA">
        <w:rPr>
          <w:rFonts w:cs="Arial"/>
          <w:szCs w:val="22"/>
        </w:rPr>
        <w:t>:</w:t>
      </w:r>
      <w:r w:rsidRPr="005F15DA">
        <w:rPr>
          <w:rFonts w:cs="Arial"/>
          <w:szCs w:val="22"/>
        </w:rPr>
        <w:tab/>
      </w:r>
      <w:r w:rsidRPr="005F15DA">
        <w:rPr>
          <w:rFonts w:cs="Arial"/>
          <w:szCs w:val="22"/>
          <w:u w:val="single"/>
        </w:rPr>
        <w:t>Vertragsform</w:t>
      </w:r>
      <w:r w:rsidRPr="005F15DA">
        <w:rPr>
          <w:rFonts w:cs="Arial"/>
          <w:szCs w:val="22"/>
        </w:rPr>
        <w:t>:</w:t>
      </w:r>
    </w:p>
    <w:p w:rsidR="00D91079" w:rsidRPr="005F15DA" w:rsidRDefault="00D91079" w:rsidP="008851FF">
      <w:pPr>
        <w:tabs>
          <w:tab w:val="left" w:pos="426"/>
          <w:tab w:val="left" w:pos="5670"/>
        </w:tabs>
        <w:spacing w:line="240" w:lineRule="auto"/>
        <w:jc w:val="both"/>
        <w:rPr>
          <w:rFonts w:cs="Arial"/>
          <w:szCs w:val="22"/>
        </w:rPr>
      </w:pPr>
      <w:r w:rsidRPr="005F15DA">
        <w:rPr>
          <w:rFonts w:cs="Arial"/>
          <w:szCs w:val="22"/>
        </w:rPr>
        <w:tab/>
        <w:t xml:space="preserve">Vertrag der Miteigentümer über die </w:t>
      </w:r>
      <w:proofErr w:type="spellStart"/>
      <w:r w:rsidRPr="005F15DA">
        <w:rPr>
          <w:rFonts w:cs="Arial"/>
          <w:szCs w:val="22"/>
        </w:rPr>
        <w:t>Ausge</w:t>
      </w:r>
      <w:proofErr w:type="spellEnd"/>
      <w:r w:rsidRPr="005F15DA">
        <w:rPr>
          <w:rFonts w:cs="Arial"/>
          <w:szCs w:val="22"/>
        </w:rPr>
        <w:t>-</w:t>
      </w:r>
      <w:r w:rsidRPr="005F15DA">
        <w:rPr>
          <w:rFonts w:cs="Arial"/>
          <w:szCs w:val="22"/>
        </w:rPr>
        <w:tab/>
        <w:t>Öffentliche Beurkundung</w:t>
      </w:r>
    </w:p>
    <w:p w:rsidR="00D91079" w:rsidRPr="005F15DA" w:rsidRDefault="00D91079" w:rsidP="008851FF">
      <w:pPr>
        <w:tabs>
          <w:tab w:val="left" w:pos="426"/>
          <w:tab w:val="left" w:pos="5670"/>
        </w:tabs>
        <w:spacing w:after="60" w:line="240" w:lineRule="auto"/>
        <w:jc w:val="both"/>
        <w:rPr>
          <w:rFonts w:cs="Arial"/>
          <w:szCs w:val="22"/>
        </w:rPr>
      </w:pPr>
      <w:r w:rsidRPr="005F15DA">
        <w:rPr>
          <w:rFonts w:cs="Arial"/>
          <w:szCs w:val="22"/>
        </w:rPr>
        <w:tab/>
      </w:r>
      <w:proofErr w:type="spellStart"/>
      <w:r w:rsidRPr="005F15DA">
        <w:rPr>
          <w:rFonts w:cs="Arial"/>
          <w:szCs w:val="22"/>
        </w:rPr>
        <w:t>staltung</w:t>
      </w:r>
      <w:proofErr w:type="spellEnd"/>
      <w:r w:rsidRPr="005F15DA">
        <w:rPr>
          <w:rFonts w:cs="Arial"/>
          <w:szCs w:val="22"/>
        </w:rPr>
        <w:t xml:space="preserve"> ihrer Anteile zu Stockwerkeigentum</w:t>
      </w:r>
    </w:p>
    <w:p w:rsidR="00D91079" w:rsidRPr="005F15DA" w:rsidRDefault="00D91079" w:rsidP="008851FF">
      <w:pPr>
        <w:tabs>
          <w:tab w:val="left" w:pos="426"/>
          <w:tab w:val="left" w:pos="5670"/>
        </w:tabs>
        <w:spacing w:line="240" w:lineRule="auto"/>
        <w:jc w:val="both"/>
        <w:rPr>
          <w:rFonts w:cs="Arial"/>
          <w:szCs w:val="22"/>
        </w:rPr>
      </w:pPr>
      <w:r w:rsidRPr="005F15DA">
        <w:rPr>
          <w:rFonts w:cs="Arial"/>
          <w:szCs w:val="22"/>
        </w:rPr>
        <w:tab/>
        <w:t>Erklärung des Eigentümers über die Bildung</w:t>
      </w:r>
      <w:r w:rsidRPr="005F15DA">
        <w:rPr>
          <w:rFonts w:cs="Arial"/>
          <w:szCs w:val="22"/>
        </w:rPr>
        <w:tab/>
        <w:t>Öffentliche Beurkundung</w:t>
      </w:r>
    </w:p>
    <w:p w:rsidR="00D91079" w:rsidRPr="005F15DA" w:rsidRDefault="00D91079" w:rsidP="008851FF">
      <w:pPr>
        <w:tabs>
          <w:tab w:val="left" w:pos="426"/>
          <w:tab w:val="left" w:pos="5670"/>
        </w:tabs>
        <w:spacing w:line="240" w:lineRule="auto"/>
        <w:jc w:val="both"/>
        <w:rPr>
          <w:rFonts w:cs="Arial"/>
          <w:szCs w:val="22"/>
        </w:rPr>
      </w:pPr>
      <w:r w:rsidRPr="005F15DA">
        <w:rPr>
          <w:rFonts w:cs="Arial"/>
          <w:szCs w:val="22"/>
        </w:rPr>
        <w:tab/>
        <w:t xml:space="preserve">von Miteigentumsanteilen und deren </w:t>
      </w:r>
      <w:proofErr w:type="spellStart"/>
      <w:r w:rsidRPr="005F15DA">
        <w:rPr>
          <w:rFonts w:cs="Arial"/>
          <w:szCs w:val="22"/>
        </w:rPr>
        <w:t>Ausge</w:t>
      </w:r>
      <w:proofErr w:type="spellEnd"/>
      <w:r w:rsidRPr="005F15DA">
        <w:rPr>
          <w:rFonts w:cs="Arial"/>
          <w:szCs w:val="22"/>
        </w:rPr>
        <w:t>-</w:t>
      </w:r>
    </w:p>
    <w:p w:rsidR="00D91079" w:rsidRPr="005F15DA" w:rsidRDefault="00D91079" w:rsidP="008851FF">
      <w:pPr>
        <w:tabs>
          <w:tab w:val="left" w:pos="426"/>
          <w:tab w:val="left" w:pos="5670"/>
        </w:tabs>
        <w:spacing w:after="60" w:line="240" w:lineRule="auto"/>
        <w:jc w:val="both"/>
        <w:rPr>
          <w:rFonts w:cs="Arial"/>
          <w:szCs w:val="22"/>
        </w:rPr>
      </w:pPr>
      <w:r w:rsidRPr="005F15DA">
        <w:rPr>
          <w:rFonts w:cs="Arial"/>
          <w:szCs w:val="22"/>
        </w:rPr>
        <w:tab/>
      </w:r>
      <w:proofErr w:type="spellStart"/>
      <w:r w:rsidRPr="005F15DA">
        <w:rPr>
          <w:rFonts w:cs="Arial"/>
          <w:szCs w:val="22"/>
        </w:rPr>
        <w:t>staltung</w:t>
      </w:r>
      <w:proofErr w:type="spellEnd"/>
      <w:r w:rsidRPr="005F15DA">
        <w:rPr>
          <w:rFonts w:cs="Arial"/>
          <w:szCs w:val="22"/>
        </w:rPr>
        <w:t xml:space="preserve"> zu Stockwerkeigentum</w:t>
      </w:r>
    </w:p>
    <w:p w:rsidR="00D91079" w:rsidRPr="005F15DA" w:rsidRDefault="00D91079" w:rsidP="008851FF">
      <w:pPr>
        <w:tabs>
          <w:tab w:val="left" w:pos="426"/>
          <w:tab w:val="left" w:pos="5670"/>
        </w:tabs>
        <w:spacing w:after="60" w:line="240" w:lineRule="auto"/>
        <w:jc w:val="both"/>
        <w:rPr>
          <w:rFonts w:cs="Arial"/>
          <w:szCs w:val="22"/>
        </w:rPr>
      </w:pPr>
      <w:r w:rsidRPr="005F15DA">
        <w:rPr>
          <w:rFonts w:cs="Arial"/>
          <w:szCs w:val="22"/>
        </w:rPr>
        <w:tab/>
        <w:t>Erbteilungsvertrag</w:t>
      </w:r>
      <w:r w:rsidRPr="005F15DA">
        <w:rPr>
          <w:rFonts w:cs="Arial"/>
          <w:szCs w:val="22"/>
        </w:rPr>
        <w:tab/>
        <w:t>Schriftlich</w:t>
      </w:r>
    </w:p>
    <w:p w:rsidR="00D91079" w:rsidRPr="005F15DA" w:rsidRDefault="00D91079" w:rsidP="008851FF">
      <w:pPr>
        <w:tabs>
          <w:tab w:val="left" w:pos="426"/>
          <w:tab w:val="left" w:pos="5670"/>
        </w:tabs>
        <w:spacing w:line="240" w:lineRule="auto"/>
        <w:jc w:val="both"/>
        <w:rPr>
          <w:rFonts w:cs="Arial"/>
          <w:szCs w:val="22"/>
        </w:rPr>
      </w:pPr>
      <w:r w:rsidRPr="005F15DA">
        <w:rPr>
          <w:rFonts w:cs="Arial"/>
          <w:szCs w:val="22"/>
        </w:rPr>
        <w:tab/>
        <w:t>Erbvertrag</w:t>
      </w:r>
      <w:r w:rsidRPr="005F15DA">
        <w:rPr>
          <w:rFonts w:cs="Arial"/>
          <w:szCs w:val="22"/>
        </w:rPr>
        <w:tab/>
        <w:t xml:space="preserve">Erbvertragsform (öffentliche </w:t>
      </w:r>
    </w:p>
    <w:p w:rsidR="00D91079" w:rsidRPr="005F15DA" w:rsidRDefault="00D91079" w:rsidP="008851FF">
      <w:pPr>
        <w:tabs>
          <w:tab w:val="left" w:pos="426"/>
          <w:tab w:val="left" w:pos="5670"/>
        </w:tabs>
        <w:spacing w:after="60" w:line="240" w:lineRule="auto"/>
        <w:jc w:val="both"/>
        <w:rPr>
          <w:rFonts w:cs="Arial"/>
          <w:szCs w:val="22"/>
        </w:rPr>
      </w:pPr>
      <w:r w:rsidRPr="005F15DA">
        <w:rPr>
          <w:rFonts w:cs="Arial"/>
          <w:szCs w:val="22"/>
        </w:rPr>
        <w:tab/>
      </w:r>
      <w:r w:rsidRPr="005F15DA">
        <w:rPr>
          <w:rFonts w:cs="Arial"/>
          <w:szCs w:val="22"/>
        </w:rPr>
        <w:tab/>
        <w:t>Beurkundung mit 2 Zeugen)</w:t>
      </w:r>
    </w:p>
    <w:p w:rsidR="00D91079" w:rsidRPr="005F15DA" w:rsidRDefault="00D91079" w:rsidP="008851FF">
      <w:pPr>
        <w:tabs>
          <w:tab w:val="left" w:pos="426"/>
          <w:tab w:val="left" w:pos="5670"/>
        </w:tabs>
        <w:spacing w:line="240" w:lineRule="auto"/>
        <w:jc w:val="both"/>
        <w:rPr>
          <w:rFonts w:cs="Arial"/>
          <w:szCs w:val="22"/>
        </w:rPr>
      </w:pPr>
      <w:r w:rsidRPr="005F15DA">
        <w:rPr>
          <w:rFonts w:cs="Arial"/>
          <w:szCs w:val="22"/>
        </w:rPr>
        <w:tab/>
        <w:t>Testament</w:t>
      </w:r>
      <w:r w:rsidRPr="005F15DA">
        <w:rPr>
          <w:rFonts w:cs="Arial"/>
          <w:szCs w:val="22"/>
        </w:rPr>
        <w:tab/>
        <w:t>mündlich, qualifiziert schrift-</w:t>
      </w:r>
    </w:p>
    <w:p w:rsidR="00D91079" w:rsidRPr="005F15DA" w:rsidRDefault="00D91079" w:rsidP="008851FF">
      <w:pPr>
        <w:tabs>
          <w:tab w:val="left" w:pos="426"/>
          <w:tab w:val="left" w:pos="5670"/>
        </w:tabs>
        <w:spacing w:line="240" w:lineRule="auto"/>
        <w:jc w:val="both"/>
        <w:rPr>
          <w:rFonts w:cs="Arial"/>
          <w:szCs w:val="22"/>
        </w:rPr>
      </w:pPr>
      <w:r w:rsidRPr="005F15DA">
        <w:rPr>
          <w:rFonts w:cs="Arial"/>
          <w:szCs w:val="22"/>
        </w:rPr>
        <w:tab/>
      </w:r>
      <w:r w:rsidRPr="005F15DA">
        <w:rPr>
          <w:rFonts w:cs="Arial"/>
          <w:szCs w:val="22"/>
        </w:rPr>
        <w:tab/>
      </w:r>
      <w:proofErr w:type="spellStart"/>
      <w:r w:rsidRPr="005F15DA">
        <w:rPr>
          <w:rFonts w:cs="Arial"/>
          <w:szCs w:val="22"/>
        </w:rPr>
        <w:t>lich</w:t>
      </w:r>
      <w:proofErr w:type="spellEnd"/>
      <w:r w:rsidRPr="005F15DA">
        <w:rPr>
          <w:rFonts w:cs="Arial"/>
          <w:szCs w:val="22"/>
        </w:rPr>
        <w:t xml:space="preserve"> oder öffentliche </w:t>
      </w:r>
      <w:proofErr w:type="spellStart"/>
      <w:r w:rsidRPr="005F15DA">
        <w:rPr>
          <w:rFonts w:cs="Arial"/>
          <w:szCs w:val="22"/>
        </w:rPr>
        <w:t>Beurkun</w:t>
      </w:r>
      <w:proofErr w:type="spellEnd"/>
      <w:r w:rsidRPr="005F15DA">
        <w:rPr>
          <w:rFonts w:cs="Arial"/>
          <w:szCs w:val="22"/>
        </w:rPr>
        <w:t>-</w:t>
      </w:r>
    </w:p>
    <w:p w:rsidR="00D91079" w:rsidRPr="005F15DA" w:rsidRDefault="00D91079" w:rsidP="008851FF">
      <w:pPr>
        <w:tabs>
          <w:tab w:val="left" w:pos="426"/>
          <w:tab w:val="left" w:pos="5670"/>
        </w:tabs>
        <w:spacing w:line="240" w:lineRule="auto"/>
        <w:jc w:val="both"/>
        <w:rPr>
          <w:rFonts w:cs="Arial"/>
          <w:szCs w:val="22"/>
        </w:rPr>
      </w:pPr>
      <w:r w:rsidRPr="005F15DA">
        <w:rPr>
          <w:rFonts w:cs="Arial"/>
          <w:szCs w:val="22"/>
        </w:rPr>
        <w:tab/>
      </w:r>
      <w:r w:rsidRPr="005F15DA">
        <w:rPr>
          <w:rFonts w:cs="Arial"/>
          <w:szCs w:val="22"/>
        </w:rPr>
        <w:tab/>
      </w:r>
      <w:proofErr w:type="spellStart"/>
      <w:r w:rsidRPr="005F15DA">
        <w:rPr>
          <w:rFonts w:cs="Arial"/>
          <w:szCs w:val="22"/>
        </w:rPr>
        <w:t>dung</w:t>
      </w:r>
      <w:proofErr w:type="spellEnd"/>
      <w:r w:rsidRPr="005F15DA">
        <w:rPr>
          <w:rFonts w:cs="Arial"/>
          <w:szCs w:val="22"/>
        </w:rPr>
        <w:t xml:space="preserve"> mit 2 Zeugen</w:t>
      </w:r>
    </w:p>
    <w:p w:rsidR="00D91079" w:rsidRPr="005F15DA" w:rsidRDefault="00D91079" w:rsidP="008851FF">
      <w:pPr>
        <w:tabs>
          <w:tab w:val="left" w:pos="426"/>
          <w:tab w:val="left" w:pos="5670"/>
        </w:tabs>
        <w:spacing w:line="240" w:lineRule="auto"/>
        <w:jc w:val="both"/>
        <w:rPr>
          <w:rFonts w:cs="Arial"/>
          <w:szCs w:val="22"/>
        </w:rPr>
      </w:pPr>
    </w:p>
    <w:p w:rsidR="00D91079" w:rsidRPr="005F15DA" w:rsidRDefault="00D91079" w:rsidP="008851FF">
      <w:pPr>
        <w:tabs>
          <w:tab w:val="left" w:pos="426"/>
        </w:tabs>
        <w:spacing w:line="240" w:lineRule="auto"/>
        <w:jc w:val="both"/>
        <w:rPr>
          <w:rFonts w:cs="Arial"/>
          <w:szCs w:val="22"/>
        </w:rPr>
      </w:pPr>
    </w:p>
    <w:p w:rsidR="006D32F2" w:rsidRPr="005F15DA" w:rsidRDefault="00264316" w:rsidP="00264316">
      <w:pPr>
        <w:pStyle w:val="berschrift4"/>
      </w:pPr>
      <w:r w:rsidRPr="005F15DA">
        <w:t>4.</w:t>
      </w:r>
      <w:r w:rsidRPr="005F15DA">
        <w:tab/>
      </w:r>
      <w:r w:rsidR="00D91079" w:rsidRPr="005F15DA">
        <w:t>Räumliche Ausscheidung und Wertquoten</w:t>
      </w:r>
    </w:p>
    <w:p w:rsidR="006D32F2" w:rsidRPr="005F15DA" w:rsidRDefault="00D91079" w:rsidP="008851FF">
      <w:pPr>
        <w:tabs>
          <w:tab w:val="left" w:pos="426"/>
        </w:tabs>
        <w:spacing w:line="240" w:lineRule="auto"/>
        <w:ind w:left="426" w:hanging="426"/>
        <w:jc w:val="both"/>
        <w:rPr>
          <w:rFonts w:cs="Arial"/>
          <w:szCs w:val="22"/>
        </w:rPr>
      </w:pPr>
      <w:r w:rsidRPr="005F15DA">
        <w:rPr>
          <w:rFonts w:cs="Arial"/>
          <w:szCs w:val="22"/>
        </w:rPr>
        <w:tab/>
        <w:t>Im Begründungsakt ist die räumliche Ausscheidung anzugeben (Art. 712</w:t>
      </w:r>
      <w:r w:rsidR="008F6147" w:rsidRPr="005F15DA">
        <w:rPr>
          <w:rFonts w:cs="Arial"/>
          <w:szCs w:val="22"/>
        </w:rPr>
        <w:t xml:space="preserve"> </w:t>
      </w:r>
      <w:r w:rsidRPr="005F15DA">
        <w:rPr>
          <w:rFonts w:cs="Arial"/>
          <w:szCs w:val="22"/>
        </w:rPr>
        <w:t xml:space="preserve">e ZGB). Dies geschieht durch Einzeichnung der einzelnen Stockwerkeinheiten in Grundriss-Plänen, wobei </w:t>
      </w:r>
      <w:r w:rsidR="003E7010" w:rsidRPr="005F15DA">
        <w:rPr>
          <w:rFonts w:cs="Arial"/>
          <w:szCs w:val="22"/>
        </w:rPr>
        <w:t>zu beachten ist, dass jede Einheit (z.B. Wohnung) über einen eigenen Zugang ve</w:t>
      </w:r>
      <w:r w:rsidR="003E7010" w:rsidRPr="005F15DA">
        <w:rPr>
          <w:rFonts w:cs="Arial"/>
          <w:szCs w:val="22"/>
        </w:rPr>
        <w:t>r</w:t>
      </w:r>
      <w:r w:rsidR="003E7010" w:rsidRPr="005F15DA">
        <w:rPr>
          <w:rFonts w:cs="Arial"/>
          <w:szCs w:val="22"/>
        </w:rPr>
        <w:t>fügen muss (vom gemeinsamen Treppenhaus gehen pro Stockwerkeinheit separate Wohnungstüren ab) und die Einheit (Wohnung) in sich abgeschlossen sein muss.</w:t>
      </w:r>
    </w:p>
    <w:p w:rsidR="00686ED6" w:rsidRPr="005F15DA" w:rsidRDefault="00686ED6" w:rsidP="008851FF">
      <w:pPr>
        <w:tabs>
          <w:tab w:val="left" w:pos="426"/>
        </w:tabs>
        <w:spacing w:line="240" w:lineRule="auto"/>
        <w:ind w:left="426" w:hanging="426"/>
        <w:jc w:val="both"/>
        <w:rPr>
          <w:rFonts w:cs="Arial"/>
          <w:szCs w:val="22"/>
        </w:rPr>
      </w:pPr>
    </w:p>
    <w:p w:rsidR="003E7010" w:rsidRPr="005F15DA" w:rsidRDefault="003E7010" w:rsidP="008851FF">
      <w:pPr>
        <w:tabs>
          <w:tab w:val="left" w:pos="426"/>
        </w:tabs>
        <w:spacing w:line="240" w:lineRule="auto"/>
        <w:ind w:left="426" w:hanging="426"/>
        <w:jc w:val="both"/>
        <w:rPr>
          <w:rFonts w:cs="Arial"/>
          <w:szCs w:val="22"/>
        </w:rPr>
      </w:pPr>
      <w:r w:rsidRPr="005F15DA">
        <w:rPr>
          <w:rFonts w:cs="Arial"/>
          <w:szCs w:val="22"/>
        </w:rPr>
        <w:tab/>
      </w:r>
      <w:r w:rsidR="0087044E" w:rsidRPr="005F15DA">
        <w:rPr>
          <w:rFonts w:cs="Arial"/>
          <w:szCs w:val="22"/>
        </w:rPr>
        <w:t xml:space="preserve">In der Begründungsurkunde werden die Sonderrechte </w:t>
      </w:r>
      <w:r w:rsidR="00285A6D" w:rsidRPr="005F15DA">
        <w:rPr>
          <w:rFonts w:cs="Arial"/>
          <w:szCs w:val="22"/>
        </w:rPr>
        <w:t xml:space="preserve">genau bezeichnet </w:t>
      </w:r>
      <w:r w:rsidR="0087044E" w:rsidRPr="005F15DA">
        <w:rPr>
          <w:rFonts w:cs="Arial"/>
          <w:szCs w:val="22"/>
        </w:rPr>
        <w:t>(z.B. Wohnung</w:t>
      </w:r>
      <w:r w:rsidR="00285A6D" w:rsidRPr="005F15DA">
        <w:rPr>
          <w:rFonts w:cs="Arial"/>
          <w:szCs w:val="22"/>
        </w:rPr>
        <w:t xml:space="preserve">, Nebenräume). Das </w:t>
      </w:r>
      <w:r w:rsidR="00285A6D" w:rsidRPr="005F15DA">
        <w:rPr>
          <w:rFonts w:cs="Arial"/>
          <w:b/>
          <w:szCs w:val="22"/>
        </w:rPr>
        <w:t xml:space="preserve">Sonderrecht kann nur in der Begründungsurkunde begründet werden </w:t>
      </w:r>
      <w:r w:rsidR="00285A6D" w:rsidRPr="005F15DA">
        <w:rPr>
          <w:rFonts w:cs="Arial"/>
          <w:szCs w:val="22"/>
        </w:rPr>
        <w:t xml:space="preserve">und beinhaltet, dass </w:t>
      </w:r>
      <w:r w:rsidRPr="005F15DA">
        <w:rPr>
          <w:rFonts w:cs="Arial"/>
          <w:szCs w:val="22"/>
        </w:rPr>
        <w:t>der Stockwerkeigentümer seine Räume ausschliesslich b</w:t>
      </w:r>
      <w:r w:rsidRPr="005F15DA">
        <w:rPr>
          <w:rFonts w:cs="Arial"/>
          <w:szCs w:val="22"/>
        </w:rPr>
        <w:t>e</w:t>
      </w:r>
      <w:r w:rsidRPr="005F15DA">
        <w:rPr>
          <w:rFonts w:cs="Arial"/>
          <w:szCs w:val="22"/>
        </w:rPr>
        <w:t>nutzen, verwalten und innen ausbauen</w:t>
      </w:r>
      <w:r w:rsidR="00285A6D" w:rsidRPr="005F15DA">
        <w:rPr>
          <w:rFonts w:cs="Arial"/>
          <w:szCs w:val="22"/>
        </w:rPr>
        <w:t xml:space="preserve"> kann</w:t>
      </w:r>
      <w:r w:rsidRPr="005F15DA">
        <w:rPr>
          <w:rFonts w:cs="Arial"/>
          <w:szCs w:val="22"/>
        </w:rPr>
        <w:t>; innerhalb der Grenzen der Rechtsnormen und der Rechte der anderen Stockwerkeigentümer ist er in seinem Tun und Lassen frei)</w:t>
      </w:r>
      <w:r w:rsidR="00285A6D" w:rsidRPr="005F15DA">
        <w:rPr>
          <w:rFonts w:cs="Arial"/>
          <w:szCs w:val="22"/>
        </w:rPr>
        <w:t xml:space="preserve">. Als </w:t>
      </w:r>
      <w:r w:rsidR="0087044E" w:rsidRPr="005F15DA">
        <w:rPr>
          <w:rFonts w:cs="Arial"/>
          <w:szCs w:val="22"/>
        </w:rPr>
        <w:t xml:space="preserve">Nebenräume </w:t>
      </w:r>
      <w:r w:rsidR="00285A6D" w:rsidRPr="005F15DA">
        <w:rPr>
          <w:rFonts w:cs="Arial"/>
          <w:szCs w:val="22"/>
        </w:rPr>
        <w:t xml:space="preserve">kommen </w:t>
      </w:r>
      <w:r w:rsidR="0087044E" w:rsidRPr="005F15DA">
        <w:rPr>
          <w:rFonts w:cs="Arial"/>
          <w:szCs w:val="22"/>
        </w:rPr>
        <w:t>z.B. Wasch</w:t>
      </w:r>
      <w:r w:rsidR="00285A6D" w:rsidRPr="005F15DA">
        <w:rPr>
          <w:rFonts w:cs="Arial"/>
          <w:szCs w:val="22"/>
        </w:rPr>
        <w:t>küchen und ähnliche von den Haupträumen g</w:t>
      </w:r>
      <w:r w:rsidR="00285A6D" w:rsidRPr="005F15DA">
        <w:rPr>
          <w:rFonts w:cs="Arial"/>
          <w:szCs w:val="22"/>
        </w:rPr>
        <w:t>e</w:t>
      </w:r>
      <w:r w:rsidR="00285A6D" w:rsidRPr="005F15DA">
        <w:rPr>
          <w:rFonts w:cs="Arial"/>
          <w:szCs w:val="22"/>
        </w:rPr>
        <w:t>trennte Räume in Frage; auch die Nebenräume müssen durch Mauern und ähnliches a</w:t>
      </w:r>
      <w:r w:rsidR="00285A6D" w:rsidRPr="005F15DA">
        <w:rPr>
          <w:rFonts w:cs="Arial"/>
          <w:szCs w:val="22"/>
        </w:rPr>
        <w:t>b</w:t>
      </w:r>
      <w:r w:rsidR="00285A6D" w:rsidRPr="005F15DA">
        <w:rPr>
          <w:rFonts w:cs="Arial"/>
          <w:szCs w:val="22"/>
        </w:rPr>
        <w:t>geschlossene Teile des Gebäudes sein (sei müssen abschliessbar sein).</w:t>
      </w:r>
    </w:p>
    <w:p w:rsidR="00686ED6" w:rsidRPr="005F15DA" w:rsidRDefault="00686ED6" w:rsidP="008851FF">
      <w:pPr>
        <w:tabs>
          <w:tab w:val="left" w:pos="426"/>
        </w:tabs>
        <w:spacing w:line="240" w:lineRule="auto"/>
        <w:ind w:left="426" w:hanging="426"/>
        <w:jc w:val="both"/>
        <w:rPr>
          <w:rFonts w:cs="Arial"/>
          <w:szCs w:val="22"/>
        </w:rPr>
      </w:pPr>
      <w:r w:rsidRPr="005F15DA">
        <w:rPr>
          <w:rFonts w:cs="Arial"/>
          <w:szCs w:val="22"/>
        </w:rPr>
        <w:tab/>
      </w:r>
      <w:proofErr w:type="gramStart"/>
      <w:r w:rsidRPr="005F15DA">
        <w:rPr>
          <w:rFonts w:cs="Arial"/>
          <w:szCs w:val="22"/>
        </w:rPr>
        <w:t>Gegenstand des Sonderrechtes</w:t>
      </w:r>
      <w:proofErr w:type="gramEnd"/>
      <w:r w:rsidRPr="005F15DA">
        <w:rPr>
          <w:rFonts w:cs="Arial"/>
          <w:szCs w:val="22"/>
        </w:rPr>
        <w:t xml:space="preserve"> sind insbesondere </w:t>
      </w:r>
    </w:p>
    <w:p w:rsidR="00686ED6" w:rsidRPr="005F15DA" w:rsidRDefault="00686ED6" w:rsidP="009D34F3">
      <w:pPr>
        <w:pStyle w:val="Listenabsatz"/>
        <w:numPr>
          <w:ilvl w:val="0"/>
          <w:numId w:val="52"/>
        </w:numPr>
        <w:tabs>
          <w:tab w:val="left" w:pos="426"/>
        </w:tabs>
        <w:spacing w:line="240" w:lineRule="auto"/>
        <w:ind w:hanging="294"/>
        <w:jc w:val="both"/>
        <w:rPr>
          <w:rFonts w:cs="Arial"/>
          <w:szCs w:val="22"/>
        </w:rPr>
      </w:pPr>
      <w:r w:rsidRPr="005F15DA">
        <w:rPr>
          <w:rFonts w:cs="Arial"/>
          <w:szCs w:val="22"/>
        </w:rPr>
        <w:t>die inneren Zwischenwände, soweit sie keine tragende Funktion haben,</w:t>
      </w:r>
    </w:p>
    <w:p w:rsidR="00686ED6" w:rsidRPr="005F15DA" w:rsidRDefault="00686ED6" w:rsidP="009D34F3">
      <w:pPr>
        <w:pStyle w:val="Listenabsatz"/>
        <w:numPr>
          <w:ilvl w:val="0"/>
          <w:numId w:val="52"/>
        </w:numPr>
        <w:tabs>
          <w:tab w:val="left" w:pos="426"/>
        </w:tabs>
        <w:spacing w:line="240" w:lineRule="auto"/>
        <w:ind w:hanging="294"/>
        <w:jc w:val="both"/>
        <w:rPr>
          <w:rFonts w:cs="Arial"/>
          <w:szCs w:val="22"/>
        </w:rPr>
      </w:pPr>
      <w:r w:rsidRPr="005F15DA">
        <w:rPr>
          <w:rFonts w:cs="Arial"/>
          <w:szCs w:val="22"/>
        </w:rPr>
        <w:t>die Fussböden, deren Beläge und der Deckenputz,</w:t>
      </w:r>
    </w:p>
    <w:p w:rsidR="00686ED6" w:rsidRPr="005F15DA" w:rsidRDefault="00686ED6" w:rsidP="009D34F3">
      <w:pPr>
        <w:pStyle w:val="Listenabsatz"/>
        <w:numPr>
          <w:ilvl w:val="0"/>
          <w:numId w:val="52"/>
        </w:numPr>
        <w:tabs>
          <w:tab w:val="left" w:pos="426"/>
        </w:tabs>
        <w:spacing w:line="240" w:lineRule="auto"/>
        <w:ind w:hanging="294"/>
        <w:jc w:val="both"/>
        <w:rPr>
          <w:rFonts w:cs="Arial"/>
          <w:szCs w:val="22"/>
        </w:rPr>
      </w:pPr>
      <w:r w:rsidRPr="005F15DA">
        <w:rPr>
          <w:rFonts w:cs="Arial"/>
          <w:szCs w:val="22"/>
        </w:rPr>
        <w:t>die Verkleidung der Wände gegen die im Sonderrecht stehenden Räume,</w:t>
      </w:r>
    </w:p>
    <w:p w:rsidR="00686ED6" w:rsidRPr="005F15DA" w:rsidRDefault="00686ED6" w:rsidP="009D34F3">
      <w:pPr>
        <w:pStyle w:val="Listenabsatz"/>
        <w:numPr>
          <w:ilvl w:val="0"/>
          <w:numId w:val="52"/>
        </w:numPr>
        <w:tabs>
          <w:tab w:val="left" w:pos="426"/>
        </w:tabs>
        <w:spacing w:line="240" w:lineRule="auto"/>
        <w:ind w:hanging="294"/>
        <w:jc w:val="both"/>
        <w:rPr>
          <w:rFonts w:cs="Arial"/>
          <w:szCs w:val="22"/>
        </w:rPr>
      </w:pPr>
      <w:r w:rsidRPr="005F15DA">
        <w:rPr>
          <w:rFonts w:cs="Arial"/>
          <w:szCs w:val="22"/>
        </w:rPr>
        <w:t>die Türen (ausgenommen diejenigen gegen gemeinschaftliche Teile),</w:t>
      </w:r>
    </w:p>
    <w:p w:rsidR="00686ED6" w:rsidRPr="005F15DA" w:rsidRDefault="00686ED6" w:rsidP="009D34F3">
      <w:pPr>
        <w:pStyle w:val="Listenabsatz"/>
        <w:numPr>
          <w:ilvl w:val="0"/>
          <w:numId w:val="52"/>
        </w:numPr>
        <w:tabs>
          <w:tab w:val="left" w:pos="426"/>
        </w:tabs>
        <w:spacing w:line="240" w:lineRule="auto"/>
        <w:ind w:hanging="294"/>
        <w:jc w:val="both"/>
        <w:rPr>
          <w:rFonts w:cs="Arial"/>
          <w:szCs w:val="22"/>
        </w:rPr>
      </w:pPr>
      <w:r w:rsidRPr="005F15DA">
        <w:rPr>
          <w:rFonts w:cs="Arial"/>
          <w:szCs w:val="22"/>
        </w:rPr>
        <w:t>die eingebauten Schränke,</w:t>
      </w:r>
    </w:p>
    <w:p w:rsidR="00686ED6" w:rsidRPr="005F15DA" w:rsidRDefault="00686ED6" w:rsidP="009D34F3">
      <w:pPr>
        <w:pStyle w:val="Listenabsatz"/>
        <w:numPr>
          <w:ilvl w:val="0"/>
          <w:numId w:val="52"/>
        </w:numPr>
        <w:tabs>
          <w:tab w:val="left" w:pos="426"/>
        </w:tabs>
        <w:spacing w:line="240" w:lineRule="auto"/>
        <w:ind w:hanging="294"/>
        <w:jc w:val="both"/>
        <w:rPr>
          <w:rFonts w:cs="Arial"/>
          <w:szCs w:val="22"/>
        </w:rPr>
      </w:pPr>
      <w:r w:rsidRPr="005F15DA">
        <w:rPr>
          <w:rFonts w:cs="Arial"/>
          <w:szCs w:val="22"/>
        </w:rPr>
        <w:t>die Küchen-, Bade- und Toiletteneinrichtungen,</w:t>
      </w:r>
    </w:p>
    <w:p w:rsidR="00686ED6" w:rsidRPr="005F15DA" w:rsidRDefault="00686ED6" w:rsidP="009D34F3">
      <w:pPr>
        <w:pStyle w:val="Listenabsatz"/>
        <w:numPr>
          <w:ilvl w:val="0"/>
          <w:numId w:val="52"/>
        </w:numPr>
        <w:tabs>
          <w:tab w:val="left" w:pos="426"/>
        </w:tabs>
        <w:spacing w:line="240" w:lineRule="auto"/>
        <w:ind w:hanging="294"/>
        <w:jc w:val="both"/>
        <w:rPr>
          <w:rFonts w:cs="Arial"/>
          <w:szCs w:val="22"/>
        </w:rPr>
      </w:pPr>
      <w:r w:rsidRPr="005F15DA">
        <w:rPr>
          <w:rFonts w:cs="Arial"/>
          <w:szCs w:val="22"/>
        </w:rPr>
        <w:t>die Leitungen von ihren Abzweigungen von der gemeinschaftlichen Leitung an.</w:t>
      </w:r>
    </w:p>
    <w:p w:rsidR="00686ED6" w:rsidRPr="005F15DA" w:rsidRDefault="00686ED6" w:rsidP="008851FF">
      <w:pPr>
        <w:tabs>
          <w:tab w:val="left" w:pos="426"/>
        </w:tabs>
        <w:spacing w:line="240" w:lineRule="auto"/>
        <w:ind w:left="426" w:hanging="426"/>
        <w:jc w:val="both"/>
        <w:rPr>
          <w:rFonts w:cs="Arial"/>
          <w:szCs w:val="22"/>
        </w:rPr>
      </w:pPr>
    </w:p>
    <w:p w:rsidR="0087044E" w:rsidRPr="005F15DA" w:rsidRDefault="0087044E" w:rsidP="008851FF">
      <w:pPr>
        <w:tabs>
          <w:tab w:val="left" w:pos="426"/>
        </w:tabs>
        <w:spacing w:line="240" w:lineRule="auto"/>
        <w:ind w:left="426" w:hanging="426"/>
        <w:jc w:val="both"/>
        <w:rPr>
          <w:rFonts w:cs="Arial"/>
          <w:szCs w:val="22"/>
        </w:rPr>
      </w:pPr>
      <w:r w:rsidRPr="005F15DA">
        <w:rPr>
          <w:rFonts w:cs="Arial"/>
          <w:szCs w:val="22"/>
        </w:rPr>
        <w:tab/>
        <w:t xml:space="preserve">Im </w:t>
      </w:r>
      <w:r w:rsidRPr="005F15DA">
        <w:rPr>
          <w:rFonts w:cs="Arial"/>
          <w:b/>
          <w:szCs w:val="22"/>
        </w:rPr>
        <w:t>Reglement der Stockwerkeigentümer</w:t>
      </w:r>
      <w:r w:rsidRPr="005F15DA">
        <w:rPr>
          <w:rFonts w:cs="Arial"/>
          <w:szCs w:val="22"/>
        </w:rPr>
        <w:t xml:space="preserve"> können einzelne Räume (z.B. Waschküchen, Kellerabteile) oder Flächen (z.B. Parkplätze, Gartensitzplätze) als </w:t>
      </w:r>
      <w:r w:rsidRPr="005F15DA">
        <w:rPr>
          <w:rFonts w:cs="Arial"/>
          <w:b/>
          <w:szCs w:val="22"/>
        </w:rPr>
        <w:t>Sondernutzungsrecht</w:t>
      </w:r>
      <w:r w:rsidRPr="005F15DA">
        <w:rPr>
          <w:rFonts w:cs="Arial"/>
          <w:szCs w:val="22"/>
        </w:rPr>
        <w:t xml:space="preserve"> einzelnen Stockwerkeinheiten </w:t>
      </w:r>
      <w:r w:rsidRPr="005F15DA">
        <w:rPr>
          <w:rFonts w:cs="Arial"/>
          <w:b/>
          <w:szCs w:val="22"/>
        </w:rPr>
        <w:t>zugewiesen</w:t>
      </w:r>
      <w:r w:rsidRPr="005F15DA">
        <w:rPr>
          <w:rFonts w:cs="Arial"/>
          <w:szCs w:val="22"/>
        </w:rPr>
        <w:t xml:space="preserve"> werden.</w:t>
      </w:r>
    </w:p>
    <w:p w:rsidR="006D32F2" w:rsidRPr="005F15DA" w:rsidRDefault="00285A6D" w:rsidP="008851FF">
      <w:pPr>
        <w:tabs>
          <w:tab w:val="left" w:pos="426"/>
        </w:tabs>
        <w:spacing w:line="240" w:lineRule="auto"/>
        <w:ind w:left="426" w:hanging="426"/>
        <w:jc w:val="both"/>
        <w:rPr>
          <w:rFonts w:cs="Arial"/>
          <w:szCs w:val="22"/>
        </w:rPr>
      </w:pPr>
      <w:r w:rsidRPr="005F15DA">
        <w:rPr>
          <w:rFonts w:cs="Arial"/>
          <w:szCs w:val="22"/>
        </w:rPr>
        <w:lastRenderedPageBreak/>
        <w:tab/>
        <w:t>Alle Teile einer Liegenschaft (Boden und Gebäude), welche nicht als Sonderrechte def</w:t>
      </w:r>
      <w:r w:rsidRPr="005F15DA">
        <w:rPr>
          <w:rFonts w:cs="Arial"/>
          <w:szCs w:val="22"/>
        </w:rPr>
        <w:t>i</w:t>
      </w:r>
      <w:r w:rsidRPr="005F15DA">
        <w:rPr>
          <w:rFonts w:cs="Arial"/>
          <w:szCs w:val="22"/>
        </w:rPr>
        <w:t xml:space="preserve">niert wurden, sind </w:t>
      </w:r>
      <w:r w:rsidRPr="005F15DA">
        <w:rPr>
          <w:rFonts w:cs="Arial"/>
          <w:b/>
          <w:szCs w:val="22"/>
        </w:rPr>
        <w:t>gemeinschaftliche Teile</w:t>
      </w:r>
      <w:r w:rsidRPr="005F15DA">
        <w:rPr>
          <w:rFonts w:cs="Arial"/>
          <w:szCs w:val="22"/>
        </w:rPr>
        <w:t>, gehören also allen Stockwerkeigen</w:t>
      </w:r>
      <w:r w:rsidR="00706278" w:rsidRPr="005F15DA">
        <w:rPr>
          <w:rFonts w:cs="Arial"/>
          <w:szCs w:val="22"/>
        </w:rPr>
        <w:t>tümern und zwar zu Miteigentum entsprechend der Wertquoten.</w:t>
      </w:r>
    </w:p>
    <w:p w:rsidR="00686ED6" w:rsidRPr="005F15DA" w:rsidRDefault="00686ED6" w:rsidP="008851FF">
      <w:pPr>
        <w:tabs>
          <w:tab w:val="left" w:pos="426"/>
        </w:tabs>
        <w:spacing w:line="240" w:lineRule="auto"/>
        <w:jc w:val="both"/>
        <w:rPr>
          <w:rFonts w:cs="Arial"/>
          <w:szCs w:val="22"/>
        </w:rPr>
      </w:pPr>
      <w:r w:rsidRPr="005F15DA">
        <w:rPr>
          <w:rFonts w:cs="Arial"/>
          <w:szCs w:val="22"/>
        </w:rPr>
        <w:tab/>
        <w:t>Zu den gemeinschaftlichen Teilen gehören insbesondere:</w:t>
      </w:r>
    </w:p>
    <w:p w:rsidR="00686ED6" w:rsidRPr="005F15DA" w:rsidRDefault="00686ED6" w:rsidP="009D34F3">
      <w:pPr>
        <w:pStyle w:val="Listenabsatz"/>
        <w:numPr>
          <w:ilvl w:val="0"/>
          <w:numId w:val="53"/>
        </w:numPr>
        <w:tabs>
          <w:tab w:val="left" w:pos="426"/>
        </w:tabs>
        <w:spacing w:line="240" w:lineRule="auto"/>
        <w:ind w:hanging="294"/>
        <w:jc w:val="both"/>
        <w:rPr>
          <w:rFonts w:cs="Arial"/>
          <w:szCs w:val="22"/>
        </w:rPr>
      </w:pPr>
      <w:r w:rsidRPr="005F15DA">
        <w:rPr>
          <w:rFonts w:cs="Arial"/>
          <w:szCs w:val="22"/>
        </w:rPr>
        <w:t>der Grund und Boden der Liegenschaft,</w:t>
      </w:r>
    </w:p>
    <w:p w:rsidR="00686ED6" w:rsidRPr="005F15DA" w:rsidRDefault="00686ED6" w:rsidP="009D34F3">
      <w:pPr>
        <w:pStyle w:val="Listenabsatz"/>
        <w:numPr>
          <w:ilvl w:val="0"/>
          <w:numId w:val="53"/>
        </w:numPr>
        <w:tabs>
          <w:tab w:val="left" w:pos="426"/>
        </w:tabs>
        <w:spacing w:line="240" w:lineRule="auto"/>
        <w:ind w:hanging="294"/>
        <w:jc w:val="both"/>
        <w:rPr>
          <w:rFonts w:cs="Arial"/>
          <w:szCs w:val="22"/>
        </w:rPr>
      </w:pPr>
      <w:r w:rsidRPr="005F15DA">
        <w:rPr>
          <w:rFonts w:cs="Arial"/>
          <w:szCs w:val="22"/>
        </w:rPr>
        <w:t>die Bauteile, die für den Bestand, die konstruktive Gliederung und Festigkeit des G</w:t>
      </w:r>
      <w:r w:rsidRPr="005F15DA">
        <w:rPr>
          <w:rFonts w:cs="Arial"/>
          <w:szCs w:val="22"/>
        </w:rPr>
        <w:t>e</w:t>
      </w:r>
      <w:r w:rsidRPr="005F15DA">
        <w:rPr>
          <w:rFonts w:cs="Arial"/>
          <w:szCs w:val="22"/>
        </w:rPr>
        <w:t>bäudes oder der Räume anderer Stockwerkeigentümer von Bedeutung sind,</w:t>
      </w:r>
    </w:p>
    <w:p w:rsidR="00686ED6" w:rsidRPr="005F15DA" w:rsidRDefault="00686ED6" w:rsidP="009D34F3">
      <w:pPr>
        <w:pStyle w:val="Listenabsatz"/>
        <w:numPr>
          <w:ilvl w:val="0"/>
          <w:numId w:val="53"/>
        </w:numPr>
        <w:tabs>
          <w:tab w:val="left" w:pos="426"/>
        </w:tabs>
        <w:spacing w:line="240" w:lineRule="auto"/>
        <w:ind w:hanging="294"/>
        <w:jc w:val="both"/>
        <w:rPr>
          <w:rFonts w:cs="Arial"/>
          <w:szCs w:val="22"/>
        </w:rPr>
      </w:pPr>
      <w:r w:rsidRPr="005F15DA">
        <w:rPr>
          <w:rFonts w:cs="Arial"/>
          <w:szCs w:val="22"/>
        </w:rPr>
        <w:t>Teile, welche die äussere Gestalt und das Aussehen des Gebäudes bestimmen,</w:t>
      </w:r>
    </w:p>
    <w:p w:rsidR="00686ED6" w:rsidRPr="005F15DA" w:rsidRDefault="00686ED6" w:rsidP="009D34F3">
      <w:pPr>
        <w:pStyle w:val="Listenabsatz"/>
        <w:numPr>
          <w:ilvl w:val="0"/>
          <w:numId w:val="53"/>
        </w:numPr>
        <w:tabs>
          <w:tab w:val="left" w:pos="426"/>
        </w:tabs>
        <w:spacing w:line="240" w:lineRule="auto"/>
        <w:ind w:hanging="294"/>
        <w:jc w:val="both"/>
        <w:rPr>
          <w:rFonts w:cs="Arial"/>
          <w:szCs w:val="22"/>
        </w:rPr>
      </w:pPr>
      <w:r w:rsidRPr="005F15DA">
        <w:rPr>
          <w:rFonts w:cs="Arial"/>
          <w:szCs w:val="22"/>
        </w:rPr>
        <w:t>alle Anlagen und Einrichtungen, die auch anderen Stockwerkeigentümern oder mehr</w:t>
      </w:r>
      <w:r w:rsidRPr="005F15DA">
        <w:rPr>
          <w:rFonts w:cs="Arial"/>
          <w:szCs w:val="22"/>
        </w:rPr>
        <w:t>e</w:t>
      </w:r>
      <w:r w:rsidRPr="005F15DA">
        <w:rPr>
          <w:rFonts w:cs="Arial"/>
          <w:szCs w:val="22"/>
        </w:rPr>
        <w:t>ren von ihnen für die Benützung der Räume dienen, gleichgültig, ob sich diese inne</w:t>
      </w:r>
      <w:r w:rsidRPr="005F15DA">
        <w:rPr>
          <w:rFonts w:cs="Arial"/>
          <w:szCs w:val="22"/>
        </w:rPr>
        <w:t>r</w:t>
      </w:r>
      <w:r w:rsidRPr="005F15DA">
        <w:rPr>
          <w:rFonts w:cs="Arial"/>
          <w:szCs w:val="22"/>
        </w:rPr>
        <w:t>halb oder ausserhalb der Räume, an denen Sonderrecht besteht, befinden.</w:t>
      </w:r>
    </w:p>
    <w:p w:rsidR="00686ED6" w:rsidRPr="005F15DA" w:rsidRDefault="00686ED6" w:rsidP="009D34F3">
      <w:pPr>
        <w:pStyle w:val="Listenabsatz"/>
        <w:numPr>
          <w:ilvl w:val="0"/>
          <w:numId w:val="53"/>
        </w:numPr>
        <w:tabs>
          <w:tab w:val="left" w:pos="426"/>
        </w:tabs>
        <w:spacing w:line="240" w:lineRule="auto"/>
        <w:ind w:hanging="294"/>
        <w:jc w:val="both"/>
        <w:rPr>
          <w:rFonts w:cs="Arial"/>
          <w:szCs w:val="22"/>
        </w:rPr>
      </w:pPr>
      <w:r w:rsidRPr="005F15DA">
        <w:rPr>
          <w:rFonts w:cs="Arial"/>
          <w:szCs w:val="22"/>
        </w:rPr>
        <w:t>Gemeinschaftliche Räume sind üblicherweise:</w:t>
      </w:r>
    </w:p>
    <w:p w:rsidR="00686ED6" w:rsidRPr="005F15DA" w:rsidRDefault="00686ED6" w:rsidP="009D34F3">
      <w:pPr>
        <w:pStyle w:val="Listenabsatz"/>
        <w:numPr>
          <w:ilvl w:val="0"/>
          <w:numId w:val="53"/>
        </w:numPr>
        <w:tabs>
          <w:tab w:val="left" w:pos="426"/>
        </w:tabs>
        <w:spacing w:line="240" w:lineRule="auto"/>
        <w:ind w:hanging="294"/>
        <w:jc w:val="both"/>
        <w:rPr>
          <w:rFonts w:cs="Arial"/>
          <w:szCs w:val="22"/>
        </w:rPr>
      </w:pPr>
      <w:r w:rsidRPr="005F15DA">
        <w:rPr>
          <w:rFonts w:cs="Arial"/>
          <w:szCs w:val="22"/>
        </w:rPr>
        <w:t>Wasch- und Trockenräume, Bastelräume,</w:t>
      </w:r>
    </w:p>
    <w:p w:rsidR="00686ED6" w:rsidRPr="005F15DA" w:rsidRDefault="00686ED6" w:rsidP="009D34F3">
      <w:pPr>
        <w:pStyle w:val="Listenabsatz"/>
        <w:numPr>
          <w:ilvl w:val="0"/>
          <w:numId w:val="53"/>
        </w:numPr>
        <w:tabs>
          <w:tab w:val="left" w:pos="426"/>
        </w:tabs>
        <w:spacing w:line="240" w:lineRule="auto"/>
        <w:ind w:hanging="294"/>
        <w:jc w:val="both"/>
        <w:rPr>
          <w:rFonts w:cs="Arial"/>
          <w:szCs w:val="22"/>
        </w:rPr>
      </w:pPr>
      <w:r w:rsidRPr="005F15DA">
        <w:rPr>
          <w:rFonts w:cs="Arial"/>
          <w:szCs w:val="22"/>
        </w:rPr>
        <w:t>Autoeinstellhalle, Abstellplätze für Velos und dergleichen,</w:t>
      </w:r>
    </w:p>
    <w:p w:rsidR="00686ED6" w:rsidRPr="005F15DA" w:rsidRDefault="00686ED6" w:rsidP="009D34F3">
      <w:pPr>
        <w:pStyle w:val="Listenabsatz"/>
        <w:numPr>
          <w:ilvl w:val="0"/>
          <w:numId w:val="53"/>
        </w:numPr>
        <w:tabs>
          <w:tab w:val="left" w:pos="426"/>
        </w:tabs>
        <w:spacing w:line="240" w:lineRule="auto"/>
        <w:ind w:hanging="294"/>
        <w:jc w:val="both"/>
        <w:rPr>
          <w:rFonts w:cs="Arial"/>
          <w:szCs w:val="22"/>
        </w:rPr>
      </w:pPr>
      <w:r w:rsidRPr="005F15DA">
        <w:rPr>
          <w:rFonts w:cs="Arial"/>
          <w:szCs w:val="22"/>
        </w:rPr>
        <w:t>Kinderspielplätze</w:t>
      </w:r>
      <w:r w:rsidR="00706278" w:rsidRPr="005F15DA">
        <w:rPr>
          <w:rFonts w:cs="Arial"/>
          <w:szCs w:val="22"/>
        </w:rPr>
        <w:t>,</w:t>
      </w:r>
    </w:p>
    <w:p w:rsidR="00706278" w:rsidRPr="005F15DA" w:rsidRDefault="00FA6DFA" w:rsidP="009D34F3">
      <w:pPr>
        <w:pStyle w:val="Listenabsatz"/>
        <w:numPr>
          <w:ilvl w:val="0"/>
          <w:numId w:val="53"/>
        </w:numPr>
        <w:tabs>
          <w:tab w:val="left" w:pos="426"/>
        </w:tabs>
        <w:spacing w:line="240" w:lineRule="auto"/>
        <w:ind w:hanging="294"/>
        <w:jc w:val="both"/>
        <w:rPr>
          <w:rFonts w:cs="Arial"/>
          <w:szCs w:val="22"/>
        </w:rPr>
      </w:pPr>
      <w:r w:rsidRPr="005F15DA">
        <w:rPr>
          <w:rFonts w:cs="Arial"/>
          <w:szCs w:val="22"/>
        </w:rPr>
        <w:t>Abwart Wohnung</w:t>
      </w:r>
      <w:r w:rsidR="00706278" w:rsidRPr="005F15DA">
        <w:rPr>
          <w:rFonts w:cs="Arial"/>
          <w:szCs w:val="22"/>
        </w:rPr>
        <w:t>.</w:t>
      </w:r>
    </w:p>
    <w:p w:rsidR="00706278" w:rsidRPr="005F15DA" w:rsidRDefault="00706278" w:rsidP="009D34F3">
      <w:pPr>
        <w:pStyle w:val="Listenabsatz"/>
        <w:numPr>
          <w:ilvl w:val="0"/>
          <w:numId w:val="53"/>
        </w:numPr>
        <w:tabs>
          <w:tab w:val="left" w:pos="426"/>
        </w:tabs>
        <w:spacing w:line="240" w:lineRule="auto"/>
        <w:ind w:hanging="294"/>
        <w:jc w:val="both"/>
        <w:rPr>
          <w:rFonts w:cs="Arial"/>
          <w:szCs w:val="22"/>
        </w:rPr>
      </w:pPr>
      <w:r w:rsidRPr="005F15DA">
        <w:rPr>
          <w:rFonts w:cs="Arial"/>
          <w:szCs w:val="22"/>
        </w:rPr>
        <w:t>Zudem sind gemeinsam:</w:t>
      </w:r>
    </w:p>
    <w:p w:rsidR="00706278" w:rsidRPr="005F15DA" w:rsidRDefault="00706278" w:rsidP="009D34F3">
      <w:pPr>
        <w:pStyle w:val="Listenabsatz"/>
        <w:numPr>
          <w:ilvl w:val="0"/>
          <w:numId w:val="53"/>
        </w:numPr>
        <w:tabs>
          <w:tab w:val="left" w:pos="426"/>
        </w:tabs>
        <w:spacing w:line="240" w:lineRule="auto"/>
        <w:ind w:hanging="294"/>
        <w:jc w:val="both"/>
        <w:rPr>
          <w:rFonts w:cs="Arial"/>
          <w:szCs w:val="22"/>
        </w:rPr>
      </w:pPr>
      <w:r w:rsidRPr="005F15DA">
        <w:rPr>
          <w:rFonts w:cs="Arial"/>
          <w:szCs w:val="22"/>
        </w:rPr>
        <w:t>die für die Verwaltung der Liegenschaft gemachten Rückstellungen,</w:t>
      </w:r>
    </w:p>
    <w:p w:rsidR="00706278" w:rsidRPr="005F15DA" w:rsidRDefault="00706278" w:rsidP="009D34F3">
      <w:pPr>
        <w:pStyle w:val="Listenabsatz"/>
        <w:numPr>
          <w:ilvl w:val="0"/>
          <w:numId w:val="53"/>
        </w:numPr>
        <w:tabs>
          <w:tab w:val="left" w:pos="426"/>
        </w:tabs>
        <w:spacing w:line="240" w:lineRule="auto"/>
        <w:ind w:hanging="294"/>
        <w:jc w:val="both"/>
        <w:rPr>
          <w:rFonts w:cs="Arial"/>
          <w:szCs w:val="22"/>
        </w:rPr>
      </w:pPr>
      <w:r w:rsidRPr="005F15DA">
        <w:rPr>
          <w:rFonts w:cs="Arial"/>
          <w:szCs w:val="22"/>
        </w:rPr>
        <w:t>die durch den Verwalter gemachten Anschaffungen für Heizmaterial usw.,</w:t>
      </w:r>
    </w:p>
    <w:p w:rsidR="00706278" w:rsidRPr="005F15DA" w:rsidRDefault="00706278" w:rsidP="009D34F3">
      <w:pPr>
        <w:pStyle w:val="Listenabsatz"/>
        <w:numPr>
          <w:ilvl w:val="0"/>
          <w:numId w:val="53"/>
        </w:numPr>
        <w:tabs>
          <w:tab w:val="left" w:pos="426"/>
        </w:tabs>
        <w:spacing w:line="240" w:lineRule="auto"/>
        <w:ind w:hanging="294"/>
        <w:jc w:val="both"/>
        <w:rPr>
          <w:rFonts w:cs="Arial"/>
          <w:szCs w:val="22"/>
        </w:rPr>
      </w:pPr>
      <w:r w:rsidRPr="005F15DA">
        <w:rPr>
          <w:rFonts w:cs="Arial"/>
          <w:szCs w:val="22"/>
        </w:rPr>
        <w:t>die Apparate und Gerätschaften für Reinigung und Unterhalt der gemeinschaftlichen Teile.</w:t>
      </w:r>
    </w:p>
    <w:p w:rsidR="006D32F2" w:rsidRPr="005F15DA" w:rsidRDefault="006D32F2" w:rsidP="008851FF">
      <w:pPr>
        <w:tabs>
          <w:tab w:val="left" w:pos="426"/>
        </w:tabs>
        <w:spacing w:line="240" w:lineRule="auto"/>
        <w:jc w:val="both"/>
        <w:rPr>
          <w:rFonts w:cs="Arial"/>
          <w:szCs w:val="22"/>
        </w:rPr>
      </w:pPr>
    </w:p>
    <w:p w:rsidR="00706278" w:rsidRPr="005F15DA" w:rsidRDefault="00706278" w:rsidP="008851FF">
      <w:pPr>
        <w:tabs>
          <w:tab w:val="left" w:pos="426"/>
        </w:tabs>
        <w:spacing w:line="240" w:lineRule="auto"/>
        <w:ind w:left="426" w:hanging="426"/>
        <w:jc w:val="both"/>
        <w:rPr>
          <w:rFonts w:cs="Arial"/>
          <w:szCs w:val="22"/>
        </w:rPr>
      </w:pPr>
      <w:r w:rsidRPr="005F15DA">
        <w:rPr>
          <w:rFonts w:cs="Arial"/>
          <w:szCs w:val="22"/>
        </w:rPr>
        <w:tab/>
        <w:t xml:space="preserve">In der Begründungsurkunde müssen die </w:t>
      </w:r>
      <w:r w:rsidRPr="005F15DA">
        <w:rPr>
          <w:rFonts w:cs="Arial"/>
          <w:b/>
          <w:szCs w:val="22"/>
        </w:rPr>
        <w:t>Wertquoten</w:t>
      </w:r>
      <w:r w:rsidRPr="005F15DA">
        <w:rPr>
          <w:rFonts w:cs="Arial"/>
          <w:szCs w:val="22"/>
        </w:rPr>
        <w:t xml:space="preserve"> für jede Stockwerkeinheit in </w:t>
      </w:r>
      <w:r w:rsidRPr="005F15DA">
        <w:rPr>
          <w:rFonts w:cs="Arial"/>
          <w:b/>
          <w:szCs w:val="22"/>
        </w:rPr>
        <w:t>Bruc</w:t>
      </w:r>
      <w:r w:rsidRPr="005F15DA">
        <w:rPr>
          <w:rFonts w:cs="Arial"/>
          <w:b/>
          <w:szCs w:val="22"/>
        </w:rPr>
        <w:t>h</w:t>
      </w:r>
      <w:r w:rsidRPr="005F15DA">
        <w:rPr>
          <w:rFonts w:cs="Arial"/>
          <w:b/>
          <w:szCs w:val="22"/>
        </w:rPr>
        <w:t>teilen mit einem gemeinsamen Nenner</w:t>
      </w:r>
      <w:r w:rsidRPr="005F15DA">
        <w:rPr>
          <w:rFonts w:cs="Arial"/>
          <w:szCs w:val="22"/>
        </w:rPr>
        <w:t xml:space="preserve"> definiert werden (z.B. 3 Einheiten, jede zu 1/3 Miteigentum).</w:t>
      </w:r>
      <w:r w:rsidR="00C809B1" w:rsidRPr="005F15DA">
        <w:rPr>
          <w:rFonts w:cs="Arial"/>
          <w:szCs w:val="22"/>
        </w:rPr>
        <w:t xml:space="preserve"> Jeder einzelne Stockwerkeigentümer ist also Miteigentümer des gesamten Grundstückes und zwar entsprechend seiner Wertquote; er hat das ausschliessliche Recht auf die in seinem Sonderrecht stehende Stockwerkeinheit.</w:t>
      </w:r>
    </w:p>
    <w:p w:rsidR="00C809B1" w:rsidRPr="005F15DA" w:rsidRDefault="00C809B1" w:rsidP="008851FF">
      <w:pPr>
        <w:tabs>
          <w:tab w:val="left" w:pos="426"/>
        </w:tabs>
        <w:spacing w:line="240" w:lineRule="auto"/>
        <w:jc w:val="both"/>
        <w:rPr>
          <w:rFonts w:cs="Arial"/>
          <w:szCs w:val="22"/>
        </w:rPr>
      </w:pPr>
    </w:p>
    <w:p w:rsidR="00C809B1" w:rsidRPr="005F15DA" w:rsidRDefault="00C809B1" w:rsidP="008851FF">
      <w:pPr>
        <w:tabs>
          <w:tab w:val="left" w:pos="426"/>
        </w:tabs>
        <w:spacing w:line="240" w:lineRule="auto"/>
        <w:ind w:left="426" w:hanging="426"/>
        <w:jc w:val="both"/>
        <w:rPr>
          <w:rFonts w:cs="Arial"/>
          <w:szCs w:val="22"/>
        </w:rPr>
      </w:pPr>
      <w:r w:rsidRPr="005F15DA">
        <w:rPr>
          <w:rFonts w:cs="Arial"/>
          <w:szCs w:val="22"/>
        </w:rPr>
        <w:tab/>
        <w:t>Änderungen der Wertquote</w:t>
      </w:r>
      <w:r w:rsidR="00AC06C7" w:rsidRPr="005F15DA">
        <w:rPr>
          <w:rFonts w:cs="Arial"/>
          <w:szCs w:val="22"/>
        </w:rPr>
        <w:t>n</w:t>
      </w:r>
      <w:r w:rsidRPr="005F15DA">
        <w:rPr>
          <w:rFonts w:cs="Arial"/>
          <w:szCs w:val="22"/>
        </w:rPr>
        <w:t xml:space="preserve"> müssen von der Stockwerkeigentümerversammlung </w:t>
      </w:r>
      <w:r w:rsidR="003B01CE" w:rsidRPr="005F15DA">
        <w:rPr>
          <w:rFonts w:cs="Arial"/>
          <w:szCs w:val="22"/>
        </w:rPr>
        <w:t>(norm</w:t>
      </w:r>
      <w:r w:rsidR="003B01CE" w:rsidRPr="005F15DA">
        <w:rPr>
          <w:rFonts w:cs="Arial"/>
          <w:szCs w:val="22"/>
        </w:rPr>
        <w:t>a</w:t>
      </w:r>
      <w:r w:rsidR="003B01CE" w:rsidRPr="005F15DA">
        <w:rPr>
          <w:rFonts w:cs="Arial"/>
          <w:szCs w:val="22"/>
        </w:rPr>
        <w:t xml:space="preserve">le Versammlung ohne qualifiziertes Mehr) </w:t>
      </w:r>
      <w:r w:rsidR="00AC06C7" w:rsidRPr="005F15DA">
        <w:rPr>
          <w:rFonts w:cs="Arial"/>
          <w:szCs w:val="22"/>
        </w:rPr>
        <w:t>und von den unmittelbar betroffenen Stockwe</w:t>
      </w:r>
      <w:r w:rsidR="00AC06C7" w:rsidRPr="005F15DA">
        <w:rPr>
          <w:rFonts w:cs="Arial"/>
          <w:szCs w:val="22"/>
        </w:rPr>
        <w:t>r</w:t>
      </w:r>
      <w:r w:rsidR="00AC06C7" w:rsidRPr="005F15DA">
        <w:rPr>
          <w:rFonts w:cs="Arial"/>
          <w:szCs w:val="22"/>
        </w:rPr>
        <w:t>keigentümern beschlossen werden.</w:t>
      </w:r>
    </w:p>
    <w:p w:rsidR="00AC06C7" w:rsidRPr="005F15DA" w:rsidRDefault="00AC06C7" w:rsidP="008851FF">
      <w:pPr>
        <w:tabs>
          <w:tab w:val="left" w:pos="426"/>
        </w:tabs>
        <w:spacing w:line="240" w:lineRule="auto"/>
        <w:jc w:val="both"/>
        <w:rPr>
          <w:rFonts w:cs="Arial"/>
          <w:szCs w:val="22"/>
        </w:rPr>
      </w:pPr>
    </w:p>
    <w:p w:rsidR="00AC06C7" w:rsidRPr="005F15DA" w:rsidRDefault="00AC06C7" w:rsidP="008851FF">
      <w:pPr>
        <w:tabs>
          <w:tab w:val="left" w:pos="426"/>
        </w:tabs>
        <w:spacing w:line="240" w:lineRule="auto"/>
        <w:jc w:val="both"/>
        <w:rPr>
          <w:rFonts w:cs="Arial"/>
          <w:szCs w:val="22"/>
        </w:rPr>
      </w:pPr>
    </w:p>
    <w:p w:rsidR="00AC06C7" w:rsidRPr="005F15DA" w:rsidRDefault="00264316" w:rsidP="00264316">
      <w:pPr>
        <w:pStyle w:val="berschrift4"/>
      </w:pPr>
      <w:r w:rsidRPr="005F15DA">
        <w:t>5.</w:t>
      </w:r>
      <w:r w:rsidRPr="005F15DA">
        <w:tab/>
      </w:r>
      <w:r w:rsidR="00AC06C7" w:rsidRPr="005F15DA">
        <w:t>Untergang</w:t>
      </w:r>
    </w:p>
    <w:p w:rsidR="00AC06C7" w:rsidRPr="005F15DA" w:rsidRDefault="00AC06C7" w:rsidP="008851FF">
      <w:pPr>
        <w:tabs>
          <w:tab w:val="left" w:pos="426"/>
        </w:tabs>
        <w:spacing w:line="240" w:lineRule="auto"/>
        <w:ind w:left="426" w:hanging="426"/>
        <w:jc w:val="both"/>
        <w:rPr>
          <w:rFonts w:cs="Arial"/>
          <w:szCs w:val="22"/>
        </w:rPr>
      </w:pPr>
      <w:r w:rsidRPr="005F15DA">
        <w:rPr>
          <w:rFonts w:cs="Arial"/>
          <w:szCs w:val="22"/>
        </w:rPr>
        <w:tab/>
        <w:t>Das Stockwerkeigentum endigt mit dem Untergang der Liegenschaft oder des Baurec</w:t>
      </w:r>
      <w:r w:rsidRPr="005F15DA">
        <w:rPr>
          <w:rFonts w:cs="Arial"/>
          <w:szCs w:val="22"/>
        </w:rPr>
        <w:t>h</w:t>
      </w:r>
      <w:r w:rsidRPr="005F15DA">
        <w:rPr>
          <w:rFonts w:cs="Arial"/>
          <w:szCs w:val="22"/>
        </w:rPr>
        <w:t>tes un</w:t>
      </w:r>
      <w:r w:rsidR="003B01CE" w:rsidRPr="005F15DA">
        <w:rPr>
          <w:rFonts w:cs="Arial"/>
          <w:szCs w:val="22"/>
        </w:rPr>
        <w:t>d mit der Löschung im Grundbuch (Art. 712</w:t>
      </w:r>
      <w:r w:rsidR="008F6147" w:rsidRPr="005F15DA">
        <w:rPr>
          <w:rFonts w:cs="Arial"/>
          <w:szCs w:val="22"/>
        </w:rPr>
        <w:t xml:space="preserve"> </w:t>
      </w:r>
      <w:r w:rsidR="003B01CE" w:rsidRPr="005F15DA">
        <w:rPr>
          <w:rFonts w:cs="Arial"/>
          <w:szCs w:val="22"/>
        </w:rPr>
        <w:t>f ZGB).</w:t>
      </w:r>
    </w:p>
    <w:p w:rsidR="003B01CE" w:rsidRPr="005F15DA" w:rsidRDefault="003B01CE" w:rsidP="008851FF">
      <w:pPr>
        <w:tabs>
          <w:tab w:val="left" w:pos="426"/>
        </w:tabs>
        <w:spacing w:line="240" w:lineRule="auto"/>
        <w:jc w:val="both"/>
        <w:rPr>
          <w:rFonts w:cs="Arial"/>
          <w:szCs w:val="22"/>
        </w:rPr>
      </w:pPr>
    </w:p>
    <w:p w:rsidR="003B01CE" w:rsidRPr="005F15DA" w:rsidRDefault="003B01CE" w:rsidP="008851FF">
      <w:pPr>
        <w:tabs>
          <w:tab w:val="left" w:pos="426"/>
        </w:tabs>
        <w:spacing w:line="240" w:lineRule="auto"/>
        <w:ind w:left="426" w:hanging="426"/>
        <w:jc w:val="both"/>
        <w:rPr>
          <w:rFonts w:cs="Arial"/>
          <w:szCs w:val="22"/>
        </w:rPr>
      </w:pPr>
      <w:r w:rsidRPr="005F15DA">
        <w:rPr>
          <w:rFonts w:cs="Arial"/>
          <w:szCs w:val="22"/>
        </w:rPr>
        <w:tab/>
        <w:t>Die Löschung im Grundbuch erfolgt normalerweise aufgrund einer Aufhebungsvereinb</w:t>
      </w:r>
      <w:r w:rsidRPr="005F15DA">
        <w:rPr>
          <w:rFonts w:cs="Arial"/>
          <w:szCs w:val="22"/>
        </w:rPr>
        <w:t>a</w:t>
      </w:r>
      <w:r w:rsidRPr="005F15DA">
        <w:rPr>
          <w:rFonts w:cs="Arial"/>
          <w:szCs w:val="22"/>
        </w:rPr>
        <w:t xml:space="preserve">rung. Die an den einzelnen Stockwerkeinheiten bestehenden dinglichen Rechte </w:t>
      </w:r>
      <w:r w:rsidR="00345AAB" w:rsidRPr="005F15DA">
        <w:rPr>
          <w:rFonts w:cs="Arial"/>
          <w:szCs w:val="22"/>
        </w:rPr>
        <w:t>(Diens</w:t>
      </w:r>
      <w:r w:rsidR="00345AAB" w:rsidRPr="005F15DA">
        <w:rPr>
          <w:rFonts w:cs="Arial"/>
          <w:szCs w:val="22"/>
        </w:rPr>
        <w:t>t</w:t>
      </w:r>
      <w:r w:rsidR="00345AAB" w:rsidRPr="005F15DA">
        <w:rPr>
          <w:rFonts w:cs="Arial"/>
          <w:szCs w:val="22"/>
        </w:rPr>
        <w:t xml:space="preserve">barkeiten, Grundpfandrechte usw.) </w:t>
      </w:r>
      <w:r w:rsidRPr="005F15DA">
        <w:rPr>
          <w:rFonts w:cs="Arial"/>
          <w:szCs w:val="22"/>
        </w:rPr>
        <w:t>müssen bereinigt werden, d.h. entweder auf das Hauptblatt übertragen oder mit Zustimmung der Berechtigten gelöscht werden.</w:t>
      </w:r>
    </w:p>
    <w:p w:rsidR="006D32F2" w:rsidRPr="005F15DA" w:rsidRDefault="006D32F2" w:rsidP="008851FF">
      <w:pPr>
        <w:tabs>
          <w:tab w:val="left" w:pos="426"/>
        </w:tabs>
        <w:spacing w:line="240" w:lineRule="auto"/>
        <w:jc w:val="both"/>
        <w:rPr>
          <w:rFonts w:cs="Arial"/>
          <w:szCs w:val="22"/>
        </w:rPr>
      </w:pPr>
    </w:p>
    <w:p w:rsidR="003B01CE" w:rsidRPr="005F15DA" w:rsidRDefault="003B01CE" w:rsidP="008851FF">
      <w:pPr>
        <w:tabs>
          <w:tab w:val="left" w:pos="426"/>
        </w:tabs>
        <w:spacing w:line="240" w:lineRule="auto"/>
        <w:jc w:val="both"/>
        <w:rPr>
          <w:rFonts w:cs="Arial"/>
          <w:szCs w:val="22"/>
        </w:rPr>
      </w:pPr>
    </w:p>
    <w:p w:rsidR="003B01CE" w:rsidRPr="005F15DA" w:rsidRDefault="003B01CE" w:rsidP="00264316">
      <w:pPr>
        <w:pStyle w:val="berschrift4"/>
      </w:pPr>
      <w:r w:rsidRPr="005F15DA">
        <w:t>6.</w:t>
      </w:r>
      <w:r w:rsidRPr="005F15DA">
        <w:tab/>
        <w:t>Verwaltung und Benutzung (Art. 712</w:t>
      </w:r>
      <w:r w:rsidR="008F6147" w:rsidRPr="005F15DA">
        <w:t xml:space="preserve"> </w:t>
      </w:r>
      <w:r w:rsidRPr="005F15DA">
        <w:t>g ZGB)</w:t>
      </w:r>
    </w:p>
    <w:p w:rsidR="003B01CE" w:rsidRPr="005F15DA" w:rsidRDefault="003B01CE" w:rsidP="008851FF">
      <w:pPr>
        <w:tabs>
          <w:tab w:val="left" w:pos="426"/>
        </w:tabs>
        <w:spacing w:line="240" w:lineRule="auto"/>
        <w:ind w:left="426" w:hanging="426"/>
        <w:jc w:val="both"/>
        <w:rPr>
          <w:rFonts w:cs="Arial"/>
          <w:szCs w:val="22"/>
        </w:rPr>
      </w:pPr>
      <w:r w:rsidRPr="005F15DA">
        <w:rPr>
          <w:rFonts w:cs="Arial"/>
          <w:szCs w:val="22"/>
        </w:rPr>
        <w:tab/>
        <w:t>Grundsätzlich gelten für die Verwaltung und die Vornahme von baulichen Massnahmen die Bestimmungen über das Miteigentum.</w:t>
      </w:r>
    </w:p>
    <w:p w:rsidR="003B01CE" w:rsidRPr="005F15DA" w:rsidRDefault="003B01CE" w:rsidP="008851FF">
      <w:pPr>
        <w:tabs>
          <w:tab w:val="left" w:pos="426"/>
        </w:tabs>
        <w:spacing w:line="240" w:lineRule="auto"/>
        <w:jc w:val="both"/>
        <w:rPr>
          <w:rFonts w:cs="Arial"/>
          <w:szCs w:val="22"/>
        </w:rPr>
      </w:pPr>
    </w:p>
    <w:p w:rsidR="003B01CE" w:rsidRPr="005F15DA" w:rsidRDefault="00246696" w:rsidP="008851FF">
      <w:pPr>
        <w:tabs>
          <w:tab w:val="left" w:pos="426"/>
        </w:tabs>
        <w:spacing w:line="240" w:lineRule="auto"/>
        <w:ind w:left="426" w:hanging="426"/>
        <w:jc w:val="both"/>
        <w:rPr>
          <w:rFonts w:cs="Arial"/>
          <w:szCs w:val="22"/>
        </w:rPr>
      </w:pPr>
      <w:r w:rsidRPr="005F15DA">
        <w:rPr>
          <w:rFonts w:cs="Arial"/>
          <w:szCs w:val="22"/>
        </w:rPr>
        <w:tab/>
        <w:t>Sehr häufig wird bereits bei der Begründung von Stockwerkeigentum ein Reglement für die Verwaltung und Benutzung aufgestellt und im Grundbuch angemerkt. Fehlt ein Re</w:t>
      </w:r>
      <w:r w:rsidRPr="005F15DA">
        <w:rPr>
          <w:rFonts w:cs="Arial"/>
          <w:szCs w:val="22"/>
        </w:rPr>
        <w:t>g</w:t>
      </w:r>
      <w:r w:rsidRPr="005F15DA">
        <w:rPr>
          <w:rFonts w:cs="Arial"/>
          <w:szCs w:val="22"/>
        </w:rPr>
        <w:t>lement, kann jeder Stockwerkeigentümer zu einem späteren Zeitpunkt ein solches ve</w:t>
      </w:r>
      <w:r w:rsidRPr="005F15DA">
        <w:rPr>
          <w:rFonts w:cs="Arial"/>
          <w:szCs w:val="22"/>
        </w:rPr>
        <w:t>r</w:t>
      </w:r>
      <w:r w:rsidRPr="005F15DA">
        <w:rPr>
          <w:rFonts w:cs="Arial"/>
          <w:szCs w:val="22"/>
        </w:rPr>
        <w:t>langen.</w:t>
      </w:r>
    </w:p>
    <w:p w:rsidR="00246696" w:rsidRPr="005F15DA" w:rsidRDefault="00246696" w:rsidP="008851FF">
      <w:pPr>
        <w:tabs>
          <w:tab w:val="left" w:pos="426"/>
        </w:tabs>
        <w:spacing w:line="240" w:lineRule="auto"/>
        <w:jc w:val="both"/>
        <w:rPr>
          <w:rFonts w:cs="Arial"/>
          <w:szCs w:val="22"/>
        </w:rPr>
      </w:pPr>
    </w:p>
    <w:p w:rsidR="00246696" w:rsidRPr="005F15DA" w:rsidRDefault="00246696" w:rsidP="008851FF">
      <w:pPr>
        <w:tabs>
          <w:tab w:val="left" w:pos="426"/>
        </w:tabs>
        <w:spacing w:line="240" w:lineRule="auto"/>
        <w:ind w:left="426" w:hanging="426"/>
        <w:jc w:val="both"/>
        <w:rPr>
          <w:rFonts w:cs="Arial"/>
          <w:szCs w:val="22"/>
        </w:rPr>
      </w:pPr>
      <w:r w:rsidRPr="005F15DA">
        <w:rPr>
          <w:rFonts w:cs="Arial"/>
          <w:szCs w:val="22"/>
        </w:rPr>
        <w:lastRenderedPageBreak/>
        <w:tab/>
        <w:t xml:space="preserve">Der nachträgliche Erlass und die Änderung eines </w:t>
      </w:r>
      <w:r w:rsidR="002C3802" w:rsidRPr="005F15DA">
        <w:rPr>
          <w:rFonts w:cs="Arial"/>
          <w:szCs w:val="22"/>
        </w:rPr>
        <w:t>Reglements</w:t>
      </w:r>
      <w:r w:rsidRPr="005F15DA">
        <w:rPr>
          <w:rFonts w:cs="Arial"/>
          <w:szCs w:val="22"/>
        </w:rPr>
        <w:t xml:space="preserve"> der Stockwerkeigentüme</w:t>
      </w:r>
      <w:r w:rsidRPr="005F15DA">
        <w:rPr>
          <w:rFonts w:cs="Arial"/>
          <w:szCs w:val="22"/>
        </w:rPr>
        <w:t>r</w:t>
      </w:r>
      <w:r w:rsidRPr="005F15DA">
        <w:rPr>
          <w:rFonts w:cs="Arial"/>
          <w:szCs w:val="22"/>
        </w:rPr>
        <w:t>gemeinschaft erfolgt durch Beschluss der Mehrheit der Stockwerkeigentümer, welche z</w:t>
      </w:r>
      <w:r w:rsidRPr="005F15DA">
        <w:rPr>
          <w:rFonts w:cs="Arial"/>
          <w:szCs w:val="22"/>
        </w:rPr>
        <w:t>u</w:t>
      </w:r>
      <w:r w:rsidRPr="005F15DA">
        <w:rPr>
          <w:rFonts w:cs="Arial"/>
          <w:szCs w:val="22"/>
        </w:rPr>
        <w:t>gleich zu mehr als der Hälfte anteilsberechtigt sind.</w:t>
      </w:r>
    </w:p>
    <w:p w:rsidR="00246696" w:rsidRPr="005F15DA" w:rsidRDefault="00246696" w:rsidP="008851FF">
      <w:pPr>
        <w:tabs>
          <w:tab w:val="left" w:pos="426"/>
        </w:tabs>
        <w:spacing w:line="240" w:lineRule="auto"/>
        <w:jc w:val="both"/>
        <w:rPr>
          <w:rFonts w:cs="Arial"/>
          <w:szCs w:val="22"/>
        </w:rPr>
      </w:pPr>
    </w:p>
    <w:p w:rsidR="00246696" w:rsidRPr="005F15DA" w:rsidRDefault="00246696" w:rsidP="008851FF">
      <w:pPr>
        <w:tabs>
          <w:tab w:val="left" w:pos="426"/>
        </w:tabs>
        <w:spacing w:line="240" w:lineRule="auto"/>
        <w:ind w:left="426" w:hanging="426"/>
        <w:jc w:val="both"/>
        <w:rPr>
          <w:rFonts w:cs="Arial"/>
          <w:szCs w:val="22"/>
        </w:rPr>
      </w:pPr>
      <w:r w:rsidRPr="005F15DA">
        <w:rPr>
          <w:rFonts w:cs="Arial"/>
          <w:szCs w:val="22"/>
        </w:rPr>
        <w:tab/>
        <w:t>Sollen im Reglement Sondernutzungsrechte geändert werden, müssen die betroffenen Stockwerkeigentümer der Änderung zustimmen.</w:t>
      </w:r>
    </w:p>
    <w:p w:rsidR="00246696" w:rsidRPr="005F15DA" w:rsidRDefault="00246696" w:rsidP="008851FF">
      <w:pPr>
        <w:tabs>
          <w:tab w:val="left" w:pos="426"/>
        </w:tabs>
        <w:spacing w:line="240" w:lineRule="auto"/>
        <w:jc w:val="both"/>
        <w:rPr>
          <w:rFonts w:cs="Arial"/>
          <w:szCs w:val="22"/>
        </w:rPr>
      </w:pPr>
    </w:p>
    <w:p w:rsidR="00246696" w:rsidRPr="005F15DA" w:rsidRDefault="00246696" w:rsidP="008851FF">
      <w:pPr>
        <w:tabs>
          <w:tab w:val="left" w:pos="426"/>
        </w:tabs>
        <w:spacing w:line="240" w:lineRule="auto"/>
        <w:jc w:val="both"/>
        <w:rPr>
          <w:rFonts w:cs="Arial"/>
          <w:szCs w:val="22"/>
        </w:rPr>
      </w:pPr>
    </w:p>
    <w:p w:rsidR="00246696" w:rsidRPr="005F15DA" w:rsidRDefault="00246696" w:rsidP="00264316">
      <w:pPr>
        <w:pStyle w:val="berschrift4"/>
      </w:pPr>
      <w:r w:rsidRPr="005F15DA">
        <w:t>7.</w:t>
      </w:r>
      <w:r w:rsidRPr="005F15DA">
        <w:tab/>
        <w:t xml:space="preserve">Gemeinschaftliche Kosten und Lasten </w:t>
      </w:r>
    </w:p>
    <w:p w:rsidR="00246696" w:rsidRPr="005F15DA" w:rsidRDefault="00295D7B" w:rsidP="008851FF">
      <w:pPr>
        <w:tabs>
          <w:tab w:val="left" w:pos="426"/>
        </w:tabs>
        <w:spacing w:line="240" w:lineRule="auto"/>
        <w:ind w:left="426" w:hanging="426"/>
        <w:jc w:val="both"/>
        <w:rPr>
          <w:rFonts w:cs="Arial"/>
          <w:szCs w:val="22"/>
        </w:rPr>
      </w:pPr>
      <w:r w:rsidRPr="005F15DA">
        <w:rPr>
          <w:rFonts w:cs="Arial"/>
          <w:szCs w:val="22"/>
        </w:rPr>
        <w:tab/>
        <w:t>Die gemeinschaftlichen Lasten und Kosten (Unterhalt, Reparaturen, Erneuerungen, Ve</w:t>
      </w:r>
      <w:r w:rsidRPr="005F15DA">
        <w:rPr>
          <w:rFonts w:cs="Arial"/>
          <w:szCs w:val="22"/>
        </w:rPr>
        <w:t>r</w:t>
      </w:r>
      <w:r w:rsidRPr="005F15DA">
        <w:rPr>
          <w:rFonts w:cs="Arial"/>
          <w:szCs w:val="22"/>
        </w:rPr>
        <w:t>waltung, öffentlich-rechtliche Beiträge, Steuern, Versicherungen, Baurechtszinse, usw.) sind von den einzelnen Stockwerkeigentümern entsprechend ihrer Wertquoten zu beza</w:t>
      </w:r>
      <w:r w:rsidRPr="005F15DA">
        <w:rPr>
          <w:rFonts w:cs="Arial"/>
          <w:szCs w:val="22"/>
        </w:rPr>
        <w:t>h</w:t>
      </w:r>
      <w:r w:rsidRPr="005F15DA">
        <w:rPr>
          <w:rFonts w:cs="Arial"/>
          <w:szCs w:val="22"/>
        </w:rPr>
        <w:t>len (Art. 712</w:t>
      </w:r>
      <w:r w:rsidR="008F6147" w:rsidRPr="005F15DA">
        <w:rPr>
          <w:rFonts w:cs="Arial"/>
          <w:szCs w:val="22"/>
        </w:rPr>
        <w:t xml:space="preserve"> </w:t>
      </w:r>
      <w:r w:rsidRPr="005F15DA">
        <w:rPr>
          <w:rFonts w:cs="Arial"/>
          <w:szCs w:val="22"/>
        </w:rPr>
        <w:t>h ZGB).</w:t>
      </w:r>
    </w:p>
    <w:p w:rsidR="00295D7B" w:rsidRPr="005F15DA" w:rsidRDefault="00295D7B" w:rsidP="008851FF">
      <w:pPr>
        <w:tabs>
          <w:tab w:val="left" w:pos="426"/>
        </w:tabs>
        <w:spacing w:line="240" w:lineRule="auto"/>
        <w:jc w:val="both"/>
        <w:rPr>
          <w:rFonts w:cs="Arial"/>
          <w:szCs w:val="22"/>
        </w:rPr>
      </w:pPr>
    </w:p>
    <w:p w:rsidR="008F6147" w:rsidRPr="005F15DA" w:rsidRDefault="00295D7B" w:rsidP="008851FF">
      <w:pPr>
        <w:tabs>
          <w:tab w:val="left" w:pos="426"/>
        </w:tabs>
        <w:spacing w:line="240" w:lineRule="auto"/>
        <w:ind w:left="426" w:hanging="426"/>
        <w:jc w:val="both"/>
        <w:rPr>
          <w:rFonts w:cs="Arial"/>
          <w:szCs w:val="22"/>
        </w:rPr>
      </w:pPr>
      <w:r w:rsidRPr="005F15DA">
        <w:rPr>
          <w:rFonts w:cs="Arial"/>
          <w:szCs w:val="22"/>
        </w:rPr>
        <w:tab/>
        <w:t>Wenn ein Stockwerkeigentümer seine Beiträge nicht bezahlt, hat die Gemeinschaft A</w:t>
      </w:r>
      <w:r w:rsidRPr="005F15DA">
        <w:rPr>
          <w:rFonts w:cs="Arial"/>
          <w:szCs w:val="22"/>
        </w:rPr>
        <w:t>n</w:t>
      </w:r>
      <w:r w:rsidRPr="005F15DA">
        <w:rPr>
          <w:rFonts w:cs="Arial"/>
          <w:szCs w:val="22"/>
        </w:rPr>
        <w:t>spruch auf ein gesetzliches Pfandrecht (maximal für die letzten drei Jahre); das Pfan</w:t>
      </w:r>
      <w:r w:rsidRPr="005F15DA">
        <w:rPr>
          <w:rFonts w:cs="Arial"/>
          <w:szCs w:val="22"/>
        </w:rPr>
        <w:t>d</w:t>
      </w:r>
      <w:r w:rsidRPr="005F15DA">
        <w:rPr>
          <w:rFonts w:cs="Arial"/>
          <w:szCs w:val="22"/>
        </w:rPr>
        <w:t>recht der Stockwerkeigentümergemeinschaft wird auf der Einheit des Schuldners eing</w:t>
      </w:r>
      <w:r w:rsidRPr="005F15DA">
        <w:rPr>
          <w:rFonts w:cs="Arial"/>
          <w:szCs w:val="22"/>
        </w:rPr>
        <w:t>e</w:t>
      </w:r>
      <w:r w:rsidRPr="005F15DA">
        <w:rPr>
          <w:rFonts w:cs="Arial"/>
          <w:szCs w:val="22"/>
        </w:rPr>
        <w:t>tragen</w:t>
      </w:r>
      <w:r w:rsidR="008F6147" w:rsidRPr="005F15DA">
        <w:rPr>
          <w:rFonts w:cs="Arial"/>
          <w:szCs w:val="22"/>
        </w:rPr>
        <w:t xml:space="preserve"> und normalerweise vom Verwalter verlangt (Art. 712 i ZGB). Im Übrigen hat die Stockwerkeigentümergemeinschaft ein Retentionsrecht gegenüber dem Schuldner (Art. 712 k ZGB).</w:t>
      </w:r>
    </w:p>
    <w:p w:rsidR="008F6147" w:rsidRPr="005F15DA" w:rsidRDefault="008F6147" w:rsidP="008851FF">
      <w:pPr>
        <w:tabs>
          <w:tab w:val="left" w:pos="426"/>
        </w:tabs>
        <w:spacing w:line="240" w:lineRule="auto"/>
        <w:jc w:val="both"/>
        <w:rPr>
          <w:rFonts w:cs="Arial"/>
          <w:szCs w:val="22"/>
        </w:rPr>
      </w:pPr>
    </w:p>
    <w:p w:rsidR="008F6147" w:rsidRPr="005F15DA" w:rsidRDefault="008F6147" w:rsidP="008851FF">
      <w:pPr>
        <w:tabs>
          <w:tab w:val="left" w:pos="426"/>
        </w:tabs>
        <w:spacing w:line="240" w:lineRule="auto"/>
        <w:jc w:val="both"/>
        <w:rPr>
          <w:rFonts w:cs="Arial"/>
          <w:szCs w:val="22"/>
        </w:rPr>
      </w:pPr>
    </w:p>
    <w:p w:rsidR="008F6147" w:rsidRPr="005F15DA" w:rsidRDefault="008F6147" w:rsidP="00264316">
      <w:pPr>
        <w:pStyle w:val="berschrift4"/>
      </w:pPr>
      <w:r w:rsidRPr="005F15DA">
        <w:t>8.</w:t>
      </w:r>
      <w:r w:rsidRPr="005F15DA">
        <w:tab/>
        <w:t>Handlungsfähigkeit der Stockwerkeigentümergemeinschaft</w:t>
      </w:r>
    </w:p>
    <w:p w:rsidR="008F6147" w:rsidRPr="005F15DA" w:rsidRDefault="008F6147" w:rsidP="008851FF">
      <w:pPr>
        <w:tabs>
          <w:tab w:val="left" w:pos="426"/>
        </w:tabs>
        <w:spacing w:line="240" w:lineRule="auto"/>
        <w:ind w:left="426" w:hanging="426"/>
        <w:jc w:val="both"/>
        <w:rPr>
          <w:rFonts w:cs="Arial"/>
          <w:szCs w:val="22"/>
        </w:rPr>
      </w:pPr>
      <w:r w:rsidRPr="005F15DA">
        <w:rPr>
          <w:rFonts w:cs="Arial"/>
          <w:szCs w:val="22"/>
        </w:rPr>
        <w:tab/>
        <w:t>Die Gemeinschaft der Stockwerkeigentümer ist Eigentümerin der Beitragsforderungen, des Erneuerungsfonds, usw. Sie kann als Gemeinschaft klagen und betreiben bzw. b</w:t>
      </w:r>
      <w:r w:rsidRPr="005F15DA">
        <w:rPr>
          <w:rFonts w:cs="Arial"/>
          <w:szCs w:val="22"/>
        </w:rPr>
        <w:t>e</w:t>
      </w:r>
      <w:r w:rsidRPr="005F15DA">
        <w:rPr>
          <w:rFonts w:cs="Arial"/>
          <w:szCs w:val="22"/>
        </w:rPr>
        <w:t>klagt und betrieben werden (Art. 712 l ZGB).</w:t>
      </w:r>
    </w:p>
    <w:p w:rsidR="008F6147" w:rsidRPr="005F15DA" w:rsidRDefault="008F6147" w:rsidP="008851FF">
      <w:pPr>
        <w:tabs>
          <w:tab w:val="left" w:pos="426"/>
        </w:tabs>
        <w:spacing w:line="240" w:lineRule="auto"/>
        <w:jc w:val="both"/>
        <w:rPr>
          <w:rFonts w:cs="Arial"/>
          <w:szCs w:val="22"/>
        </w:rPr>
      </w:pPr>
    </w:p>
    <w:p w:rsidR="008F6147" w:rsidRPr="005F15DA" w:rsidRDefault="008F6147" w:rsidP="008851FF">
      <w:pPr>
        <w:tabs>
          <w:tab w:val="left" w:pos="426"/>
        </w:tabs>
        <w:spacing w:line="240" w:lineRule="auto"/>
        <w:jc w:val="both"/>
        <w:rPr>
          <w:rFonts w:cs="Arial"/>
          <w:szCs w:val="22"/>
        </w:rPr>
      </w:pPr>
    </w:p>
    <w:p w:rsidR="008F6147" w:rsidRPr="005F15DA" w:rsidRDefault="008F6147" w:rsidP="00264316">
      <w:pPr>
        <w:pStyle w:val="berschrift4"/>
      </w:pPr>
      <w:r w:rsidRPr="005F15DA">
        <w:t>9.</w:t>
      </w:r>
      <w:r w:rsidRPr="005F15DA">
        <w:tab/>
        <w:t>Versammlung der Stockwerkeigentümer</w:t>
      </w:r>
    </w:p>
    <w:p w:rsidR="008F6147" w:rsidRPr="005F15DA" w:rsidRDefault="008F6147" w:rsidP="008851FF">
      <w:pPr>
        <w:tabs>
          <w:tab w:val="left" w:pos="426"/>
        </w:tabs>
        <w:spacing w:line="240" w:lineRule="auto"/>
        <w:ind w:left="426" w:hanging="426"/>
        <w:jc w:val="both"/>
        <w:rPr>
          <w:rFonts w:cs="Arial"/>
          <w:szCs w:val="22"/>
        </w:rPr>
      </w:pPr>
      <w:r w:rsidRPr="005F15DA">
        <w:rPr>
          <w:rFonts w:cs="Arial"/>
          <w:szCs w:val="22"/>
        </w:rPr>
        <w:tab/>
      </w:r>
      <w:r w:rsidR="00501E9A" w:rsidRPr="005F15DA">
        <w:rPr>
          <w:rFonts w:cs="Arial"/>
          <w:szCs w:val="22"/>
        </w:rPr>
        <w:t>Die Stockwerkeigentümerversammlung ist insbesondere zuständig für (Art. 712 m ZGB):</w:t>
      </w:r>
    </w:p>
    <w:p w:rsidR="00501E9A" w:rsidRPr="005F15DA" w:rsidRDefault="00501E9A" w:rsidP="009D34F3">
      <w:pPr>
        <w:pStyle w:val="Listenabsatz"/>
        <w:numPr>
          <w:ilvl w:val="0"/>
          <w:numId w:val="9"/>
        </w:numPr>
        <w:tabs>
          <w:tab w:val="left" w:pos="426"/>
        </w:tabs>
        <w:spacing w:line="240" w:lineRule="auto"/>
        <w:jc w:val="both"/>
        <w:rPr>
          <w:rFonts w:cs="Arial"/>
          <w:szCs w:val="22"/>
        </w:rPr>
      </w:pPr>
      <w:r w:rsidRPr="005F15DA">
        <w:rPr>
          <w:rFonts w:cs="Arial"/>
          <w:szCs w:val="22"/>
        </w:rPr>
        <w:t>Entscheid über alle Verwaltungsangelegenheiten, welche nicht dem Verwalter z</w:t>
      </w:r>
      <w:r w:rsidRPr="005F15DA">
        <w:rPr>
          <w:rFonts w:cs="Arial"/>
          <w:szCs w:val="22"/>
        </w:rPr>
        <w:t>u</w:t>
      </w:r>
      <w:r w:rsidRPr="005F15DA">
        <w:rPr>
          <w:rFonts w:cs="Arial"/>
          <w:szCs w:val="22"/>
        </w:rPr>
        <w:t>stehen,</w:t>
      </w:r>
    </w:p>
    <w:p w:rsidR="00501E9A" w:rsidRPr="005F15DA" w:rsidRDefault="00501E9A" w:rsidP="009D34F3">
      <w:pPr>
        <w:pStyle w:val="Listenabsatz"/>
        <w:numPr>
          <w:ilvl w:val="0"/>
          <w:numId w:val="9"/>
        </w:numPr>
        <w:tabs>
          <w:tab w:val="left" w:pos="426"/>
        </w:tabs>
        <w:spacing w:line="240" w:lineRule="auto"/>
        <w:jc w:val="both"/>
        <w:rPr>
          <w:rFonts w:cs="Arial"/>
          <w:szCs w:val="22"/>
        </w:rPr>
      </w:pPr>
      <w:r w:rsidRPr="005F15DA">
        <w:rPr>
          <w:rFonts w:cs="Arial"/>
          <w:szCs w:val="22"/>
        </w:rPr>
        <w:t>Bestellung des Verwalters und Aufsicht über dessen Tätigkeit,</w:t>
      </w:r>
    </w:p>
    <w:p w:rsidR="00501E9A" w:rsidRPr="005F15DA" w:rsidRDefault="00501E9A" w:rsidP="009D34F3">
      <w:pPr>
        <w:pStyle w:val="Listenabsatz"/>
        <w:numPr>
          <w:ilvl w:val="0"/>
          <w:numId w:val="9"/>
        </w:numPr>
        <w:tabs>
          <w:tab w:val="left" w:pos="426"/>
        </w:tabs>
        <w:spacing w:line="240" w:lineRule="auto"/>
        <w:jc w:val="both"/>
        <w:rPr>
          <w:rFonts w:cs="Arial"/>
          <w:szCs w:val="22"/>
        </w:rPr>
      </w:pPr>
      <w:r w:rsidRPr="005F15DA">
        <w:rPr>
          <w:rFonts w:cs="Arial"/>
          <w:szCs w:val="22"/>
        </w:rPr>
        <w:t>Wahl eines Ausschusses oder eines Abgeordneten für Verwaltungsangelegenheiten,</w:t>
      </w:r>
    </w:p>
    <w:p w:rsidR="00501E9A" w:rsidRPr="005F15DA" w:rsidRDefault="00501E9A" w:rsidP="009D34F3">
      <w:pPr>
        <w:pStyle w:val="Listenabsatz"/>
        <w:numPr>
          <w:ilvl w:val="0"/>
          <w:numId w:val="9"/>
        </w:numPr>
        <w:tabs>
          <w:tab w:val="left" w:pos="426"/>
        </w:tabs>
        <w:spacing w:line="240" w:lineRule="auto"/>
        <w:jc w:val="both"/>
        <w:rPr>
          <w:rFonts w:cs="Arial"/>
          <w:szCs w:val="22"/>
        </w:rPr>
      </w:pPr>
      <w:r w:rsidRPr="005F15DA">
        <w:rPr>
          <w:rFonts w:cs="Arial"/>
          <w:szCs w:val="22"/>
        </w:rPr>
        <w:t>Genehmigung der jährlichen Budgets, Rechnungen und Kostenverteilung,</w:t>
      </w:r>
    </w:p>
    <w:p w:rsidR="00501E9A" w:rsidRPr="005F15DA" w:rsidRDefault="00501E9A" w:rsidP="009D34F3">
      <w:pPr>
        <w:pStyle w:val="Listenabsatz"/>
        <w:numPr>
          <w:ilvl w:val="0"/>
          <w:numId w:val="9"/>
        </w:numPr>
        <w:tabs>
          <w:tab w:val="left" w:pos="426"/>
        </w:tabs>
        <w:spacing w:line="240" w:lineRule="auto"/>
        <w:jc w:val="both"/>
        <w:rPr>
          <w:rFonts w:cs="Arial"/>
          <w:szCs w:val="22"/>
        </w:rPr>
      </w:pPr>
      <w:r w:rsidRPr="005F15DA">
        <w:rPr>
          <w:rFonts w:cs="Arial"/>
          <w:szCs w:val="22"/>
        </w:rPr>
        <w:t>Schaffung eines Erneuerungsfonds für Unterhalts- und Erneuerungsarbeiten,</w:t>
      </w:r>
    </w:p>
    <w:p w:rsidR="00501E9A" w:rsidRPr="005F15DA" w:rsidRDefault="00501E9A" w:rsidP="009D34F3">
      <w:pPr>
        <w:pStyle w:val="Listenabsatz"/>
        <w:numPr>
          <w:ilvl w:val="0"/>
          <w:numId w:val="9"/>
        </w:numPr>
        <w:tabs>
          <w:tab w:val="left" w:pos="426"/>
        </w:tabs>
        <w:spacing w:line="240" w:lineRule="auto"/>
        <w:jc w:val="both"/>
        <w:rPr>
          <w:rFonts w:cs="Arial"/>
          <w:szCs w:val="22"/>
        </w:rPr>
      </w:pPr>
      <w:r w:rsidRPr="005F15DA">
        <w:rPr>
          <w:rFonts w:cs="Arial"/>
          <w:szCs w:val="22"/>
        </w:rPr>
        <w:t>Versicherung des Gebäudes (Feuer, andere Gefahren, Haftpflicht, usw.).</w:t>
      </w:r>
    </w:p>
    <w:p w:rsidR="006D32F2" w:rsidRPr="005F15DA" w:rsidRDefault="006D32F2" w:rsidP="008851FF">
      <w:pPr>
        <w:tabs>
          <w:tab w:val="left" w:pos="426"/>
        </w:tabs>
        <w:spacing w:line="240" w:lineRule="auto"/>
        <w:jc w:val="both"/>
        <w:rPr>
          <w:rFonts w:cs="Arial"/>
          <w:szCs w:val="22"/>
        </w:rPr>
      </w:pPr>
    </w:p>
    <w:p w:rsidR="00501E9A" w:rsidRPr="005F15DA" w:rsidRDefault="00501E9A" w:rsidP="008851FF">
      <w:pPr>
        <w:tabs>
          <w:tab w:val="left" w:pos="426"/>
        </w:tabs>
        <w:spacing w:line="240" w:lineRule="auto"/>
        <w:ind w:left="426" w:hanging="426"/>
        <w:jc w:val="both"/>
        <w:rPr>
          <w:rFonts w:cs="Arial"/>
          <w:szCs w:val="22"/>
        </w:rPr>
      </w:pPr>
      <w:r w:rsidRPr="005F15DA">
        <w:rPr>
          <w:rFonts w:cs="Arial"/>
          <w:szCs w:val="22"/>
        </w:rPr>
        <w:tab/>
        <w:t xml:space="preserve">Üblicherweise wird die Stockwerkeigentümerversammlung vom Verwalter einberufen und geleitet. Die Beschlüsse der Versammlung </w:t>
      </w:r>
      <w:r w:rsidR="00C573FB" w:rsidRPr="005F15DA">
        <w:rPr>
          <w:rFonts w:cs="Arial"/>
          <w:szCs w:val="22"/>
        </w:rPr>
        <w:t>sind zu protokollieren (Art. 712 n ZGB).</w:t>
      </w:r>
    </w:p>
    <w:p w:rsidR="00501E9A" w:rsidRPr="005F15DA" w:rsidRDefault="00501E9A" w:rsidP="008851FF">
      <w:pPr>
        <w:tabs>
          <w:tab w:val="left" w:pos="426"/>
        </w:tabs>
        <w:spacing w:line="240" w:lineRule="auto"/>
        <w:jc w:val="both"/>
        <w:rPr>
          <w:rFonts w:cs="Arial"/>
          <w:szCs w:val="22"/>
        </w:rPr>
      </w:pPr>
    </w:p>
    <w:p w:rsidR="00501E9A" w:rsidRPr="005F15DA" w:rsidRDefault="00501E9A" w:rsidP="008851FF">
      <w:pPr>
        <w:tabs>
          <w:tab w:val="left" w:pos="426"/>
        </w:tabs>
        <w:spacing w:line="240" w:lineRule="auto"/>
        <w:ind w:left="426" w:hanging="426"/>
        <w:jc w:val="both"/>
        <w:rPr>
          <w:rFonts w:cs="Arial"/>
          <w:szCs w:val="22"/>
        </w:rPr>
      </w:pPr>
      <w:r w:rsidRPr="005F15DA">
        <w:rPr>
          <w:rFonts w:cs="Arial"/>
          <w:szCs w:val="22"/>
        </w:rPr>
        <w:tab/>
        <w:t xml:space="preserve">Wenn eine Stockwerkeigentums-Einheit mehreren Eigentümern gehört, haben diese in der Versammlung nur eine Stimme. </w:t>
      </w:r>
      <w:r w:rsidR="00C573FB" w:rsidRPr="005F15DA">
        <w:rPr>
          <w:rFonts w:cs="Arial"/>
          <w:szCs w:val="22"/>
        </w:rPr>
        <w:t>Eigentümer und Nutzniesser einer Einheit müssen sich über die Ausübung des Stimmrechts verständigen (Art. 712 o ZGB).</w:t>
      </w:r>
    </w:p>
    <w:p w:rsidR="00C573FB" w:rsidRPr="005F15DA" w:rsidRDefault="00C573FB" w:rsidP="008851FF">
      <w:pPr>
        <w:tabs>
          <w:tab w:val="left" w:pos="426"/>
        </w:tabs>
        <w:spacing w:line="240" w:lineRule="auto"/>
        <w:jc w:val="both"/>
        <w:rPr>
          <w:rFonts w:cs="Arial"/>
          <w:szCs w:val="22"/>
        </w:rPr>
      </w:pPr>
    </w:p>
    <w:p w:rsidR="00C573FB" w:rsidRPr="005F15DA" w:rsidRDefault="00C573FB" w:rsidP="008851FF">
      <w:pPr>
        <w:tabs>
          <w:tab w:val="left" w:pos="426"/>
        </w:tabs>
        <w:spacing w:line="240" w:lineRule="auto"/>
        <w:ind w:left="426" w:hanging="426"/>
        <w:jc w:val="both"/>
        <w:rPr>
          <w:rFonts w:cs="Arial"/>
          <w:szCs w:val="22"/>
        </w:rPr>
      </w:pPr>
      <w:r w:rsidRPr="005F15DA">
        <w:rPr>
          <w:rFonts w:cs="Arial"/>
          <w:szCs w:val="22"/>
        </w:rPr>
        <w:tab/>
      </w:r>
      <w:r w:rsidR="00C30DFF" w:rsidRPr="005F15DA">
        <w:rPr>
          <w:rFonts w:cs="Arial"/>
          <w:szCs w:val="22"/>
        </w:rPr>
        <w:t>Die Stockwerkeigentümer-Versammlung ist beschlussfähig, wenn mindestens ½ der E</w:t>
      </w:r>
      <w:r w:rsidR="00C30DFF" w:rsidRPr="005F15DA">
        <w:rPr>
          <w:rFonts w:cs="Arial"/>
          <w:szCs w:val="22"/>
        </w:rPr>
        <w:t>i</w:t>
      </w:r>
      <w:r w:rsidR="00C30DFF" w:rsidRPr="005F15DA">
        <w:rPr>
          <w:rFonts w:cs="Arial"/>
          <w:szCs w:val="22"/>
        </w:rPr>
        <w:t>gentümer, welche mindestens 50% der Wertquoten vertreten, anwesend oder vertreten sind. Es müssen aber immer mindestens 2 Stockwerkeigentümer anwesend oder vertr</w:t>
      </w:r>
      <w:r w:rsidR="00C30DFF" w:rsidRPr="005F15DA">
        <w:rPr>
          <w:rFonts w:cs="Arial"/>
          <w:szCs w:val="22"/>
        </w:rPr>
        <w:t>e</w:t>
      </w:r>
      <w:r w:rsidR="00C30DFF" w:rsidRPr="005F15DA">
        <w:rPr>
          <w:rFonts w:cs="Arial"/>
          <w:szCs w:val="22"/>
        </w:rPr>
        <w:t>ten sein (Art. 712 p ZGB). Wird in der ersten Versammlung die Beschlussfähigkeit nicht erreicht, kann nach frühestens 10 Tagen eine zweite Versammlung einberufen werden, an welcher 1/3 (mindestens aber 2) der Stockwerkeigentümer anwesend oder vertreten sein müssen.</w:t>
      </w:r>
    </w:p>
    <w:p w:rsidR="00501E9A" w:rsidRPr="005F15DA" w:rsidRDefault="00501E9A" w:rsidP="008851FF">
      <w:pPr>
        <w:tabs>
          <w:tab w:val="left" w:pos="426"/>
        </w:tabs>
        <w:spacing w:line="240" w:lineRule="auto"/>
        <w:jc w:val="both"/>
        <w:rPr>
          <w:rFonts w:cs="Arial"/>
          <w:szCs w:val="22"/>
        </w:rPr>
      </w:pPr>
    </w:p>
    <w:p w:rsidR="00C30DFF" w:rsidRPr="005F15DA" w:rsidRDefault="00264316" w:rsidP="00264316">
      <w:pPr>
        <w:pStyle w:val="berschrift4"/>
      </w:pPr>
      <w:r w:rsidRPr="005F15DA">
        <w:lastRenderedPageBreak/>
        <w:t>10.</w:t>
      </w:r>
      <w:r w:rsidRPr="005F15DA">
        <w:tab/>
      </w:r>
      <w:r w:rsidR="00C30DFF" w:rsidRPr="005F15DA">
        <w:t>Verwalter</w:t>
      </w:r>
    </w:p>
    <w:p w:rsidR="00C30DFF" w:rsidRPr="005F15DA" w:rsidRDefault="00C30DFF" w:rsidP="008851FF">
      <w:pPr>
        <w:tabs>
          <w:tab w:val="left" w:pos="426"/>
        </w:tabs>
        <w:spacing w:line="240" w:lineRule="auto"/>
        <w:ind w:left="426" w:hanging="426"/>
        <w:jc w:val="both"/>
        <w:rPr>
          <w:rFonts w:cs="Arial"/>
          <w:szCs w:val="22"/>
        </w:rPr>
      </w:pPr>
      <w:r w:rsidRPr="005F15DA">
        <w:rPr>
          <w:rFonts w:cs="Arial"/>
          <w:szCs w:val="22"/>
        </w:rPr>
        <w:tab/>
        <w:t xml:space="preserve">Der Verwalter wird von der Versammlung der Stockwerkeigentümer bestellt. Wählt die Versammlung keinen Verwalter, kann jeder Stockwerkeigentümer die Ernennung </w:t>
      </w:r>
      <w:r w:rsidR="00443FC9" w:rsidRPr="005F15DA">
        <w:rPr>
          <w:rFonts w:cs="Arial"/>
          <w:szCs w:val="22"/>
        </w:rPr>
        <w:t>eines Verwalters durch das Gericht verlangen (Art. 712 q ZGB).</w:t>
      </w:r>
    </w:p>
    <w:p w:rsidR="00443FC9" w:rsidRPr="005F15DA" w:rsidRDefault="00443FC9" w:rsidP="008851FF">
      <w:pPr>
        <w:tabs>
          <w:tab w:val="left" w:pos="426"/>
        </w:tabs>
        <w:spacing w:line="240" w:lineRule="auto"/>
        <w:jc w:val="both"/>
        <w:rPr>
          <w:rFonts w:cs="Arial"/>
          <w:szCs w:val="22"/>
        </w:rPr>
      </w:pPr>
    </w:p>
    <w:p w:rsidR="00443FC9" w:rsidRPr="005F15DA" w:rsidRDefault="00443FC9" w:rsidP="008851FF">
      <w:pPr>
        <w:tabs>
          <w:tab w:val="left" w:pos="426"/>
        </w:tabs>
        <w:spacing w:line="240" w:lineRule="auto"/>
        <w:ind w:left="426" w:hanging="426"/>
        <w:jc w:val="both"/>
        <w:rPr>
          <w:rFonts w:cs="Arial"/>
          <w:szCs w:val="22"/>
        </w:rPr>
      </w:pPr>
      <w:r w:rsidRPr="005F15DA">
        <w:rPr>
          <w:rFonts w:cs="Arial"/>
          <w:szCs w:val="22"/>
        </w:rPr>
        <w:tab/>
        <w:t>Der Verwalter kann von der Stockwerkeigentümerversammlung jederzeit abberufen we</w:t>
      </w:r>
      <w:r w:rsidRPr="005F15DA">
        <w:rPr>
          <w:rFonts w:cs="Arial"/>
          <w:szCs w:val="22"/>
        </w:rPr>
        <w:t>r</w:t>
      </w:r>
      <w:r w:rsidRPr="005F15DA">
        <w:rPr>
          <w:rFonts w:cs="Arial"/>
          <w:szCs w:val="22"/>
        </w:rPr>
        <w:t>den (Art. 712 r ZGB).</w:t>
      </w:r>
    </w:p>
    <w:p w:rsidR="00443FC9" w:rsidRPr="005F15DA" w:rsidRDefault="00443FC9" w:rsidP="008851FF">
      <w:pPr>
        <w:tabs>
          <w:tab w:val="left" w:pos="426"/>
        </w:tabs>
        <w:spacing w:line="240" w:lineRule="auto"/>
        <w:jc w:val="both"/>
        <w:rPr>
          <w:rFonts w:cs="Arial"/>
          <w:szCs w:val="22"/>
        </w:rPr>
      </w:pPr>
    </w:p>
    <w:p w:rsidR="00443FC9" w:rsidRPr="005F15DA" w:rsidRDefault="00443FC9" w:rsidP="008851FF">
      <w:pPr>
        <w:tabs>
          <w:tab w:val="left" w:pos="426"/>
        </w:tabs>
        <w:spacing w:line="240" w:lineRule="auto"/>
        <w:jc w:val="both"/>
        <w:rPr>
          <w:rFonts w:cs="Arial"/>
          <w:szCs w:val="22"/>
        </w:rPr>
      </w:pPr>
      <w:r w:rsidRPr="005F15DA">
        <w:rPr>
          <w:rFonts w:cs="Arial"/>
          <w:szCs w:val="22"/>
        </w:rPr>
        <w:tab/>
        <w:t>Der Verwalter ist zuständig für (Art. 712 s ZGB):</w:t>
      </w:r>
    </w:p>
    <w:p w:rsidR="00443FC9" w:rsidRPr="005F15DA" w:rsidRDefault="00443FC9" w:rsidP="009D34F3">
      <w:pPr>
        <w:pStyle w:val="Listenabsatz"/>
        <w:numPr>
          <w:ilvl w:val="0"/>
          <w:numId w:val="10"/>
        </w:numPr>
        <w:tabs>
          <w:tab w:val="left" w:pos="426"/>
        </w:tabs>
        <w:spacing w:line="240" w:lineRule="auto"/>
        <w:ind w:hanging="294"/>
        <w:jc w:val="both"/>
        <w:rPr>
          <w:rFonts w:cs="Arial"/>
          <w:szCs w:val="22"/>
        </w:rPr>
      </w:pPr>
      <w:r w:rsidRPr="005F15DA">
        <w:rPr>
          <w:rFonts w:cs="Arial"/>
          <w:szCs w:val="22"/>
        </w:rPr>
        <w:t>Vollzug der Handlungen der gemeinschaftlichen Verwaltung gemäss Gesetz, Regl</w:t>
      </w:r>
      <w:r w:rsidRPr="005F15DA">
        <w:rPr>
          <w:rFonts w:cs="Arial"/>
          <w:szCs w:val="22"/>
        </w:rPr>
        <w:t>e</w:t>
      </w:r>
      <w:r w:rsidRPr="005F15DA">
        <w:rPr>
          <w:rFonts w:cs="Arial"/>
          <w:szCs w:val="22"/>
        </w:rPr>
        <w:t>ment der Stockwerkeigentümer und Beschlüssen der Stockwerkeigentümergemei</w:t>
      </w:r>
      <w:r w:rsidRPr="005F15DA">
        <w:rPr>
          <w:rFonts w:cs="Arial"/>
          <w:szCs w:val="22"/>
        </w:rPr>
        <w:t>n</w:t>
      </w:r>
      <w:r w:rsidRPr="005F15DA">
        <w:rPr>
          <w:rFonts w:cs="Arial"/>
          <w:szCs w:val="22"/>
        </w:rPr>
        <w:t>schaft,</w:t>
      </w:r>
    </w:p>
    <w:p w:rsidR="00443FC9" w:rsidRPr="005F15DA" w:rsidRDefault="00443FC9" w:rsidP="009D34F3">
      <w:pPr>
        <w:pStyle w:val="Listenabsatz"/>
        <w:numPr>
          <w:ilvl w:val="0"/>
          <w:numId w:val="10"/>
        </w:numPr>
        <w:tabs>
          <w:tab w:val="left" w:pos="426"/>
        </w:tabs>
        <w:spacing w:line="240" w:lineRule="auto"/>
        <w:ind w:hanging="294"/>
        <w:jc w:val="both"/>
        <w:rPr>
          <w:rFonts w:cs="Arial"/>
          <w:szCs w:val="22"/>
        </w:rPr>
      </w:pPr>
      <w:r w:rsidRPr="005F15DA">
        <w:rPr>
          <w:rFonts w:cs="Arial"/>
          <w:szCs w:val="22"/>
        </w:rPr>
        <w:t>Treffen der dringlichen Massnahmen zur Abwehr oder Beseitigung von Schäden,</w:t>
      </w:r>
    </w:p>
    <w:p w:rsidR="00443FC9" w:rsidRPr="005F15DA" w:rsidRDefault="00443FC9" w:rsidP="009D34F3">
      <w:pPr>
        <w:pStyle w:val="Listenabsatz"/>
        <w:numPr>
          <w:ilvl w:val="0"/>
          <w:numId w:val="10"/>
        </w:numPr>
        <w:tabs>
          <w:tab w:val="left" w:pos="426"/>
        </w:tabs>
        <w:spacing w:line="240" w:lineRule="auto"/>
        <w:ind w:hanging="294"/>
        <w:jc w:val="both"/>
        <w:rPr>
          <w:rFonts w:cs="Arial"/>
          <w:szCs w:val="22"/>
        </w:rPr>
      </w:pPr>
      <w:r w:rsidRPr="005F15DA">
        <w:rPr>
          <w:rFonts w:cs="Arial"/>
          <w:szCs w:val="22"/>
        </w:rPr>
        <w:t>Verteilung der gemeinschaftlichen Kosten und Lasten auf die einzelnen Stockwerke</w:t>
      </w:r>
      <w:r w:rsidRPr="005F15DA">
        <w:rPr>
          <w:rFonts w:cs="Arial"/>
          <w:szCs w:val="22"/>
        </w:rPr>
        <w:t>i</w:t>
      </w:r>
      <w:r w:rsidRPr="005F15DA">
        <w:rPr>
          <w:rFonts w:cs="Arial"/>
          <w:szCs w:val="22"/>
        </w:rPr>
        <w:t xml:space="preserve">gentümer inkl. Rechnungsstellung, Einzug der Beiträge, Verwaltung </w:t>
      </w:r>
      <w:r w:rsidR="0075569A" w:rsidRPr="005F15DA">
        <w:rPr>
          <w:rFonts w:cs="Arial"/>
          <w:szCs w:val="22"/>
        </w:rPr>
        <w:t>und Verwendung der Geldmittel,</w:t>
      </w:r>
    </w:p>
    <w:p w:rsidR="0075569A" w:rsidRPr="005F15DA" w:rsidRDefault="0075569A" w:rsidP="009D34F3">
      <w:pPr>
        <w:pStyle w:val="Listenabsatz"/>
        <w:numPr>
          <w:ilvl w:val="0"/>
          <w:numId w:val="10"/>
        </w:numPr>
        <w:tabs>
          <w:tab w:val="left" w:pos="426"/>
        </w:tabs>
        <w:spacing w:line="240" w:lineRule="auto"/>
        <w:ind w:hanging="294"/>
        <w:jc w:val="both"/>
        <w:rPr>
          <w:rFonts w:cs="Arial"/>
          <w:szCs w:val="22"/>
        </w:rPr>
      </w:pPr>
      <w:r w:rsidRPr="005F15DA">
        <w:rPr>
          <w:rFonts w:cs="Arial"/>
          <w:szCs w:val="22"/>
        </w:rPr>
        <w:t xml:space="preserve">Überwachung der Befolgung des </w:t>
      </w:r>
      <w:r w:rsidR="002C3802" w:rsidRPr="005F15DA">
        <w:rPr>
          <w:rFonts w:cs="Arial"/>
          <w:szCs w:val="22"/>
        </w:rPr>
        <w:t>Reglements</w:t>
      </w:r>
      <w:r w:rsidRPr="005F15DA">
        <w:rPr>
          <w:rFonts w:cs="Arial"/>
          <w:szCs w:val="22"/>
        </w:rPr>
        <w:t>, der Hausordnung und des Gesetzes.</w:t>
      </w:r>
    </w:p>
    <w:p w:rsidR="0075569A" w:rsidRPr="005F15DA" w:rsidRDefault="0075569A" w:rsidP="008851FF">
      <w:pPr>
        <w:tabs>
          <w:tab w:val="left" w:pos="426"/>
        </w:tabs>
        <w:spacing w:line="240" w:lineRule="auto"/>
        <w:jc w:val="both"/>
        <w:rPr>
          <w:rFonts w:cs="Arial"/>
          <w:szCs w:val="22"/>
        </w:rPr>
      </w:pPr>
    </w:p>
    <w:p w:rsidR="0075569A" w:rsidRPr="005F15DA" w:rsidRDefault="0075569A" w:rsidP="008851FF">
      <w:pPr>
        <w:tabs>
          <w:tab w:val="left" w:pos="426"/>
        </w:tabs>
        <w:spacing w:line="240" w:lineRule="auto"/>
        <w:ind w:left="426" w:hanging="426"/>
        <w:jc w:val="both"/>
        <w:rPr>
          <w:rFonts w:cs="Arial"/>
          <w:szCs w:val="22"/>
        </w:rPr>
      </w:pPr>
      <w:r w:rsidRPr="005F15DA">
        <w:rPr>
          <w:rFonts w:cs="Arial"/>
          <w:szCs w:val="22"/>
        </w:rPr>
        <w:tab/>
        <w:t>Der Verwalter vertritt die Stockwerkeigentümergemeinschaft wie auch die einzelnen Stockwerkeigentümer in allen Angelegenheiten der gemeinschaftlichen Verwaltung, s</w:t>
      </w:r>
      <w:r w:rsidRPr="005F15DA">
        <w:rPr>
          <w:rFonts w:cs="Arial"/>
          <w:szCs w:val="22"/>
        </w:rPr>
        <w:t>o</w:t>
      </w:r>
      <w:r w:rsidRPr="005F15DA">
        <w:rPr>
          <w:rFonts w:cs="Arial"/>
          <w:szCs w:val="22"/>
        </w:rPr>
        <w:t>weit diese in seine Zuständigkeit fallen (Art. 712 t ZGB). Zur Führung eines Zivilproze</w:t>
      </w:r>
      <w:r w:rsidRPr="005F15DA">
        <w:rPr>
          <w:rFonts w:cs="Arial"/>
          <w:szCs w:val="22"/>
        </w:rPr>
        <w:t>s</w:t>
      </w:r>
      <w:r w:rsidRPr="005F15DA">
        <w:rPr>
          <w:rFonts w:cs="Arial"/>
          <w:szCs w:val="22"/>
        </w:rPr>
        <w:t>ses bedarf der Verwalter der Ermächtigung durch die Versammlung der Stockwerkeige</w:t>
      </w:r>
      <w:r w:rsidRPr="005F15DA">
        <w:rPr>
          <w:rFonts w:cs="Arial"/>
          <w:szCs w:val="22"/>
        </w:rPr>
        <w:t>n</w:t>
      </w:r>
      <w:r w:rsidRPr="005F15DA">
        <w:rPr>
          <w:rFonts w:cs="Arial"/>
          <w:szCs w:val="22"/>
        </w:rPr>
        <w:t>tümer. Erklärungen, Aufforderungen, Urteile und Verfügungen an die Gesamtheit der Stockwerkeigentümer können rechtswirksam dem Verwalter zugestellt werden.</w:t>
      </w:r>
    </w:p>
    <w:p w:rsidR="00C30DFF" w:rsidRPr="005F15DA" w:rsidRDefault="00C30DFF" w:rsidP="008851FF">
      <w:pPr>
        <w:tabs>
          <w:tab w:val="left" w:pos="426"/>
        </w:tabs>
        <w:spacing w:line="240" w:lineRule="auto"/>
        <w:jc w:val="both"/>
        <w:rPr>
          <w:rFonts w:cs="Arial"/>
          <w:szCs w:val="22"/>
        </w:rPr>
      </w:pPr>
    </w:p>
    <w:p w:rsidR="00B828BF" w:rsidRPr="005F15DA" w:rsidRDefault="00B828BF" w:rsidP="008851FF">
      <w:pPr>
        <w:tabs>
          <w:tab w:val="left" w:pos="426"/>
        </w:tabs>
        <w:spacing w:line="240" w:lineRule="auto"/>
        <w:jc w:val="both"/>
        <w:rPr>
          <w:rFonts w:cs="Arial"/>
          <w:szCs w:val="22"/>
        </w:rPr>
      </w:pPr>
    </w:p>
    <w:p w:rsidR="00C060B8" w:rsidRPr="005F15DA" w:rsidRDefault="00C060B8" w:rsidP="008851FF">
      <w:pPr>
        <w:tabs>
          <w:tab w:val="left" w:pos="426"/>
        </w:tabs>
        <w:spacing w:line="240" w:lineRule="auto"/>
        <w:jc w:val="both"/>
        <w:rPr>
          <w:rFonts w:cs="Arial"/>
          <w:szCs w:val="22"/>
        </w:rPr>
      </w:pPr>
    </w:p>
    <w:p w:rsidR="00C060B8" w:rsidRPr="005F15DA" w:rsidRDefault="00C060B8" w:rsidP="008851FF">
      <w:pPr>
        <w:tabs>
          <w:tab w:val="left" w:pos="426"/>
        </w:tabs>
        <w:spacing w:line="240" w:lineRule="auto"/>
        <w:jc w:val="both"/>
        <w:rPr>
          <w:rFonts w:cs="Arial"/>
          <w:szCs w:val="22"/>
        </w:rPr>
      </w:pPr>
    </w:p>
    <w:p w:rsidR="00C060B8" w:rsidRPr="005F15DA" w:rsidRDefault="00C060B8" w:rsidP="00E36E8F">
      <w:pPr>
        <w:pStyle w:val="berschrift2"/>
      </w:pPr>
      <w:bookmarkStart w:id="142" w:name="_Toc432175662"/>
      <w:r w:rsidRPr="005F15DA">
        <w:t>IV. Fahrniseigentum (Art. 713 – 729 ZGB)</w:t>
      </w:r>
      <w:bookmarkEnd w:id="142"/>
    </w:p>
    <w:p w:rsidR="00E90D39" w:rsidRPr="005F15DA" w:rsidRDefault="00E90D39" w:rsidP="00E90D39">
      <w:r w:rsidRPr="005F15DA">
        <w:t>______________________________________________</w:t>
      </w:r>
      <w:r w:rsidR="00CF04FF">
        <w:t>_____</w:t>
      </w:r>
    </w:p>
    <w:p w:rsidR="00C060B8" w:rsidRPr="005F15DA" w:rsidRDefault="00C060B8" w:rsidP="003203BE">
      <w:pPr>
        <w:spacing w:line="240" w:lineRule="auto"/>
        <w:rPr>
          <w:rFonts w:cs="Arial"/>
          <w:szCs w:val="22"/>
        </w:rPr>
      </w:pPr>
    </w:p>
    <w:p w:rsidR="00B828BF" w:rsidRPr="005F15DA" w:rsidRDefault="00B828BF" w:rsidP="003203BE">
      <w:pPr>
        <w:spacing w:line="240" w:lineRule="auto"/>
        <w:rPr>
          <w:rFonts w:cs="Arial"/>
          <w:szCs w:val="22"/>
        </w:rPr>
      </w:pPr>
    </w:p>
    <w:p w:rsidR="00C060B8" w:rsidRPr="005F15DA" w:rsidRDefault="00B828BF" w:rsidP="005759BE">
      <w:pPr>
        <w:pStyle w:val="berschrift3"/>
        <w:rPr>
          <w:lang w:val="de-CH"/>
        </w:rPr>
      </w:pPr>
      <w:bookmarkStart w:id="143" w:name="_Toc432175663"/>
      <w:r w:rsidRPr="005F15DA">
        <w:rPr>
          <w:lang w:val="de-CH"/>
        </w:rPr>
        <w:t>A.</w:t>
      </w:r>
      <w:r w:rsidRPr="005F15DA">
        <w:rPr>
          <w:lang w:val="de-CH"/>
        </w:rPr>
        <w:tab/>
      </w:r>
      <w:r w:rsidR="00C060B8" w:rsidRPr="005F15DA">
        <w:rPr>
          <w:lang w:val="de-CH"/>
        </w:rPr>
        <w:t>Gegenstand (Art. 713 ZGB)</w:t>
      </w:r>
      <w:bookmarkEnd w:id="143"/>
    </w:p>
    <w:p w:rsidR="00B828BF" w:rsidRPr="005F15DA" w:rsidRDefault="00B828BF" w:rsidP="008851FF">
      <w:pPr>
        <w:spacing w:line="240" w:lineRule="auto"/>
        <w:jc w:val="both"/>
        <w:rPr>
          <w:rFonts w:cs="Arial"/>
          <w:szCs w:val="22"/>
        </w:rPr>
      </w:pPr>
    </w:p>
    <w:p w:rsidR="00C060B8" w:rsidRPr="005F15DA" w:rsidRDefault="00CC4B98" w:rsidP="008851FF">
      <w:pPr>
        <w:tabs>
          <w:tab w:val="left" w:pos="426"/>
        </w:tabs>
        <w:spacing w:line="240" w:lineRule="auto"/>
        <w:jc w:val="both"/>
        <w:rPr>
          <w:rFonts w:cs="Arial"/>
          <w:szCs w:val="22"/>
        </w:rPr>
      </w:pPr>
      <w:r w:rsidRPr="005F15DA">
        <w:rPr>
          <w:rFonts w:cs="Arial"/>
          <w:szCs w:val="22"/>
        </w:rPr>
        <w:t>Fahrnis</w:t>
      </w:r>
      <w:r w:rsidR="0075569A" w:rsidRPr="005F15DA">
        <w:rPr>
          <w:rFonts w:cs="Arial"/>
          <w:szCs w:val="22"/>
        </w:rPr>
        <w:t xml:space="preserve"> sind </w:t>
      </w:r>
      <w:r w:rsidR="0075569A" w:rsidRPr="005F15DA">
        <w:rPr>
          <w:rFonts w:cs="Arial"/>
          <w:b/>
          <w:szCs w:val="22"/>
        </w:rPr>
        <w:t>bewegliche, körperliche Sachen</w:t>
      </w:r>
      <w:r w:rsidR="0075569A" w:rsidRPr="005F15DA">
        <w:rPr>
          <w:rFonts w:cs="Arial"/>
          <w:szCs w:val="22"/>
        </w:rPr>
        <w:t xml:space="preserve">, beispielsweise Bücher, Mobiliar, Autos, usw. </w:t>
      </w:r>
      <w:r w:rsidRPr="005F15DA">
        <w:rPr>
          <w:rFonts w:cs="Arial"/>
          <w:szCs w:val="22"/>
        </w:rPr>
        <w:t>In diesem Zusammenhang sind auch Fahrnisbauten und Fahrnispflanzen zu erwähnen. Diese sind nicht fest mit einem Grundstück verbunden und haben einen anderen Eigentümer als den Grundeigentümer (z.B. Baubaracke, Kübelpflanze, usw.).</w:t>
      </w:r>
    </w:p>
    <w:p w:rsidR="0075569A" w:rsidRPr="005F15DA" w:rsidRDefault="0075569A" w:rsidP="008851FF">
      <w:pPr>
        <w:tabs>
          <w:tab w:val="left" w:pos="426"/>
        </w:tabs>
        <w:spacing w:line="240" w:lineRule="auto"/>
        <w:jc w:val="both"/>
        <w:rPr>
          <w:rFonts w:cs="Arial"/>
          <w:szCs w:val="22"/>
        </w:rPr>
      </w:pPr>
    </w:p>
    <w:p w:rsidR="0075569A" w:rsidRPr="005F15DA" w:rsidRDefault="0075569A" w:rsidP="008851FF">
      <w:pPr>
        <w:tabs>
          <w:tab w:val="left" w:pos="426"/>
        </w:tabs>
        <w:spacing w:line="240" w:lineRule="auto"/>
        <w:jc w:val="both"/>
        <w:rPr>
          <w:rFonts w:cs="Arial"/>
          <w:szCs w:val="22"/>
        </w:rPr>
      </w:pPr>
      <w:r w:rsidRPr="005F15DA">
        <w:rPr>
          <w:rFonts w:cs="Arial"/>
          <w:szCs w:val="22"/>
        </w:rPr>
        <w:t xml:space="preserve">Naturkräfte, welche der rechtlichen Herrschaft unterworfen werden können und nicht zu den Grundstücken gehören, </w:t>
      </w:r>
      <w:r w:rsidR="00CC4B98" w:rsidRPr="005F15DA">
        <w:rPr>
          <w:rFonts w:cs="Arial"/>
          <w:szCs w:val="22"/>
        </w:rPr>
        <w:t>sind ebenfalls Fahrnis, z.B. Energien.</w:t>
      </w:r>
    </w:p>
    <w:p w:rsidR="00CC4B98" w:rsidRPr="005F15DA" w:rsidRDefault="00CC4B98" w:rsidP="008851FF">
      <w:pPr>
        <w:tabs>
          <w:tab w:val="left" w:pos="426"/>
        </w:tabs>
        <w:spacing w:line="240" w:lineRule="auto"/>
        <w:jc w:val="both"/>
        <w:rPr>
          <w:rFonts w:cs="Arial"/>
          <w:szCs w:val="22"/>
        </w:rPr>
      </w:pPr>
    </w:p>
    <w:p w:rsidR="00CC4B98" w:rsidRPr="005F15DA" w:rsidRDefault="00CC4B98" w:rsidP="008851FF">
      <w:pPr>
        <w:tabs>
          <w:tab w:val="left" w:pos="426"/>
        </w:tabs>
        <w:spacing w:line="240" w:lineRule="auto"/>
        <w:jc w:val="both"/>
        <w:rPr>
          <w:rFonts w:cs="Arial"/>
          <w:szCs w:val="22"/>
        </w:rPr>
      </w:pPr>
      <w:r w:rsidRPr="005F15DA">
        <w:rPr>
          <w:rFonts w:cs="Arial"/>
          <w:szCs w:val="22"/>
        </w:rPr>
        <w:t>Dagegen fallen die Bestandteile an Grundstücken (ZGB 642) und die Zugehör (ZGB 644 ff.) unter das Grundeigentum</w:t>
      </w:r>
      <w:r w:rsidR="002636DE" w:rsidRPr="005F15DA">
        <w:rPr>
          <w:rFonts w:cs="Arial"/>
          <w:szCs w:val="22"/>
        </w:rPr>
        <w:t xml:space="preserve"> (siehe vorne) und nicht das Fahrniseigentum.</w:t>
      </w:r>
    </w:p>
    <w:p w:rsidR="00C060B8" w:rsidRPr="005F15DA" w:rsidRDefault="00C060B8" w:rsidP="008851FF">
      <w:pPr>
        <w:tabs>
          <w:tab w:val="left" w:pos="426"/>
        </w:tabs>
        <w:spacing w:line="240" w:lineRule="auto"/>
        <w:jc w:val="both"/>
        <w:rPr>
          <w:rFonts w:cs="Arial"/>
          <w:szCs w:val="22"/>
        </w:rPr>
      </w:pPr>
    </w:p>
    <w:p w:rsidR="00C060B8" w:rsidRPr="005F15DA" w:rsidRDefault="00C060B8" w:rsidP="008851FF">
      <w:pPr>
        <w:tabs>
          <w:tab w:val="left" w:pos="426"/>
        </w:tabs>
        <w:spacing w:line="240" w:lineRule="auto"/>
        <w:jc w:val="both"/>
        <w:rPr>
          <w:rFonts w:cs="Arial"/>
          <w:szCs w:val="22"/>
        </w:rPr>
      </w:pPr>
    </w:p>
    <w:p w:rsidR="00B828BF" w:rsidRPr="005F15DA" w:rsidRDefault="00B828BF" w:rsidP="008851FF">
      <w:pPr>
        <w:tabs>
          <w:tab w:val="left" w:pos="426"/>
        </w:tabs>
        <w:spacing w:line="240" w:lineRule="auto"/>
        <w:jc w:val="both"/>
        <w:rPr>
          <w:rFonts w:cs="Arial"/>
          <w:szCs w:val="22"/>
        </w:rPr>
      </w:pPr>
    </w:p>
    <w:p w:rsidR="00C060B8" w:rsidRPr="005F15DA" w:rsidRDefault="00B828BF" w:rsidP="005759BE">
      <w:pPr>
        <w:pStyle w:val="berschrift3"/>
        <w:rPr>
          <w:lang w:val="de-CH"/>
        </w:rPr>
      </w:pPr>
      <w:bookmarkStart w:id="144" w:name="_Toc432175664"/>
      <w:r w:rsidRPr="005F15DA">
        <w:rPr>
          <w:lang w:val="de-CH"/>
        </w:rPr>
        <w:t>B.</w:t>
      </w:r>
      <w:r w:rsidRPr="005F15DA">
        <w:rPr>
          <w:lang w:val="de-CH"/>
        </w:rPr>
        <w:tab/>
      </w:r>
      <w:r w:rsidR="00C060B8" w:rsidRPr="005F15DA">
        <w:rPr>
          <w:lang w:val="de-CH"/>
        </w:rPr>
        <w:t>Erwerbsarten (Art. 714 – 728 ZGB)</w:t>
      </w:r>
      <w:bookmarkEnd w:id="144"/>
    </w:p>
    <w:p w:rsidR="00C060B8" w:rsidRPr="005F15DA" w:rsidRDefault="00C060B8" w:rsidP="008851FF">
      <w:pPr>
        <w:spacing w:line="240" w:lineRule="auto"/>
        <w:jc w:val="both"/>
        <w:rPr>
          <w:rFonts w:cs="Arial"/>
          <w:szCs w:val="22"/>
        </w:rPr>
      </w:pPr>
    </w:p>
    <w:p w:rsidR="00C060B8" w:rsidRPr="005F15DA" w:rsidRDefault="002636DE" w:rsidP="005B0708">
      <w:pPr>
        <w:pStyle w:val="berschrift4"/>
      </w:pPr>
      <w:r w:rsidRPr="005F15DA">
        <w:t>1.</w:t>
      </w:r>
      <w:r w:rsidRPr="005F15DA">
        <w:tab/>
        <w:t>Besitzübertragung</w:t>
      </w:r>
    </w:p>
    <w:p w:rsidR="002636DE" w:rsidRPr="005F15DA" w:rsidRDefault="002636DE" w:rsidP="008851FF">
      <w:pPr>
        <w:tabs>
          <w:tab w:val="left" w:pos="426"/>
        </w:tabs>
        <w:spacing w:line="240" w:lineRule="auto"/>
        <w:ind w:left="426" w:hanging="426"/>
        <w:jc w:val="both"/>
        <w:rPr>
          <w:rFonts w:cs="Arial"/>
          <w:szCs w:val="22"/>
        </w:rPr>
      </w:pPr>
      <w:r w:rsidRPr="005F15DA">
        <w:rPr>
          <w:rFonts w:cs="Arial"/>
          <w:szCs w:val="22"/>
        </w:rPr>
        <w:tab/>
        <w:t>Das Eigentum an Fahrnis wird durch Übergabe des Gegenstandes an den Erwerber übertragen.</w:t>
      </w:r>
      <w:r w:rsidR="00C94A37" w:rsidRPr="005F15DA">
        <w:rPr>
          <w:rFonts w:cs="Arial"/>
          <w:szCs w:val="22"/>
        </w:rPr>
        <w:t xml:space="preserve"> Erwirbt ein Gutgläubiger die Fahrnis von einem Nichteigentümer aber Besi</w:t>
      </w:r>
      <w:r w:rsidR="00C94A37" w:rsidRPr="005F15DA">
        <w:rPr>
          <w:rFonts w:cs="Arial"/>
          <w:szCs w:val="22"/>
        </w:rPr>
        <w:t>t</w:t>
      </w:r>
      <w:r w:rsidR="00C94A37" w:rsidRPr="005F15DA">
        <w:rPr>
          <w:rFonts w:cs="Arial"/>
          <w:szCs w:val="22"/>
        </w:rPr>
        <w:lastRenderedPageBreak/>
        <w:t>zer, wird der gutgläubige Erwerber in seinem Eigentum geschützt, sobald er nach den Besitzesregeln (Art. 926 ff. ZGB) im Besitz der Sache geschützt ist.</w:t>
      </w:r>
    </w:p>
    <w:p w:rsidR="00C94A37" w:rsidRPr="005F15DA" w:rsidRDefault="00C94A37" w:rsidP="008851FF">
      <w:pPr>
        <w:tabs>
          <w:tab w:val="left" w:pos="426"/>
        </w:tabs>
        <w:spacing w:line="240" w:lineRule="auto"/>
        <w:jc w:val="both"/>
        <w:rPr>
          <w:rFonts w:cs="Arial"/>
          <w:szCs w:val="22"/>
        </w:rPr>
      </w:pPr>
    </w:p>
    <w:p w:rsidR="00C94A37" w:rsidRPr="005F15DA" w:rsidRDefault="00C94A37" w:rsidP="005B0708">
      <w:pPr>
        <w:pStyle w:val="berschrift4"/>
      </w:pPr>
      <w:r w:rsidRPr="005F15DA">
        <w:t>2.</w:t>
      </w:r>
      <w:r w:rsidRPr="005F15DA">
        <w:tab/>
        <w:t>Eigentumsvorbehalt</w:t>
      </w:r>
    </w:p>
    <w:p w:rsidR="00C94A37" w:rsidRPr="005F15DA" w:rsidRDefault="00C94A37" w:rsidP="008851FF">
      <w:pPr>
        <w:tabs>
          <w:tab w:val="left" w:pos="426"/>
        </w:tabs>
        <w:spacing w:line="240" w:lineRule="auto"/>
        <w:jc w:val="both"/>
        <w:rPr>
          <w:rFonts w:cs="Arial"/>
          <w:szCs w:val="22"/>
        </w:rPr>
      </w:pPr>
      <w:r w:rsidRPr="005F15DA">
        <w:rPr>
          <w:rFonts w:cs="Arial"/>
          <w:szCs w:val="22"/>
        </w:rPr>
        <w:tab/>
        <w:t>Im Viehhandel ist kein Eigentumsvorbehalt möglich.</w:t>
      </w:r>
    </w:p>
    <w:p w:rsidR="00C94A37" w:rsidRPr="005F15DA" w:rsidRDefault="00C94A37" w:rsidP="008851FF">
      <w:pPr>
        <w:tabs>
          <w:tab w:val="left" w:pos="426"/>
        </w:tabs>
        <w:spacing w:line="240" w:lineRule="auto"/>
        <w:ind w:left="426" w:hanging="426"/>
        <w:jc w:val="both"/>
        <w:rPr>
          <w:rFonts w:cs="Arial"/>
          <w:szCs w:val="22"/>
        </w:rPr>
      </w:pPr>
      <w:r w:rsidRPr="005F15DA">
        <w:rPr>
          <w:rFonts w:cs="Arial"/>
          <w:szCs w:val="22"/>
        </w:rPr>
        <w:tab/>
        <w:t>Alle anderen Fahrnisgegenstände können unter Eigentumsvorbehalt erworben werden</w:t>
      </w:r>
      <w:r w:rsidR="00F93A44" w:rsidRPr="005F15DA">
        <w:rPr>
          <w:rFonts w:cs="Arial"/>
          <w:szCs w:val="22"/>
        </w:rPr>
        <w:t xml:space="preserve"> (z.B. bei Abzahlungsgeschäften), wenn der Eigentumsvorbehalt in ein spezielles Register eingetragen wird (ohne Registereintrag ist der Eigentumsvorbehalt nicht wirksam).</w:t>
      </w:r>
    </w:p>
    <w:p w:rsidR="00F93A44" w:rsidRPr="005F15DA" w:rsidRDefault="00F93A44" w:rsidP="008851FF">
      <w:pPr>
        <w:tabs>
          <w:tab w:val="left" w:pos="426"/>
        </w:tabs>
        <w:spacing w:line="240" w:lineRule="auto"/>
        <w:jc w:val="both"/>
        <w:rPr>
          <w:rFonts w:cs="Arial"/>
          <w:szCs w:val="22"/>
        </w:rPr>
      </w:pPr>
    </w:p>
    <w:p w:rsidR="00F93A44" w:rsidRPr="005F15DA" w:rsidRDefault="00F93A44" w:rsidP="005B0708">
      <w:pPr>
        <w:pStyle w:val="berschrift4"/>
      </w:pPr>
      <w:r w:rsidRPr="005F15DA">
        <w:t>3.</w:t>
      </w:r>
      <w:r w:rsidRPr="005F15DA">
        <w:tab/>
        <w:t>Erwerb ohne Besitz</w:t>
      </w:r>
    </w:p>
    <w:p w:rsidR="00F93A44" w:rsidRPr="005F15DA" w:rsidRDefault="00F93A44" w:rsidP="008851FF">
      <w:pPr>
        <w:tabs>
          <w:tab w:val="left" w:pos="426"/>
        </w:tabs>
        <w:spacing w:line="240" w:lineRule="auto"/>
        <w:ind w:left="426" w:hanging="426"/>
        <w:jc w:val="both"/>
        <w:rPr>
          <w:rFonts w:cs="Arial"/>
          <w:szCs w:val="22"/>
        </w:rPr>
      </w:pPr>
      <w:r w:rsidRPr="005F15DA">
        <w:rPr>
          <w:rFonts w:cs="Arial"/>
          <w:szCs w:val="22"/>
        </w:rPr>
        <w:tab/>
        <w:t>Ausnahmsweise kann jemand Eigentümer eines Fahrnisgegenstandes werden ohne gleichzeitig Besitzer des Gegenstandes zu werden; wegen eines besonderen Rechtsve</w:t>
      </w:r>
      <w:r w:rsidRPr="005F15DA">
        <w:rPr>
          <w:rFonts w:cs="Arial"/>
          <w:szCs w:val="22"/>
        </w:rPr>
        <w:t>r</w:t>
      </w:r>
      <w:r w:rsidRPr="005F15DA">
        <w:rPr>
          <w:rFonts w:cs="Arial"/>
          <w:szCs w:val="22"/>
        </w:rPr>
        <w:t>hältnisses verbleibt der Besitz beim vorherigen Eigentümer. Bsp.: Ein Auto wird verkauft, der vormalige Eigentümer behält sich aber für 3 Monate nach dem Verkauf die Nutzung des Autos vor.</w:t>
      </w:r>
    </w:p>
    <w:p w:rsidR="00F93A44" w:rsidRPr="005F15DA" w:rsidRDefault="00F93A44" w:rsidP="008851FF">
      <w:pPr>
        <w:tabs>
          <w:tab w:val="left" w:pos="426"/>
        </w:tabs>
        <w:spacing w:line="240" w:lineRule="auto"/>
        <w:ind w:left="426" w:hanging="426"/>
        <w:jc w:val="both"/>
        <w:rPr>
          <w:rFonts w:cs="Arial"/>
          <w:szCs w:val="22"/>
        </w:rPr>
      </w:pPr>
      <w:r w:rsidRPr="005F15DA">
        <w:rPr>
          <w:rFonts w:cs="Arial"/>
          <w:szCs w:val="22"/>
        </w:rPr>
        <w:tab/>
      </w:r>
      <w:r w:rsidR="00373A0A" w:rsidRPr="005F15DA">
        <w:rPr>
          <w:rFonts w:cs="Arial"/>
          <w:szCs w:val="22"/>
        </w:rPr>
        <w:t>Wenn aber durch die fehlende Besitzübertragung (der Eigentumsübergang ist ja nicht sichtbar) Dritte benachteiligt werden, ist der Eigentumsübergang diesen gegenüber u</w:t>
      </w:r>
      <w:r w:rsidR="00373A0A" w:rsidRPr="005F15DA">
        <w:rPr>
          <w:rFonts w:cs="Arial"/>
          <w:szCs w:val="22"/>
        </w:rPr>
        <w:t>n</w:t>
      </w:r>
      <w:r w:rsidR="00373A0A" w:rsidRPr="005F15DA">
        <w:rPr>
          <w:rFonts w:cs="Arial"/>
          <w:szCs w:val="22"/>
        </w:rPr>
        <w:t>wirksam.</w:t>
      </w:r>
    </w:p>
    <w:p w:rsidR="00373A0A" w:rsidRPr="005F15DA" w:rsidRDefault="00373A0A" w:rsidP="008851FF">
      <w:pPr>
        <w:tabs>
          <w:tab w:val="left" w:pos="426"/>
        </w:tabs>
        <w:spacing w:line="240" w:lineRule="auto"/>
        <w:jc w:val="both"/>
        <w:rPr>
          <w:rFonts w:cs="Arial"/>
          <w:szCs w:val="22"/>
        </w:rPr>
      </w:pPr>
    </w:p>
    <w:p w:rsidR="00373A0A" w:rsidRPr="005F15DA" w:rsidRDefault="00373A0A" w:rsidP="005B0708">
      <w:pPr>
        <w:pStyle w:val="berschrift4"/>
      </w:pPr>
      <w:r w:rsidRPr="005F15DA">
        <w:t>4.</w:t>
      </w:r>
      <w:r w:rsidRPr="005F15DA">
        <w:tab/>
        <w:t>Aneignung</w:t>
      </w:r>
    </w:p>
    <w:p w:rsidR="00373A0A" w:rsidRPr="005F15DA" w:rsidRDefault="00373A0A" w:rsidP="008851FF">
      <w:pPr>
        <w:tabs>
          <w:tab w:val="left" w:pos="426"/>
        </w:tabs>
        <w:spacing w:line="240" w:lineRule="auto"/>
        <w:ind w:left="426" w:hanging="426"/>
        <w:jc w:val="both"/>
        <w:rPr>
          <w:rFonts w:cs="Arial"/>
          <w:szCs w:val="22"/>
        </w:rPr>
      </w:pPr>
      <w:r w:rsidRPr="005F15DA">
        <w:rPr>
          <w:rFonts w:cs="Arial"/>
          <w:szCs w:val="22"/>
        </w:rPr>
        <w:tab/>
        <w:t>Eine herrenlose Sache wird dadurch zu Eigentum erworben, dass jemand sie mit dem Willen, ihr Eigentümer zu werden, in Besitz nimmt (z.B. Wildtiere).</w:t>
      </w:r>
    </w:p>
    <w:p w:rsidR="00373A0A" w:rsidRPr="005F15DA" w:rsidRDefault="00373A0A" w:rsidP="008851FF">
      <w:pPr>
        <w:tabs>
          <w:tab w:val="left" w:pos="426"/>
        </w:tabs>
        <w:spacing w:line="240" w:lineRule="auto"/>
        <w:jc w:val="both"/>
        <w:rPr>
          <w:rFonts w:cs="Arial"/>
          <w:szCs w:val="22"/>
        </w:rPr>
      </w:pPr>
    </w:p>
    <w:p w:rsidR="00373A0A" w:rsidRPr="005F15DA" w:rsidRDefault="00373A0A" w:rsidP="005B0708">
      <w:pPr>
        <w:pStyle w:val="berschrift4"/>
      </w:pPr>
      <w:r w:rsidRPr="005F15DA">
        <w:t>5.</w:t>
      </w:r>
      <w:r w:rsidRPr="005F15DA">
        <w:tab/>
        <w:t>Fund</w:t>
      </w:r>
    </w:p>
    <w:p w:rsidR="00373A0A" w:rsidRPr="005F15DA" w:rsidRDefault="00373A0A" w:rsidP="008851FF">
      <w:pPr>
        <w:tabs>
          <w:tab w:val="left" w:pos="426"/>
        </w:tabs>
        <w:spacing w:line="240" w:lineRule="auto"/>
        <w:ind w:left="426" w:hanging="426"/>
        <w:jc w:val="both"/>
        <w:rPr>
          <w:rFonts w:cs="Arial"/>
          <w:szCs w:val="22"/>
        </w:rPr>
      </w:pPr>
      <w:r w:rsidRPr="005F15DA">
        <w:rPr>
          <w:rFonts w:cs="Arial"/>
          <w:szCs w:val="22"/>
        </w:rPr>
        <w:tab/>
        <w:t xml:space="preserve">Wer eine </w:t>
      </w:r>
      <w:r w:rsidRPr="005F15DA">
        <w:rPr>
          <w:rFonts w:cs="Arial"/>
          <w:szCs w:val="22"/>
          <w:u w:val="single"/>
        </w:rPr>
        <w:t>verlorene Sache</w:t>
      </w:r>
      <w:r w:rsidRPr="005F15DA">
        <w:rPr>
          <w:rFonts w:cs="Arial"/>
          <w:szCs w:val="22"/>
        </w:rPr>
        <w:t xml:space="preserve"> findet muss den Eigentümer benachrichtigen.</w:t>
      </w:r>
      <w:r w:rsidR="006E0D33" w:rsidRPr="005F15DA">
        <w:rPr>
          <w:rFonts w:cs="Arial"/>
          <w:szCs w:val="22"/>
        </w:rPr>
        <w:t xml:space="preserve"> Ist der Eigent</w:t>
      </w:r>
      <w:r w:rsidR="006E0D33" w:rsidRPr="005F15DA">
        <w:rPr>
          <w:rFonts w:cs="Arial"/>
          <w:szCs w:val="22"/>
        </w:rPr>
        <w:t>ü</w:t>
      </w:r>
      <w:r w:rsidR="006E0D33" w:rsidRPr="005F15DA">
        <w:rPr>
          <w:rFonts w:cs="Arial"/>
          <w:szCs w:val="22"/>
        </w:rPr>
        <w:t>mer nicht bekannt, muss der Fund bei der Polizei gemeldet werden. Wurde die Sache in einem Gebäude oder einer Anstalt (Wohnhaus, Schule, Eisenbahnwaggon, usw.) gefu</w:t>
      </w:r>
      <w:r w:rsidR="006E0D33" w:rsidRPr="005F15DA">
        <w:rPr>
          <w:rFonts w:cs="Arial"/>
          <w:szCs w:val="22"/>
        </w:rPr>
        <w:t>n</w:t>
      </w:r>
      <w:r w:rsidR="006E0D33" w:rsidRPr="005F15DA">
        <w:rPr>
          <w:rFonts w:cs="Arial"/>
          <w:szCs w:val="22"/>
        </w:rPr>
        <w:t>den, muss die Sache dem Hausherrn, Mieter oder Hauswart abgeliefert werden.</w:t>
      </w:r>
    </w:p>
    <w:p w:rsidR="006E0D33" w:rsidRPr="005F15DA" w:rsidRDefault="006E0D33" w:rsidP="008851FF">
      <w:pPr>
        <w:tabs>
          <w:tab w:val="left" w:pos="426"/>
        </w:tabs>
        <w:spacing w:line="240" w:lineRule="auto"/>
        <w:ind w:left="426" w:hanging="426"/>
        <w:jc w:val="both"/>
        <w:rPr>
          <w:rFonts w:cs="Arial"/>
          <w:szCs w:val="22"/>
        </w:rPr>
      </w:pPr>
      <w:r w:rsidRPr="005F15DA">
        <w:rPr>
          <w:rFonts w:cs="Arial"/>
          <w:szCs w:val="22"/>
        </w:rPr>
        <w:tab/>
        <w:t>Die gefundene Sache muss aufbewahrt werden. Unter den Voraussetzungen von Art. 721 Abs. 2 ZGB darf sie versteigert werden.</w:t>
      </w:r>
    </w:p>
    <w:p w:rsidR="006E0D33" w:rsidRPr="005F15DA" w:rsidRDefault="006E0D33" w:rsidP="008851FF">
      <w:pPr>
        <w:tabs>
          <w:tab w:val="left" w:pos="426"/>
        </w:tabs>
        <w:spacing w:line="240" w:lineRule="auto"/>
        <w:ind w:left="426" w:hanging="426"/>
        <w:jc w:val="both"/>
        <w:rPr>
          <w:rFonts w:cs="Arial"/>
          <w:szCs w:val="22"/>
        </w:rPr>
      </w:pPr>
      <w:r w:rsidRPr="005F15DA">
        <w:rPr>
          <w:rFonts w:cs="Arial"/>
          <w:szCs w:val="22"/>
        </w:rPr>
        <w:tab/>
        <w:t>Wenn der Finder seinen Pflichten nachgekommen ist, wird er 5 Jahre nach Anzeige des Fundes</w:t>
      </w:r>
      <w:r w:rsidR="006F2D89" w:rsidRPr="005F15DA">
        <w:rPr>
          <w:rFonts w:cs="Arial"/>
          <w:szCs w:val="22"/>
        </w:rPr>
        <w:t xml:space="preserve"> neuer Eigentümer. Bei Haustieren beträgt die Frist 2 Monate.</w:t>
      </w:r>
    </w:p>
    <w:p w:rsidR="006F2D89" w:rsidRPr="005F15DA" w:rsidRDefault="006F2D89" w:rsidP="008851FF">
      <w:pPr>
        <w:tabs>
          <w:tab w:val="left" w:pos="426"/>
        </w:tabs>
        <w:spacing w:line="240" w:lineRule="auto"/>
        <w:ind w:left="426" w:hanging="426"/>
        <w:jc w:val="both"/>
        <w:rPr>
          <w:rFonts w:cs="Arial"/>
          <w:szCs w:val="22"/>
        </w:rPr>
      </w:pPr>
      <w:r w:rsidRPr="005F15DA">
        <w:rPr>
          <w:rFonts w:cs="Arial"/>
          <w:szCs w:val="22"/>
        </w:rPr>
        <w:tab/>
        <w:t>Wird die gefundene Sache dem Eigentümer übergeben, hat der Finder Anspruch auf E</w:t>
      </w:r>
      <w:r w:rsidRPr="005F15DA">
        <w:rPr>
          <w:rFonts w:cs="Arial"/>
          <w:szCs w:val="22"/>
        </w:rPr>
        <w:t>r</w:t>
      </w:r>
      <w:r w:rsidRPr="005F15DA">
        <w:rPr>
          <w:rFonts w:cs="Arial"/>
          <w:szCs w:val="22"/>
        </w:rPr>
        <w:t>satz seiner Auslagen und einen angemessenen Finderlohn.</w:t>
      </w:r>
    </w:p>
    <w:p w:rsidR="006F2D89" w:rsidRPr="005F15DA" w:rsidRDefault="006F2D89" w:rsidP="008851FF">
      <w:pPr>
        <w:tabs>
          <w:tab w:val="left" w:pos="426"/>
        </w:tabs>
        <w:spacing w:line="240" w:lineRule="auto"/>
        <w:ind w:left="426" w:hanging="426"/>
        <w:jc w:val="both"/>
        <w:rPr>
          <w:rFonts w:cs="Arial"/>
          <w:szCs w:val="22"/>
        </w:rPr>
      </w:pPr>
      <w:r w:rsidRPr="005F15DA">
        <w:rPr>
          <w:rFonts w:cs="Arial"/>
          <w:szCs w:val="22"/>
        </w:rPr>
        <w:tab/>
        <w:t>Ein Wertgegenstand, der lange Zeit vergraben oder verborgen war und keinen Eigent</w:t>
      </w:r>
      <w:r w:rsidRPr="005F15DA">
        <w:rPr>
          <w:rFonts w:cs="Arial"/>
          <w:szCs w:val="22"/>
        </w:rPr>
        <w:t>ü</w:t>
      </w:r>
      <w:r w:rsidRPr="005F15DA">
        <w:rPr>
          <w:rFonts w:cs="Arial"/>
          <w:szCs w:val="22"/>
        </w:rPr>
        <w:t xml:space="preserve">mer mehr hat wird als </w:t>
      </w:r>
      <w:r w:rsidRPr="005F15DA">
        <w:rPr>
          <w:rFonts w:cs="Arial"/>
          <w:szCs w:val="22"/>
          <w:u w:val="single"/>
        </w:rPr>
        <w:t>Schatz</w:t>
      </w:r>
      <w:r w:rsidRPr="005F15DA">
        <w:rPr>
          <w:rFonts w:cs="Arial"/>
          <w:szCs w:val="22"/>
        </w:rPr>
        <w:t xml:space="preserve"> bezeichnet und gehört dem Eigentümer des Grundstückes oder der Fahrnis, in welcher der Gegenstand gefunden wurde (Art. 723 ZGB).</w:t>
      </w:r>
    </w:p>
    <w:p w:rsidR="006F2D89" w:rsidRPr="005F15DA" w:rsidRDefault="006F2D89" w:rsidP="008851FF">
      <w:pPr>
        <w:tabs>
          <w:tab w:val="left" w:pos="426"/>
        </w:tabs>
        <w:spacing w:line="240" w:lineRule="auto"/>
        <w:ind w:left="426" w:hanging="426"/>
        <w:jc w:val="both"/>
        <w:rPr>
          <w:rFonts w:cs="Arial"/>
          <w:szCs w:val="22"/>
        </w:rPr>
      </w:pPr>
      <w:r w:rsidRPr="005F15DA">
        <w:rPr>
          <w:rFonts w:cs="Arial"/>
          <w:szCs w:val="22"/>
        </w:rPr>
        <w:tab/>
        <w:t xml:space="preserve">Herrenlose Naturkörper oder </w:t>
      </w:r>
      <w:r w:rsidRPr="005F15DA">
        <w:rPr>
          <w:rFonts w:cs="Arial"/>
          <w:szCs w:val="22"/>
          <w:u w:val="single"/>
        </w:rPr>
        <w:t>Altertümer von wissenschaftlichem Wert</w:t>
      </w:r>
      <w:r w:rsidR="009D780A" w:rsidRPr="005F15DA">
        <w:rPr>
          <w:rFonts w:cs="Arial"/>
          <w:szCs w:val="22"/>
        </w:rPr>
        <w:t xml:space="preserve"> (z.B. Ruinen</w:t>
      </w:r>
      <w:r w:rsidR="00945F6A" w:rsidRPr="005F15DA">
        <w:rPr>
          <w:rFonts w:cs="Arial"/>
          <w:szCs w:val="22"/>
        </w:rPr>
        <w:t xml:space="preserve"> aus der Römerzeit</w:t>
      </w:r>
      <w:r w:rsidR="009D780A" w:rsidRPr="005F15DA">
        <w:rPr>
          <w:rFonts w:cs="Arial"/>
          <w:szCs w:val="22"/>
        </w:rPr>
        <w:t>) sind Eigentum des Fund-Kantons (Art. 724). Solche Gegenstände können weder ersessen noch gutgläubig erworben werden. Der Herausgabeanspruch verjährt nicht. Der Grundeigentümer ist verpflichtet, die Ausgrabung zu gestatten.</w:t>
      </w:r>
    </w:p>
    <w:p w:rsidR="009D780A" w:rsidRPr="005F15DA" w:rsidRDefault="009D780A" w:rsidP="008851FF">
      <w:pPr>
        <w:tabs>
          <w:tab w:val="left" w:pos="426"/>
        </w:tabs>
        <w:spacing w:line="240" w:lineRule="auto"/>
        <w:jc w:val="both"/>
        <w:rPr>
          <w:rFonts w:cs="Arial"/>
          <w:szCs w:val="22"/>
        </w:rPr>
      </w:pPr>
    </w:p>
    <w:p w:rsidR="009D780A" w:rsidRPr="005F15DA" w:rsidRDefault="009D780A" w:rsidP="005B0708">
      <w:pPr>
        <w:pStyle w:val="berschrift4"/>
      </w:pPr>
      <w:r w:rsidRPr="005F15DA">
        <w:t>6.</w:t>
      </w:r>
      <w:r w:rsidRPr="005F15DA">
        <w:tab/>
        <w:t>Zuführung</w:t>
      </w:r>
    </w:p>
    <w:p w:rsidR="009D780A" w:rsidRPr="005F15DA" w:rsidRDefault="009D780A" w:rsidP="008851FF">
      <w:pPr>
        <w:tabs>
          <w:tab w:val="left" w:pos="426"/>
        </w:tabs>
        <w:spacing w:line="240" w:lineRule="auto"/>
        <w:ind w:left="426" w:hanging="426"/>
        <w:jc w:val="both"/>
        <w:rPr>
          <w:rFonts w:cs="Arial"/>
          <w:szCs w:val="22"/>
        </w:rPr>
      </w:pPr>
      <w:r w:rsidRPr="005F15DA">
        <w:rPr>
          <w:rFonts w:cs="Arial"/>
          <w:szCs w:val="22"/>
        </w:rPr>
        <w:tab/>
        <w:t xml:space="preserve">Von Zuführung spricht man, wenn jemand durch Naturgewalten (Wasser, Wind, Lawinen, usw.) oder durch zufällige Ereignisse </w:t>
      </w:r>
      <w:r w:rsidR="004148D9" w:rsidRPr="005F15DA">
        <w:rPr>
          <w:rFonts w:cs="Arial"/>
          <w:szCs w:val="22"/>
        </w:rPr>
        <w:t>Besitzer von Fahrnisgegenständen wird. Der Besi</w:t>
      </w:r>
      <w:r w:rsidR="004148D9" w:rsidRPr="005F15DA">
        <w:rPr>
          <w:rFonts w:cs="Arial"/>
          <w:szCs w:val="22"/>
        </w:rPr>
        <w:t>t</w:t>
      </w:r>
      <w:r w:rsidR="004148D9" w:rsidRPr="005F15DA">
        <w:rPr>
          <w:rFonts w:cs="Arial"/>
          <w:szCs w:val="22"/>
        </w:rPr>
        <w:t>zer hat in diesem Fall die Rechte und Pflichten eines Finders.</w:t>
      </w:r>
    </w:p>
    <w:p w:rsidR="009D780A" w:rsidRPr="005F15DA" w:rsidRDefault="009D780A" w:rsidP="008851FF">
      <w:pPr>
        <w:tabs>
          <w:tab w:val="left" w:pos="426"/>
        </w:tabs>
        <w:spacing w:line="240" w:lineRule="auto"/>
        <w:jc w:val="both"/>
        <w:rPr>
          <w:rFonts w:cs="Arial"/>
          <w:szCs w:val="22"/>
        </w:rPr>
      </w:pPr>
    </w:p>
    <w:p w:rsidR="009D780A" w:rsidRPr="005F15DA" w:rsidRDefault="009D780A" w:rsidP="005B0708">
      <w:pPr>
        <w:pStyle w:val="berschrift4"/>
      </w:pPr>
      <w:r w:rsidRPr="005F15DA">
        <w:t>7.</w:t>
      </w:r>
      <w:r w:rsidRPr="005F15DA">
        <w:tab/>
        <w:t>Verarbeitung</w:t>
      </w:r>
    </w:p>
    <w:p w:rsidR="00945F6A" w:rsidRPr="005F15DA" w:rsidRDefault="009D780A" w:rsidP="008851FF">
      <w:pPr>
        <w:tabs>
          <w:tab w:val="left" w:pos="426"/>
        </w:tabs>
        <w:spacing w:line="240" w:lineRule="auto"/>
        <w:ind w:left="426" w:hanging="426"/>
        <w:jc w:val="both"/>
        <w:rPr>
          <w:rFonts w:cs="Arial"/>
          <w:szCs w:val="22"/>
        </w:rPr>
      </w:pPr>
      <w:r w:rsidRPr="005F15DA">
        <w:rPr>
          <w:rFonts w:cs="Arial"/>
          <w:szCs w:val="22"/>
        </w:rPr>
        <w:tab/>
      </w:r>
      <w:r w:rsidR="000703FC" w:rsidRPr="005F15DA">
        <w:rPr>
          <w:rFonts w:cs="Arial"/>
          <w:szCs w:val="22"/>
        </w:rPr>
        <w:t>Wenn jemand eine fremde Sache verarbeitet</w:t>
      </w:r>
      <w:r w:rsidR="00945F6A" w:rsidRPr="005F15DA">
        <w:rPr>
          <w:rFonts w:cs="Arial"/>
          <w:szCs w:val="22"/>
        </w:rPr>
        <w:t xml:space="preserve"> und die Arbeit kostbarer als die fremde S</w:t>
      </w:r>
      <w:r w:rsidR="00945F6A" w:rsidRPr="005F15DA">
        <w:rPr>
          <w:rFonts w:cs="Arial"/>
          <w:szCs w:val="22"/>
        </w:rPr>
        <w:t>a</w:t>
      </w:r>
      <w:r w:rsidR="00945F6A" w:rsidRPr="005F15DA">
        <w:rPr>
          <w:rFonts w:cs="Arial"/>
          <w:szCs w:val="22"/>
        </w:rPr>
        <w:t>che ist</w:t>
      </w:r>
      <w:r w:rsidR="000703FC" w:rsidRPr="005F15DA">
        <w:rPr>
          <w:rFonts w:cs="Arial"/>
          <w:szCs w:val="22"/>
        </w:rPr>
        <w:t xml:space="preserve">, gehört die neue Sache dem Verarbeiter. </w:t>
      </w:r>
    </w:p>
    <w:p w:rsidR="00945F6A" w:rsidRPr="005F15DA" w:rsidRDefault="00945F6A" w:rsidP="008851FF">
      <w:pPr>
        <w:tabs>
          <w:tab w:val="left" w:pos="426"/>
        </w:tabs>
        <w:spacing w:line="240" w:lineRule="auto"/>
        <w:ind w:left="426" w:hanging="426"/>
        <w:jc w:val="both"/>
        <w:rPr>
          <w:rFonts w:cs="Arial"/>
          <w:szCs w:val="22"/>
        </w:rPr>
      </w:pPr>
      <w:r w:rsidRPr="005F15DA">
        <w:rPr>
          <w:rFonts w:cs="Arial"/>
          <w:szCs w:val="22"/>
        </w:rPr>
        <w:tab/>
      </w:r>
      <w:r w:rsidR="000703FC" w:rsidRPr="005F15DA">
        <w:rPr>
          <w:rFonts w:cs="Arial"/>
          <w:szCs w:val="22"/>
        </w:rPr>
        <w:t xml:space="preserve">Ist die fremde Sache </w:t>
      </w:r>
      <w:r w:rsidR="007147BA" w:rsidRPr="005F15DA">
        <w:rPr>
          <w:rFonts w:cs="Arial"/>
          <w:szCs w:val="22"/>
        </w:rPr>
        <w:t xml:space="preserve">(der Ausgangsstoff) </w:t>
      </w:r>
      <w:r w:rsidR="000703FC" w:rsidRPr="005F15DA">
        <w:rPr>
          <w:rFonts w:cs="Arial"/>
          <w:szCs w:val="22"/>
        </w:rPr>
        <w:t xml:space="preserve">kostbarer als die Arbeit, gehört die neue Sache dem ursprünglichen Eigentümer der Sache (des Ausgangsstoffes). </w:t>
      </w:r>
    </w:p>
    <w:p w:rsidR="009D780A" w:rsidRPr="005F15DA" w:rsidRDefault="00945F6A" w:rsidP="008851FF">
      <w:pPr>
        <w:tabs>
          <w:tab w:val="left" w:pos="426"/>
        </w:tabs>
        <w:spacing w:line="240" w:lineRule="auto"/>
        <w:ind w:left="426" w:hanging="426"/>
        <w:jc w:val="both"/>
        <w:rPr>
          <w:rFonts w:cs="Arial"/>
          <w:szCs w:val="22"/>
        </w:rPr>
      </w:pPr>
      <w:r w:rsidRPr="005F15DA">
        <w:rPr>
          <w:rFonts w:cs="Arial"/>
          <w:szCs w:val="22"/>
        </w:rPr>
        <w:lastRenderedPageBreak/>
        <w:tab/>
      </w:r>
      <w:r w:rsidR="000703FC" w:rsidRPr="005F15DA">
        <w:rPr>
          <w:rFonts w:cs="Arial"/>
          <w:szCs w:val="22"/>
        </w:rPr>
        <w:t>Selbstverständlich greifen hier der Gutglaubensschutz und die Ansprüche auf Schade</w:t>
      </w:r>
      <w:r w:rsidR="000703FC" w:rsidRPr="005F15DA">
        <w:rPr>
          <w:rFonts w:cs="Arial"/>
          <w:szCs w:val="22"/>
        </w:rPr>
        <w:t>n</w:t>
      </w:r>
      <w:r w:rsidR="000703FC" w:rsidRPr="005F15DA">
        <w:rPr>
          <w:rFonts w:cs="Arial"/>
          <w:szCs w:val="22"/>
        </w:rPr>
        <w:t>ersatz und aus Bereicherung.</w:t>
      </w:r>
    </w:p>
    <w:p w:rsidR="009D780A" w:rsidRPr="005F15DA" w:rsidRDefault="009D780A" w:rsidP="008851FF">
      <w:pPr>
        <w:tabs>
          <w:tab w:val="left" w:pos="426"/>
        </w:tabs>
        <w:spacing w:line="240" w:lineRule="auto"/>
        <w:jc w:val="both"/>
        <w:rPr>
          <w:rFonts w:cs="Arial"/>
          <w:szCs w:val="22"/>
        </w:rPr>
      </w:pPr>
    </w:p>
    <w:p w:rsidR="009D780A" w:rsidRPr="005F15DA" w:rsidRDefault="009D780A" w:rsidP="005B0708">
      <w:pPr>
        <w:pStyle w:val="berschrift4"/>
      </w:pPr>
      <w:r w:rsidRPr="005F15DA">
        <w:t>8.</w:t>
      </w:r>
      <w:r w:rsidRPr="005F15DA">
        <w:tab/>
        <w:t>Verbindung und Vermischung</w:t>
      </w:r>
    </w:p>
    <w:p w:rsidR="009D780A" w:rsidRPr="005F15DA" w:rsidRDefault="009D780A" w:rsidP="008851FF">
      <w:pPr>
        <w:tabs>
          <w:tab w:val="left" w:pos="426"/>
        </w:tabs>
        <w:spacing w:line="240" w:lineRule="auto"/>
        <w:ind w:left="426" w:hanging="426"/>
        <w:jc w:val="both"/>
        <w:rPr>
          <w:rFonts w:cs="Arial"/>
          <w:szCs w:val="22"/>
        </w:rPr>
      </w:pPr>
      <w:r w:rsidRPr="005F15DA">
        <w:rPr>
          <w:rFonts w:cs="Arial"/>
          <w:szCs w:val="22"/>
        </w:rPr>
        <w:tab/>
      </w:r>
      <w:r w:rsidR="007147BA" w:rsidRPr="005F15DA">
        <w:rPr>
          <w:rFonts w:cs="Arial"/>
          <w:szCs w:val="22"/>
        </w:rPr>
        <w:t>Wenn Sachen verschiedener Eigentümer so miteinander verbunden oder vermischt we</w:t>
      </w:r>
      <w:r w:rsidR="007147BA" w:rsidRPr="005F15DA">
        <w:rPr>
          <w:rFonts w:cs="Arial"/>
          <w:szCs w:val="22"/>
        </w:rPr>
        <w:t>r</w:t>
      </w:r>
      <w:r w:rsidR="007147BA" w:rsidRPr="005F15DA">
        <w:rPr>
          <w:rFonts w:cs="Arial"/>
          <w:szCs w:val="22"/>
        </w:rPr>
        <w:t>den, dass die neue Sache nicht ohne wesentliche Beschädigung oder unverhältnismäss</w:t>
      </w:r>
      <w:r w:rsidR="007147BA" w:rsidRPr="005F15DA">
        <w:rPr>
          <w:rFonts w:cs="Arial"/>
          <w:szCs w:val="22"/>
        </w:rPr>
        <w:t>i</w:t>
      </w:r>
      <w:r w:rsidR="007147BA" w:rsidRPr="005F15DA">
        <w:rPr>
          <w:rFonts w:cs="Arial"/>
          <w:szCs w:val="22"/>
        </w:rPr>
        <w:t>ge Arbeit und Auslagen in die ursprünglichen Bestandteile aufgeteilt werden kann, we</w:t>
      </w:r>
      <w:r w:rsidR="007147BA" w:rsidRPr="005F15DA">
        <w:rPr>
          <w:rFonts w:cs="Arial"/>
          <w:szCs w:val="22"/>
        </w:rPr>
        <w:t>r</w:t>
      </w:r>
      <w:r w:rsidR="007147BA" w:rsidRPr="005F15DA">
        <w:rPr>
          <w:rFonts w:cs="Arial"/>
          <w:szCs w:val="22"/>
        </w:rPr>
        <w:t>den die Beteiligten zu Miteigentümern der neuen Sache entsprechend des Wertes der u</w:t>
      </w:r>
      <w:r w:rsidR="007147BA" w:rsidRPr="005F15DA">
        <w:rPr>
          <w:rFonts w:cs="Arial"/>
          <w:szCs w:val="22"/>
        </w:rPr>
        <w:t>r</w:t>
      </w:r>
      <w:r w:rsidR="007147BA" w:rsidRPr="005F15DA">
        <w:rPr>
          <w:rFonts w:cs="Arial"/>
          <w:szCs w:val="22"/>
        </w:rPr>
        <w:t>sprünglichen Bestandteile.</w:t>
      </w:r>
    </w:p>
    <w:p w:rsidR="009D780A" w:rsidRPr="005F15DA" w:rsidRDefault="009D780A" w:rsidP="008851FF">
      <w:pPr>
        <w:tabs>
          <w:tab w:val="left" w:pos="426"/>
        </w:tabs>
        <w:spacing w:line="240" w:lineRule="auto"/>
        <w:jc w:val="both"/>
        <w:rPr>
          <w:rFonts w:cs="Arial"/>
          <w:szCs w:val="22"/>
        </w:rPr>
      </w:pPr>
    </w:p>
    <w:p w:rsidR="009D780A" w:rsidRPr="005F15DA" w:rsidRDefault="009D780A" w:rsidP="005B0708">
      <w:pPr>
        <w:pStyle w:val="berschrift4"/>
      </w:pPr>
      <w:r w:rsidRPr="005F15DA">
        <w:t>9.</w:t>
      </w:r>
      <w:r w:rsidRPr="005F15DA">
        <w:tab/>
        <w:t>Ersitzung</w:t>
      </w:r>
    </w:p>
    <w:p w:rsidR="009D780A" w:rsidRPr="005F15DA" w:rsidRDefault="009D780A" w:rsidP="008851FF">
      <w:pPr>
        <w:tabs>
          <w:tab w:val="left" w:pos="426"/>
        </w:tabs>
        <w:spacing w:line="240" w:lineRule="auto"/>
        <w:ind w:left="426" w:hanging="426"/>
        <w:jc w:val="both"/>
        <w:rPr>
          <w:rFonts w:cs="Arial"/>
          <w:szCs w:val="22"/>
        </w:rPr>
      </w:pPr>
      <w:r w:rsidRPr="005F15DA">
        <w:rPr>
          <w:rFonts w:cs="Arial"/>
          <w:szCs w:val="22"/>
        </w:rPr>
        <w:tab/>
      </w:r>
      <w:r w:rsidR="007147BA" w:rsidRPr="005F15DA">
        <w:rPr>
          <w:rFonts w:cs="Arial"/>
          <w:szCs w:val="22"/>
        </w:rPr>
        <w:t>Wenn jemand fremde Fahrnis während 5 Jahren gutgläubig, ununterbrochen und una</w:t>
      </w:r>
      <w:r w:rsidR="007147BA" w:rsidRPr="005F15DA">
        <w:rPr>
          <w:rFonts w:cs="Arial"/>
          <w:szCs w:val="22"/>
        </w:rPr>
        <w:t>n</w:t>
      </w:r>
      <w:r w:rsidR="007147BA" w:rsidRPr="005F15DA">
        <w:rPr>
          <w:rFonts w:cs="Arial"/>
          <w:szCs w:val="22"/>
        </w:rPr>
        <w:t>gefochten in seinem Besitz hatte</w:t>
      </w:r>
      <w:r w:rsidR="00BA0090" w:rsidRPr="005F15DA">
        <w:rPr>
          <w:rFonts w:cs="Arial"/>
          <w:szCs w:val="22"/>
        </w:rPr>
        <w:t xml:space="preserve"> und glaubte er sei deren Eigentümer</w:t>
      </w:r>
      <w:r w:rsidR="007147BA" w:rsidRPr="005F15DA">
        <w:rPr>
          <w:rFonts w:cs="Arial"/>
          <w:szCs w:val="22"/>
        </w:rPr>
        <w:t>, wird er durch E</w:t>
      </w:r>
      <w:r w:rsidR="007147BA" w:rsidRPr="005F15DA">
        <w:rPr>
          <w:rFonts w:cs="Arial"/>
          <w:szCs w:val="22"/>
        </w:rPr>
        <w:t>r</w:t>
      </w:r>
      <w:r w:rsidR="007147BA" w:rsidRPr="005F15DA">
        <w:rPr>
          <w:rFonts w:cs="Arial"/>
          <w:szCs w:val="22"/>
        </w:rPr>
        <w:t>sitzung Eigentümer der Sache. Bei Haustieren beträgt die Frist 2 Monate.</w:t>
      </w:r>
    </w:p>
    <w:p w:rsidR="00C060B8" w:rsidRPr="005F15DA" w:rsidRDefault="00C060B8" w:rsidP="008851FF">
      <w:pPr>
        <w:tabs>
          <w:tab w:val="left" w:pos="426"/>
        </w:tabs>
        <w:spacing w:line="240" w:lineRule="auto"/>
        <w:jc w:val="both"/>
        <w:rPr>
          <w:rFonts w:cs="Arial"/>
          <w:szCs w:val="22"/>
        </w:rPr>
      </w:pPr>
    </w:p>
    <w:p w:rsidR="00B828BF" w:rsidRPr="005F15DA" w:rsidRDefault="00B828BF" w:rsidP="008851FF">
      <w:pPr>
        <w:tabs>
          <w:tab w:val="left" w:pos="426"/>
        </w:tabs>
        <w:spacing w:line="240" w:lineRule="auto"/>
        <w:jc w:val="both"/>
        <w:rPr>
          <w:rFonts w:cs="Arial"/>
          <w:szCs w:val="22"/>
        </w:rPr>
      </w:pPr>
    </w:p>
    <w:p w:rsidR="00C060B8" w:rsidRPr="005F15DA" w:rsidRDefault="00C060B8" w:rsidP="008851FF">
      <w:pPr>
        <w:tabs>
          <w:tab w:val="left" w:pos="426"/>
        </w:tabs>
        <w:spacing w:line="240" w:lineRule="auto"/>
        <w:jc w:val="both"/>
        <w:rPr>
          <w:rFonts w:cs="Arial"/>
          <w:szCs w:val="22"/>
        </w:rPr>
      </w:pPr>
    </w:p>
    <w:p w:rsidR="00C060B8" w:rsidRPr="005F15DA" w:rsidRDefault="00B828BF" w:rsidP="005759BE">
      <w:pPr>
        <w:pStyle w:val="berschrift3"/>
        <w:rPr>
          <w:lang w:val="de-CH"/>
        </w:rPr>
      </w:pPr>
      <w:bookmarkStart w:id="145" w:name="_Toc432175665"/>
      <w:r w:rsidRPr="005F15DA">
        <w:rPr>
          <w:lang w:val="de-CH"/>
        </w:rPr>
        <w:t>C.</w:t>
      </w:r>
      <w:r w:rsidRPr="005F15DA">
        <w:rPr>
          <w:lang w:val="de-CH"/>
        </w:rPr>
        <w:tab/>
      </w:r>
      <w:r w:rsidR="00C060B8" w:rsidRPr="005F15DA">
        <w:rPr>
          <w:lang w:val="de-CH"/>
        </w:rPr>
        <w:t>Verlust (Art. 729 ZGB)</w:t>
      </w:r>
      <w:bookmarkEnd w:id="145"/>
    </w:p>
    <w:p w:rsidR="00C060B8" w:rsidRPr="005F15DA" w:rsidRDefault="00C060B8" w:rsidP="008851FF">
      <w:pPr>
        <w:spacing w:line="240" w:lineRule="auto"/>
        <w:jc w:val="both"/>
        <w:rPr>
          <w:rFonts w:cs="Arial"/>
          <w:szCs w:val="22"/>
        </w:rPr>
      </w:pPr>
    </w:p>
    <w:p w:rsidR="00C060B8" w:rsidRPr="005F15DA" w:rsidRDefault="00BA0090" w:rsidP="008851FF">
      <w:pPr>
        <w:spacing w:line="240" w:lineRule="auto"/>
        <w:jc w:val="both"/>
        <w:rPr>
          <w:rFonts w:cs="Arial"/>
          <w:szCs w:val="22"/>
        </w:rPr>
      </w:pPr>
      <w:r w:rsidRPr="005F15DA">
        <w:rPr>
          <w:rFonts w:cs="Arial"/>
          <w:szCs w:val="22"/>
        </w:rPr>
        <w:t>Auch wenn jemand den Besitz an Fahrnis verloren hat, geht sein Eigentum erst mit der Au</w:t>
      </w:r>
      <w:r w:rsidRPr="005F15DA">
        <w:rPr>
          <w:rFonts w:cs="Arial"/>
          <w:szCs w:val="22"/>
        </w:rPr>
        <w:t>f</w:t>
      </w:r>
      <w:r w:rsidRPr="005F15DA">
        <w:rPr>
          <w:rFonts w:cs="Arial"/>
          <w:szCs w:val="22"/>
        </w:rPr>
        <w:t>gabe des Eigentumsrechts unter (willentliche Aufgabe des Eigentums), oder wenn ein Dritter das Eigentum rechtmässig erwirbt (z.B. bei rechtmässigem Erwerb einer Fundsache).</w:t>
      </w:r>
    </w:p>
    <w:p w:rsidR="00C060B8" w:rsidRPr="005F15DA" w:rsidRDefault="00C060B8" w:rsidP="008851FF">
      <w:pPr>
        <w:spacing w:line="240" w:lineRule="auto"/>
        <w:jc w:val="both"/>
        <w:rPr>
          <w:rFonts w:cs="Arial"/>
          <w:szCs w:val="22"/>
        </w:rPr>
      </w:pPr>
    </w:p>
    <w:p w:rsidR="00C060B8" w:rsidRPr="005F15DA" w:rsidRDefault="00C060B8" w:rsidP="008851FF">
      <w:pPr>
        <w:tabs>
          <w:tab w:val="left" w:pos="426"/>
        </w:tabs>
        <w:spacing w:line="240" w:lineRule="auto"/>
        <w:jc w:val="both"/>
        <w:rPr>
          <w:rFonts w:cs="Arial"/>
          <w:szCs w:val="22"/>
        </w:rPr>
      </w:pPr>
    </w:p>
    <w:p w:rsidR="00B828BF" w:rsidRPr="005F15DA" w:rsidRDefault="00B828BF" w:rsidP="008851FF">
      <w:pPr>
        <w:tabs>
          <w:tab w:val="left" w:pos="426"/>
        </w:tabs>
        <w:spacing w:line="240" w:lineRule="auto"/>
        <w:jc w:val="both"/>
        <w:rPr>
          <w:rFonts w:cs="Arial"/>
          <w:szCs w:val="22"/>
        </w:rPr>
      </w:pPr>
    </w:p>
    <w:p w:rsidR="00C060B8" w:rsidRPr="005F15DA" w:rsidRDefault="00C060B8" w:rsidP="008851FF">
      <w:pPr>
        <w:tabs>
          <w:tab w:val="left" w:pos="426"/>
        </w:tabs>
        <w:spacing w:line="240" w:lineRule="auto"/>
        <w:jc w:val="both"/>
        <w:rPr>
          <w:rFonts w:cs="Arial"/>
          <w:szCs w:val="22"/>
        </w:rPr>
      </w:pPr>
    </w:p>
    <w:p w:rsidR="00C060B8" w:rsidRPr="005F15DA" w:rsidRDefault="00C060B8" w:rsidP="00E36E8F">
      <w:pPr>
        <w:pStyle w:val="berschrift2"/>
      </w:pPr>
      <w:bookmarkStart w:id="146" w:name="_Toc432175666"/>
      <w:r w:rsidRPr="005F15DA">
        <w:t xml:space="preserve">V. Die </w:t>
      </w:r>
      <w:r w:rsidR="004E576A" w:rsidRPr="005F15DA">
        <w:t xml:space="preserve">Dienstbarkeiten und Grundlasten </w:t>
      </w:r>
      <w:r w:rsidRPr="005F15DA">
        <w:t>(Art. 730 ff. ZGB)</w:t>
      </w:r>
      <w:bookmarkEnd w:id="146"/>
    </w:p>
    <w:p w:rsidR="00E90D39" w:rsidRPr="005F15DA" w:rsidRDefault="00E90D39" w:rsidP="00E90D39">
      <w:r w:rsidRPr="005F15DA">
        <w:t>______________________________________________</w:t>
      </w:r>
      <w:r>
        <w:t>____________</w:t>
      </w:r>
      <w:r w:rsidR="00CF04FF">
        <w:t>_____________</w:t>
      </w:r>
    </w:p>
    <w:p w:rsidR="00C060B8" w:rsidRPr="005F15DA" w:rsidRDefault="00C060B8" w:rsidP="008851FF">
      <w:pPr>
        <w:tabs>
          <w:tab w:val="left" w:pos="426"/>
        </w:tabs>
        <w:spacing w:line="240" w:lineRule="auto"/>
        <w:jc w:val="both"/>
        <w:rPr>
          <w:rFonts w:cs="Arial"/>
          <w:szCs w:val="22"/>
        </w:rPr>
      </w:pPr>
    </w:p>
    <w:p w:rsidR="00945F6A" w:rsidRPr="005F15DA" w:rsidRDefault="00945F6A" w:rsidP="008851FF">
      <w:pPr>
        <w:tabs>
          <w:tab w:val="left" w:pos="426"/>
        </w:tabs>
        <w:spacing w:line="240" w:lineRule="auto"/>
        <w:jc w:val="both"/>
        <w:rPr>
          <w:rFonts w:cs="Arial"/>
          <w:szCs w:val="22"/>
        </w:rPr>
      </w:pPr>
      <w:r w:rsidRPr="005F15DA">
        <w:rPr>
          <w:rFonts w:cs="Arial"/>
          <w:szCs w:val="22"/>
        </w:rPr>
        <w:t>Bei den Dienstbarkeiten gibt es folgende Arten:</w:t>
      </w:r>
    </w:p>
    <w:p w:rsidR="00945F6A" w:rsidRPr="005F15DA" w:rsidRDefault="00945F6A" w:rsidP="009D34F3">
      <w:pPr>
        <w:pStyle w:val="Listenabsatz"/>
        <w:numPr>
          <w:ilvl w:val="0"/>
          <w:numId w:val="11"/>
        </w:numPr>
        <w:tabs>
          <w:tab w:val="left" w:pos="426"/>
        </w:tabs>
        <w:spacing w:line="240" w:lineRule="auto"/>
        <w:ind w:left="426" w:hanging="426"/>
        <w:jc w:val="both"/>
        <w:rPr>
          <w:rFonts w:cs="Arial"/>
          <w:szCs w:val="22"/>
        </w:rPr>
      </w:pPr>
      <w:r w:rsidRPr="005F15DA">
        <w:rPr>
          <w:rFonts w:cs="Arial"/>
          <w:szCs w:val="22"/>
        </w:rPr>
        <w:t>Grunddienstbarkeiten (belastet und berechtigt ist je ein Grundstück),</w:t>
      </w:r>
    </w:p>
    <w:p w:rsidR="00945F6A" w:rsidRPr="005F15DA" w:rsidRDefault="00945F6A" w:rsidP="009D34F3">
      <w:pPr>
        <w:pStyle w:val="Listenabsatz"/>
        <w:numPr>
          <w:ilvl w:val="0"/>
          <w:numId w:val="11"/>
        </w:numPr>
        <w:tabs>
          <w:tab w:val="left" w:pos="426"/>
        </w:tabs>
        <w:spacing w:line="240" w:lineRule="auto"/>
        <w:ind w:left="426" w:hanging="426"/>
        <w:jc w:val="both"/>
        <w:rPr>
          <w:rFonts w:cs="Arial"/>
          <w:szCs w:val="22"/>
        </w:rPr>
      </w:pPr>
      <w:r w:rsidRPr="005F15DA">
        <w:rPr>
          <w:rFonts w:cs="Arial"/>
          <w:szCs w:val="22"/>
        </w:rPr>
        <w:t>Nutzniessung (eine Person darf ein Grundstück oder einen Gegenstand nutzen),</w:t>
      </w:r>
    </w:p>
    <w:p w:rsidR="00945F6A" w:rsidRPr="005F15DA" w:rsidRDefault="00945F6A" w:rsidP="009D34F3">
      <w:pPr>
        <w:pStyle w:val="Listenabsatz"/>
        <w:numPr>
          <w:ilvl w:val="0"/>
          <w:numId w:val="11"/>
        </w:numPr>
        <w:tabs>
          <w:tab w:val="left" w:pos="426"/>
        </w:tabs>
        <w:spacing w:line="240" w:lineRule="auto"/>
        <w:ind w:left="426" w:hanging="426"/>
        <w:jc w:val="both"/>
        <w:rPr>
          <w:rFonts w:cs="Arial"/>
          <w:szCs w:val="22"/>
        </w:rPr>
      </w:pPr>
      <w:r w:rsidRPr="005F15DA">
        <w:rPr>
          <w:rFonts w:cs="Arial"/>
          <w:szCs w:val="22"/>
        </w:rPr>
        <w:t>Wohnrecht (eine Person darf ein Grundstück oder einen Teil davon bewohnen),</w:t>
      </w:r>
    </w:p>
    <w:p w:rsidR="00945F6A" w:rsidRPr="005F15DA" w:rsidRDefault="00945F6A" w:rsidP="009D34F3">
      <w:pPr>
        <w:pStyle w:val="Listenabsatz"/>
        <w:numPr>
          <w:ilvl w:val="0"/>
          <w:numId w:val="11"/>
        </w:numPr>
        <w:tabs>
          <w:tab w:val="left" w:pos="426"/>
        </w:tabs>
        <w:spacing w:line="240" w:lineRule="auto"/>
        <w:ind w:left="426" w:hanging="426"/>
        <w:jc w:val="both"/>
        <w:rPr>
          <w:rFonts w:cs="Arial"/>
          <w:szCs w:val="22"/>
        </w:rPr>
      </w:pPr>
      <w:r w:rsidRPr="005F15DA">
        <w:rPr>
          <w:rFonts w:cs="Arial"/>
          <w:szCs w:val="22"/>
        </w:rPr>
        <w:t>Baurecht (ein Dritter darf auf fremdem Boden eine Baute erstellen),</w:t>
      </w:r>
    </w:p>
    <w:p w:rsidR="00945F6A" w:rsidRPr="005F15DA" w:rsidRDefault="00945F6A" w:rsidP="009D34F3">
      <w:pPr>
        <w:pStyle w:val="Listenabsatz"/>
        <w:numPr>
          <w:ilvl w:val="0"/>
          <w:numId w:val="11"/>
        </w:numPr>
        <w:tabs>
          <w:tab w:val="left" w:pos="426"/>
        </w:tabs>
        <w:spacing w:line="240" w:lineRule="auto"/>
        <w:ind w:left="426" w:hanging="426"/>
        <w:jc w:val="both"/>
        <w:rPr>
          <w:rFonts w:cs="Arial"/>
          <w:szCs w:val="22"/>
        </w:rPr>
      </w:pPr>
      <w:r w:rsidRPr="005F15DA">
        <w:rPr>
          <w:rFonts w:cs="Arial"/>
          <w:szCs w:val="22"/>
        </w:rPr>
        <w:t>Quellenrecht (ein Dritter ist Eigentümer einer Quelle),</w:t>
      </w:r>
    </w:p>
    <w:p w:rsidR="00C37245" w:rsidRPr="005F15DA" w:rsidRDefault="00C37245" w:rsidP="009D34F3">
      <w:pPr>
        <w:pStyle w:val="Listenabsatz"/>
        <w:numPr>
          <w:ilvl w:val="0"/>
          <w:numId w:val="11"/>
        </w:numPr>
        <w:tabs>
          <w:tab w:val="left" w:pos="426"/>
        </w:tabs>
        <w:spacing w:line="240" w:lineRule="auto"/>
        <w:ind w:left="426" w:hanging="426"/>
        <w:jc w:val="both"/>
        <w:rPr>
          <w:rFonts w:cs="Arial"/>
          <w:szCs w:val="22"/>
        </w:rPr>
      </w:pPr>
      <w:r w:rsidRPr="005F15DA">
        <w:rPr>
          <w:rFonts w:cs="Arial"/>
          <w:szCs w:val="22"/>
        </w:rPr>
        <w:t>Andere Dienstbarkeiten.</w:t>
      </w:r>
    </w:p>
    <w:p w:rsidR="00C37245" w:rsidRPr="005F15DA" w:rsidRDefault="00C37245" w:rsidP="008851FF">
      <w:pPr>
        <w:tabs>
          <w:tab w:val="left" w:pos="426"/>
        </w:tabs>
        <w:spacing w:line="240" w:lineRule="auto"/>
        <w:jc w:val="both"/>
        <w:rPr>
          <w:rFonts w:cs="Arial"/>
          <w:szCs w:val="22"/>
        </w:rPr>
      </w:pPr>
    </w:p>
    <w:p w:rsidR="00C37245" w:rsidRPr="005F15DA" w:rsidRDefault="00C37245" w:rsidP="008851FF">
      <w:pPr>
        <w:tabs>
          <w:tab w:val="left" w:pos="426"/>
        </w:tabs>
        <w:spacing w:line="240" w:lineRule="auto"/>
        <w:jc w:val="both"/>
        <w:rPr>
          <w:rFonts w:cs="Arial"/>
          <w:szCs w:val="22"/>
        </w:rPr>
      </w:pPr>
      <w:r w:rsidRPr="005F15DA">
        <w:rPr>
          <w:rFonts w:cs="Arial"/>
          <w:szCs w:val="22"/>
        </w:rPr>
        <w:t>Nutzniessung und Wohnrecht sind Personaldienstbarkeiten (eine Person ist berechtigt); Ba</w:t>
      </w:r>
      <w:r w:rsidRPr="005F15DA">
        <w:rPr>
          <w:rFonts w:cs="Arial"/>
          <w:szCs w:val="22"/>
        </w:rPr>
        <w:t>u</w:t>
      </w:r>
      <w:r w:rsidRPr="005F15DA">
        <w:rPr>
          <w:rFonts w:cs="Arial"/>
          <w:szCs w:val="22"/>
        </w:rPr>
        <w:t>recht und Quellenrecht können als Grund- oder Personal-Dienstbarkeit ausgestaltet werden. Wenn Baurecht oder Quellenrecht als Personaldienstbarkeit ausgestaltet und die weiteren Voraussetzungen erfüllt sind, können sie als selbständige und dauernde Rechte (Grundst</w:t>
      </w:r>
      <w:r w:rsidRPr="005F15DA">
        <w:rPr>
          <w:rFonts w:cs="Arial"/>
          <w:szCs w:val="22"/>
        </w:rPr>
        <w:t>ü</w:t>
      </w:r>
      <w:r w:rsidRPr="005F15DA">
        <w:rPr>
          <w:rFonts w:cs="Arial"/>
          <w:szCs w:val="22"/>
        </w:rPr>
        <w:t>cke) in das Grundbuch aufgenommen werden.</w:t>
      </w:r>
    </w:p>
    <w:p w:rsidR="00C37245" w:rsidRPr="005F15DA" w:rsidRDefault="00C37245" w:rsidP="008851FF">
      <w:pPr>
        <w:tabs>
          <w:tab w:val="left" w:pos="426"/>
        </w:tabs>
        <w:spacing w:line="240" w:lineRule="auto"/>
        <w:jc w:val="both"/>
        <w:rPr>
          <w:rFonts w:cs="Arial"/>
          <w:szCs w:val="22"/>
        </w:rPr>
      </w:pPr>
    </w:p>
    <w:p w:rsidR="009B6968" w:rsidRPr="005F15DA" w:rsidRDefault="00C37245" w:rsidP="008851FF">
      <w:pPr>
        <w:tabs>
          <w:tab w:val="left" w:pos="426"/>
        </w:tabs>
        <w:spacing w:line="240" w:lineRule="auto"/>
        <w:jc w:val="both"/>
        <w:rPr>
          <w:rFonts w:cs="Arial"/>
          <w:szCs w:val="22"/>
        </w:rPr>
      </w:pPr>
      <w:r w:rsidRPr="005F15DA">
        <w:rPr>
          <w:rFonts w:cs="Arial"/>
          <w:szCs w:val="22"/>
        </w:rPr>
        <w:t xml:space="preserve">Kurz gefasst beinhalten </w:t>
      </w:r>
      <w:r w:rsidR="009B6968" w:rsidRPr="005F15DA">
        <w:rPr>
          <w:rFonts w:cs="Arial"/>
          <w:szCs w:val="22"/>
        </w:rPr>
        <w:t>Dienstbarkeiten ein passives Unterlassen oder Dulden, während Grundlasten ein aktives Tun beinhalten.</w:t>
      </w:r>
    </w:p>
    <w:p w:rsidR="0078495D" w:rsidRPr="005F15DA" w:rsidRDefault="0078495D" w:rsidP="008851FF">
      <w:pPr>
        <w:tabs>
          <w:tab w:val="left" w:pos="426"/>
        </w:tabs>
        <w:spacing w:line="240" w:lineRule="auto"/>
        <w:jc w:val="both"/>
        <w:rPr>
          <w:rFonts w:cs="Arial"/>
          <w:szCs w:val="22"/>
        </w:rPr>
      </w:pPr>
    </w:p>
    <w:p w:rsidR="0078495D" w:rsidRPr="005F15DA" w:rsidRDefault="0078495D" w:rsidP="008851FF">
      <w:pPr>
        <w:tabs>
          <w:tab w:val="left" w:pos="426"/>
        </w:tabs>
        <w:spacing w:line="240" w:lineRule="auto"/>
        <w:jc w:val="both"/>
        <w:rPr>
          <w:rFonts w:cs="Arial"/>
          <w:szCs w:val="22"/>
        </w:rPr>
      </w:pPr>
      <w:r w:rsidRPr="005F15DA">
        <w:rPr>
          <w:rFonts w:cs="Arial"/>
          <w:szCs w:val="22"/>
        </w:rPr>
        <w:t>Seit dem 1.1.2012 müssen alle Dienstbarkeiten an Grundstücken öffentlich beurkundet und im Grundbuch eingetragen werden. Ausnahme: wenn in der Erbteilung eine Dienstbarkeit (z.B. Wohnrecht) begründet wird, genügt die Formvorschrift der Erbteilung (einfache Schrif</w:t>
      </w:r>
      <w:r w:rsidRPr="005F15DA">
        <w:rPr>
          <w:rFonts w:cs="Arial"/>
          <w:szCs w:val="22"/>
        </w:rPr>
        <w:t>t</w:t>
      </w:r>
      <w:r w:rsidRPr="005F15DA">
        <w:rPr>
          <w:rFonts w:cs="Arial"/>
          <w:szCs w:val="22"/>
        </w:rPr>
        <w:t>lichkeit).</w:t>
      </w:r>
    </w:p>
    <w:p w:rsidR="00C37245" w:rsidRPr="005F15DA" w:rsidRDefault="00C37245" w:rsidP="008851FF">
      <w:pPr>
        <w:spacing w:line="240" w:lineRule="auto"/>
        <w:jc w:val="both"/>
        <w:rPr>
          <w:rFonts w:cs="Arial"/>
          <w:szCs w:val="22"/>
        </w:rPr>
      </w:pPr>
    </w:p>
    <w:p w:rsidR="00C37245" w:rsidRPr="005F15DA" w:rsidRDefault="00C37245" w:rsidP="008851FF">
      <w:pPr>
        <w:spacing w:line="240" w:lineRule="auto"/>
        <w:jc w:val="both"/>
        <w:rPr>
          <w:rFonts w:cs="Arial"/>
          <w:szCs w:val="22"/>
        </w:rPr>
      </w:pPr>
    </w:p>
    <w:p w:rsidR="00C060B8" w:rsidRPr="005F15DA" w:rsidRDefault="00B828BF" w:rsidP="005759BE">
      <w:pPr>
        <w:pStyle w:val="berschrift3"/>
        <w:rPr>
          <w:lang w:val="de-CH"/>
        </w:rPr>
      </w:pPr>
      <w:bookmarkStart w:id="147" w:name="_Toc432175667"/>
      <w:r w:rsidRPr="005F15DA">
        <w:rPr>
          <w:lang w:val="de-CH"/>
        </w:rPr>
        <w:lastRenderedPageBreak/>
        <w:t>A.</w:t>
      </w:r>
      <w:r w:rsidRPr="005F15DA">
        <w:rPr>
          <w:lang w:val="de-CH"/>
        </w:rPr>
        <w:tab/>
      </w:r>
      <w:r w:rsidR="004E576A" w:rsidRPr="005F15DA">
        <w:rPr>
          <w:lang w:val="de-CH"/>
        </w:rPr>
        <w:t>Grunddienstbarkeiten</w:t>
      </w:r>
      <w:r w:rsidR="00C060B8" w:rsidRPr="005F15DA">
        <w:rPr>
          <w:lang w:val="de-CH"/>
        </w:rPr>
        <w:t xml:space="preserve"> (Art. </w:t>
      </w:r>
      <w:r w:rsidR="004E576A" w:rsidRPr="005F15DA">
        <w:rPr>
          <w:lang w:val="de-CH"/>
        </w:rPr>
        <w:t xml:space="preserve">730 – 744 </w:t>
      </w:r>
      <w:r w:rsidR="00C060B8" w:rsidRPr="005F15DA">
        <w:rPr>
          <w:lang w:val="de-CH"/>
        </w:rPr>
        <w:t>ZGB)</w:t>
      </w:r>
      <w:bookmarkEnd w:id="147"/>
    </w:p>
    <w:p w:rsidR="004E576A" w:rsidRPr="005F15DA" w:rsidRDefault="004E576A" w:rsidP="008851FF">
      <w:pPr>
        <w:spacing w:line="240" w:lineRule="auto"/>
        <w:jc w:val="both"/>
        <w:rPr>
          <w:rFonts w:cs="Arial"/>
          <w:szCs w:val="22"/>
        </w:rPr>
      </w:pPr>
    </w:p>
    <w:p w:rsidR="00DE2D3D" w:rsidRPr="005F15DA" w:rsidRDefault="009B6968" w:rsidP="005B0708">
      <w:pPr>
        <w:pStyle w:val="berschrift4"/>
      </w:pPr>
      <w:r w:rsidRPr="005F15DA">
        <w:t>1.</w:t>
      </w:r>
      <w:r w:rsidRPr="005F15DA">
        <w:tab/>
        <w:t>Gegenstand der Grunddienstbarkeiten</w:t>
      </w:r>
    </w:p>
    <w:p w:rsidR="009B6968" w:rsidRPr="005F15DA" w:rsidRDefault="009B6968" w:rsidP="008851FF">
      <w:pPr>
        <w:tabs>
          <w:tab w:val="left" w:pos="426"/>
        </w:tabs>
        <w:spacing w:line="240" w:lineRule="auto"/>
        <w:ind w:left="426" w:hanging="426"/>
        <w:jc w:val="both"/>
        <w:rPr>
          <w:rFonts w:cs="Arial"/>
          <w:szCs w:val="22"/>
        </w:rPr>
      </w:pPr>
      <w:r w:rsidRPr="005F15DA">
        <w:rPr>
          <w:rFonts w:cs="Arial"/>
          <w:szCs w:val="22"/>
        </w:rPr>
        <w:tab/>
        <w:t>Ein Grundstück kann zum Vorteil eines anderen Grundstückes in der Weise belastet we</w:t>
      </w:r>
      <w:r w:rsidRPr="005F15DA">
        <w:rPr>
          <w:rFonts w:cs="Arial"/>
          <w:szCs w:val="22"/>
        </w:rPr>
        <w:t>r</w:t>
      </w:r>
      <w:r w:rsidRPr="005F15DA">
        <w:rPr>
          <w:rFonts w:cs="Arial"/>
          <w:szCs w:val="22"/>
        </w:rPr>
        <w:t xml:space="preserve">den, dass sein Eigentümer sich bestimmte Eingriffe des Eigentümers dieses anderen Grundstückes </w:t>
      </w:r>
      <w:r w:rsidRPr="005F15DA">
        <w:rPr>
          <w:rFonts w:cs="Arial"/>
          <w:szCs w:val="22"/>
          <w:u w:val="single"/>
        </w:rPr>
        <w:t>gefallen lassen</w:t>
      </w:r>
      <w:r w:rsidRPr="005F15DA">
        <w:rPr>
          <w:rFonts w:cs="Arial"/>
          <w:szCs w:val="22"/>
        </w:rPr>
        <w:t xml:space="preserve"> muss oder zu dessen Gunsten nach gewissen Richtungen sein </w:t>
      </w:r>
      <w:r w:rsidRPr="005F15DA">
        <w:rPr>
          <w:rFonts w:cs="Arial"/>
          <w:szCs w:val="22"/>
          <w:u w:val="single"/>
        </w:rPr>
        <w:t>Eigentumsrecht nicht ausüben</w:t>
      </w:r>
      <w:r w:rsidRPr="005F15DA">
        <w:rPr>
          <w:rFonts w:cs="Arial"/>
          <w:szCs w:val="22"/>
        </w:rPr>
        <w:t xml:space="preserve"> darf</w:t>
      </w:r>
      <w:r w:rsidR="00680D48" w:rsidRPr="005F15DA">
        <w:rPr>
          <w:rFonts w:cs="Arial"/>
          <w:szCs w:val="22"/>
        </w:rPr>
        <w:t xml:space="preserve"> (Passives dulden oder </w:t>
      </w:r>
      <w:proofErr w:type="spellStart"/>
      <w:r w:rsidR="00680D48" w:rsidRPr="005F15DA">
        <w:rPr>
          <w:rFonts w:cs="Arial"/>
          <w:szCs w:val="22"/>
        </w:rPr>
        <w:t>unterlassen</w:t>
      </w:r>
      <w:proofErr w:type="spellEnd"/>
      <w:r w:rsidR="00680D48" w:rsidRPr="005F15DA">
        <w:rPr>
          <w:rFonts w:cs="Arial"/>
          <w:szCs w:val="22"/>
        </w:rPr>
        <w:t>)</w:t>
      </w:r>
      <w:r w:rsidRPr="005F15DA">
        <w:rPr>
          <w:rFonts w:cs="Arial"/>
          <w:szCs w:val="22"/>
        </w:rPr>
        <w:t>.</w:t>
      </w:r>
    </w:p>
    <w:p w:rsidR="00AC3A25" w:rsidRPr="005F15DA" w:rsidRDefault="00AC3A25" w:rsidP="008851FF">
      <w:pPr>
        <w:tabs>
          <w:tab w:val="left" w:pos="426"/>
        </w:tabs>
        <w:spacing w:line="240" w:lineRule="auto"/>
        <w:ind w:left="426" w:hanging="426"/>
        <w:jc w:val="both"/>
        <w:rPr>
          <w:rFonts w:cs="Arial"/>
          <w:szCs w:val="22"/>
        </w:rPr>
      </w:pPr>
    </w:p>
    <w:p w:rsidR="009B6968" w:rsidRPr="005F15DA" w:rsidRDefault="009B6968" w:rsidP="008851FF">
      <w:pPr>
        <w:tabs>
          <w:tab w:val="left" w:pos="426"/>
        </w:tabs>
        <w:spacing w:line="240" w:lineRule="auto"/>
        <w:jc w:val="both"/>
        <w:rPr>
          <w:rFonts w:cs="Arial"/>
          <w:szCs w:val="22"/>
        </w:rPr>
      </w:pPr>
      <w:r w:rsidRPr="005F15DA">
        <w:rPr>
          <w:rFonts w:cs="Arial"/>
          <w:szCs w:val="22"/>
        </w:rPr>
        <w:tab/>
        <w:t>Beispiel:</w:t>
      </w:r>
    </w:p>
    <w:p w:rsidR="009B6968" w:rsidRPr="005F15DA" w:rsidRDefault="009B6968" w:rsidP="008851FF">
      <w:pPr>
        <w:tabs>
          <w:tab w:val="left" w:pos="426"/>
        </w:tabs>
        <w:spacing w:line="240" w:lineRule="auto"/>
        <w:jc w:val="both"/>
        <w:rPr>
          <w:rFonts w:cs="Arial"/>
          <w:szCs w:val="22"/>
        </w:rPr>
      </w:pPr>
      <w:r w:rsidRPr="005F15DA">
        <w:rPr>
          <w:rFonts w:cs="Arial"/>
          <w:szCs w:val="22"/>
        </w:rPr>
        <w:tab/>
        <w:t>Wegrecht als Last auf Grundstück A und als Recht auf Grundstück B.</w:t>
      </w:r>
    </w:p>
    <w:p w:rsidR="009B6968" w:rsidRPr="005F15DA" w:rsidRDefault="000D13BF" w:rsidP="008851FF">
      <w:pPr>
        <w:tabs>
          <w:tab w:val="left" w:pos="426"/>
        </w:tabs>
        <w:spacing w:line="240" w:lineRule="auto"/>
        <w:ind w:left="426" w:hanging="426"/>
        <w:jc w:val="both"/>
        <w:rPr>
          <w:rFonts w:cs="Arial"/>
          <w:szCs w:val="22"/>
        </w:rPr>
      </w:pPr>
      <w:r w:rsidRPr="005F15DA">
        <w:rPr>
          <w:rFonts w:cs="Arial"/>
          <w:szCs w:val="22"/>
        </w:rPr>
        <w:tab/>
        <w:t>Der jeweilige Eigentümer von Grundstück B darf über den sich auf Grundstück A befindl</w:t>
      </w:r>
      <w:r w:rsidRPr="005F15DA">
        <w:rPr>
          <w:rFonts w:cs="Arial"/>
          <w:szCs w:val="22"/>
        </w:rPr>
        <w:t>i</w:t>
      </w:r>
      <w:r w:rsidRPr="005F15DA">
        <w:rPr>
          <w:rFonts w:cs="Arial"/>
          <w:szCs w:val="22"/>
        </w:rPr>
        <w:t>chen Weg gehen. Der Eigentümer des Grundstückes A muss das Wegrecht des Grun</w:t>
      </w:r>
      <w:r w:rsidRPr="005F15DA">
        <w:rPr>
          <w:rFonts w:cs="Arial"/>
          <w:szCs w:val="22"/>
        </w:rPr>
        <w:t>d</w:t>
      </w:r>
      <w:r w:rsidRPr="005F15DA">
        <w:rPr>
          <w:rFonts w:cs="Arial"/>
          <w:szCs w:val="22"/>
        </w:rPr>
        <w:t>stückes B dulden und darf den mit dem Wegrecht belasteten Teil seines Grundstückes nicht überbauen.</w:t>
      </w:r>
    </w:p>
    <w:p w:rsidR="00C856BE" w:rsidRPr="005F15DA" w:rsidRDefault="00C856BE" w:rsidP="008851FF">
      <w:pPr>
        <w:tabs>
          <w:tab w:val="left" w:pos="426"/>
        </w:tabs>
        <w:spacing w:line="240" w:lineRule="auto"/>
        <w:ind w:left="426" w:hanging="426"/>
        <w:jc w:val="both"/>
        <w:rPr>
          <w:rFonts w:cs="Arial"/>
          <w:szCs w:val="22"/>
        </w:rPr>
      </w:pPr>
    </w:p>
    <w:p w:rsidR="00C856BE" w:rsidRPr="005F15DA" w:rsidRDefault="00C856BE" w:rsidP="008851FF">
      <w:pPr>
        <w:tabs>
          <w:tab w:val="left" w:pos="426"/>
        </w:tabs>
        <w:spacing w:line="240" w:lineRule="auto"/>
        <w:ind w:left="426" w:hanging="426"/>
        <w:jc w:val="both"/>
        <w:rPr>
          <w:rFonts w:cs="Arial"/>
          <w:szCs w:val="22"/>
        </w:rPr>
      </w:pPr>
      <w:r w:rsidRPr="005F15DA">
        <w:rPr>
          <w:rFonts w:cs="Arial"/>
          <w:szCs w:val="22"/>
        </w:rPr>
        <w:tab/>
        <w:t xml:space="preserve">Eine Verpflichtung zur Vornahme von Handlungen kann mit der Grunddienstbarkeit nur nebensächlich verbunden sein. </w:t>
      </w:r>
      <w:r w:rsidR="007A0BE8" w:rsidRPr="005F15DA">
        <w:rPr>
          <w:rFonts w:cs="Arial"/>
          <w:szCs w:val="22"/>
        </w:rPr>
        <w:t>Sie muss aus dem Grundbuch (Stichwort) ersichtlich sein.</w:t>
      </w:r>
    </w:p>
    <w:p w:rsidR="00C856BE" w:rsidRPr="005F15DA" w:rsidRDefault="00C856BE" w:rsidP="008851FF">
      <w:pPr>
        <w:tabs>
          <w:tab w:val="left" w:pos="426"/>
        </w:tabs>
        <w:spacing w:line="240" w:lineRule="auto"/>
        <w:ind w:left="426" w:hanging="426"/>
        <w:jc w:val="both"/>
        <w:rPr>
          <w:rFonts w:cs="Arial"/>
          <w:szCs w:val="22"/>
        </w:rPr>
      </w:pPr>
      <w:r w:rsidRPr="005F15DA">
        <w:rPr>
          <w:rFonts w:cs="Arial"/>
          <w:szCs w:val="22"/>
        </w:rPr>
        <w:tab/>
        <w:t xml:space="preserve">Der Weg aus dem vorstehenden Beispiel muss </w:t>
      </w:r>
      <w:r w:rsidR="007A0BE8" w:rsidRPr="005F15DA">
        <w:rPr>
          <w:rFonts w:cs="Arial"/>
          <w:szCs w:val="22"/>
        </w:rPr>
        <w:t xml:space="preserve">erstellt und </w:t>
      </w:r>
      <w:r w:rsidRPr="005F15DA">
        <w:rPr>
          <w:rFonts w:cs="Arial"/>
          <w:szCs w:val="22"/>
        </w:rPr>
        <w:t>unterhalten werden (z.B. E</w:t>
      </w:r>
      <w:r w:rsidRPr="005F15DA">
        <w:rPr>
          <w:rFonts w:cs="Arial"/>
          <w:szCs w:val="22"/>
        </w:rPr>
        <w:t>r</w:t>
      </w:r>
      <w:r w:rsidRPr="005F15DA">
        <w:rPr>
          <w:rFonts w:cs="Arial"/>
          <w:szCs w:val="22"/>
        </w:rPr>
        <w:t xml:space="preserve">neuerung des Teerbelages). </w:t>
      </w:r>
      <w:r w:rsidR="007A0BE8" w:rsidRPr="005F15DA">
        <w:rPr>
          <w:rFonts w:cs="Arial"/>
          <w:szCs w:val="22"/>
        </w:rPr>
        <w:t>Die Kosten für die Erstellung des Weges fallen unter die Nebenleistungen gemäss Art. 730 ZGB. Aus diesem Grund müsste das Stichwort im Grundbuch lauten: Wegrecht mit Nebenleistungspflicht zu Lasten A zu Gunsten B. Dag</w:t>
      </w:r>
      <w:r w:rsidR="007A0BE8" w:rsidRPr="005F15DA">
        <w:rPr>
          <w:rFonts w:cs="Arial"/>
          <w:szCs w:val="22"/>
        </w:rPr>
        <w:t>e</w:t>
      </w:r>
      <w:r w:rsidR="007A0BE8" w:rsidRPr="005F15DA">
        <w:rPr>
          <w:rFonts w:cs="Arial"/>
          <w:szCs w:val="22"/>
        </w:rPr>
        <w:t>gen fallen die Kosten für den Unterhalt nicht unter die Nebenleistungen, sondern unter den normalen Unterhalt gemäss Art. 741 ZGB.</w:t>
      </w:r>
    </w:p>
    <w:p w:rsidR="007A0BE8" w:rsidRPr="005F15DA" w:rsidRDefault="007A0BE8" w:rsidP="008851FF">
      <w:pPr>
        <w:tabs>
          <w:tab w:val="left" w:pos="426"/>
        </w:tabs>
        <w:spacing w:line="240" w:lineRule="auto"/>
        <w:ind w:left="426" w:hanging="426"/>
        <w:jc w:val="both"/>
        <w:rPr>
          <w:rFonts w:cs="Arial"/>
          <w:szCs w:val="22"/>
        </w:rPr>
      </w:pPr>
    </w:p>
    <w:p w:rsidR="007A0BE8" w:rsidRPr="005F15DA" w:rsidRDefault="007A0BE8" w:rsidP="005B0708">
      <w:pPr>
        <w:pStyle w:val="berschrift4"/>
      </w:pPr>
      <w:r w:rsidRPr="005F15DA">
        <w:t>2.</w:t>
      </w:r>
      <w:r w:rsidRPr="005F15DA">
        <w:tab/>
        <w:t>Errichtung und Untergang</w:t>
      </w:r>
    </w:p>
    <w:p w:rsidR="007A0BE8" w:rsidRPr="005F15DA" w:rsidRDefault="007A0BE8" w:rsidP="008851FF">
      <w:pPr>
        <w:tabs>
          <w:tab w:val="left" w:pos="426"/>
        </w:tabs>
        <w:spacing w:line="240" w:lineRule="auto"/>
        <w:ind w:left="426" w:hanging="426"/>
        <w:jc w:val="both"/>
        <w:rPr>
          <w:rFonts w:cs="Arial"/>
          <w:szCs w:val="22"/>
        </w:rPr>
      </w:pPr>
      <w:r w:rsidRPr="005F15DA">
        <w:rPr>
          <w:rFonts w:cs="Arial"/>
          <w:szCs w:val="22"/>
        </w:rPr>
        <w:tab/>
        <w:t>Jedes Rechtsgeschäft zur Errichtung einer Grunddienstbarkeit muss öffentlich beurku</w:t>
      </w:r>
      <w:r w:rsidRPr="005F15DA">
        <w:rPr>
          <w:rFonts w:cs="Arial"/>
          <w:szCs w:val="22"/>
        </w:rPr>
        <w:t>n</w:t>
      </w:r>
      <w:r w:rsidRPr="005F15DA">
        <w:rPr>
          <w:rFonts w:cs="Arial"/>
          <w:szCs w:val="22"/>
        </w:rPr>
        <w:t xml:space="preserve">det und die Dienstbarkeit im Grundbuch eingetragen werden. </w:t>
      </w:r>
      <w:r w:rsidR="004B6B73" w:rsidRPr="005F15DA">
        <w:rPr>
          <w:rFonts w:cs="Arial"/>
          <w:szCs w:val="22"/>
        </w:rPr>
        <w:t>Ist die Ausübung der Dienstbarkeit auf einen Teil des Grundstückes beschränkt, muss dem Grundbuchamt ein Plan (Original-Geometerplan oder ev. GRUDIS-Plan) mit genauer Einzeichnung der b</w:t>
      </w:r>
      <w:r w:rsidR="004B6B73" w:rsidRPr="005F15DA">
        <w:rPr>
          <w:rFonts w:cs="Arial"/>
          <w:szCs w:val="22"/>
        </w:rPr>
        <w:t>e</w:t>
      </w:r>
      <w:r w:rsidR="004B6B73" w:rsidRPr="005F15DA">
        <w:rPr>
          <w:rFonts w:cs="Arial"/>
          <w:szCs w:val="22"/>
        </w:rPr>
        <w:t>lasteten Teilfläche eingereicht werden.</w:t>
      </w:r>
    </w:p>
    <w:p w:rsidR="004B6B73" w:rsidRPr="005F15DA" w:rsidRDefault="004B6B73" w:rsidP="008851FF">
      <w:pPr>
        <w:tabs>
          <w:tab w:val="left" w:pos="426"/>
        </w:tabs>
        <w:spacing w:line="240" w:lineRule="auto"/>
        <w:ind w:left="426" w:hanging="426"/>
        <w:jc w:val="both"/>
        <w:rPr>
          <w:rFonts w:cs="Arial"/>
          <w:szCs w:val="22"/>
        </w:rPr>
      </w:pPr>
    </w:p>
    <w:p w:rsidR="004B6B73" w:rsidRPr="005F15DA" w:rsidRDefault="004B6B73" w:rsidP="008851FF">
      <w:pPr>
        <w:tabs>
          <w:tab w:val="left" w:pos="426"/>
        </w:tabs>
        <w:spacing w:line="240" w:lineRule="auto"/>
        <w:ind w:left="426" w:hanging="426"/>
        <w:jc w:val="both"/>
        <w:rPr>
          <w:rFonts w:cs="Arial"/>
          <w:szCs w:val="22"/>
        </w:rPr>
      </w:pPr>
      <w:r w:rsidRPr="005F15DA">
        <w:rPr>
          <w:rFonts w:cs="Arial"/>
          <w:szCs w:val="22"/>
        </w:rPr>
        <w:tab/>
        <w:t>Wird im Rahmen einer Erbteilung eine Dienstbarkeit errichtet, genügt die einfache Schrif</w:t>
      </w:r>
      <w:r w:rsidRPr="005F15DA">
        <w:rPr>
          <w:rFonts w:cs="Arial"/>
          <w:szCs w:val="22"/>
        </w:rPr>
        <w:t>t</w:t>
      </w:r>
      <w:r w:rsidRPr="005F15DA">
        <w:rPr>
          <w:rFonts w:cs="Arial"/>
          <w:szCs w:val="22"/>
        </w:rPr>
        <w:t>lichkeit. Bsp.: In der Erbteilung wird ein Grundstück auf eines der Kinder übertragen; die Mutter behält sich aber am Wohnhaus ein Wohnrecht vor. In diesem Fall kann die Woh</w:t>
      </w:r>
      <w:r w:rsidRPr="005F15DA">
        <w:rPr>
          <w:rFonts w:cs="Arial"/>
          <w:szCs w:val="22"/>
        </w:rPr>
        <w:t>n</w:t>
      </w:r>
      <w:r w:rsidRPr="005F15DA">
        <w:rPr>
          <w:rFonts w:cs="Arial"/>
          <w:szCs w:val="22"/>
        </w:rPr>
        <w:t>rechtsbegründung in der schriftlichen Erbteilung erfolgen.</w:t>
      </w:r>
    </w:p>
    <w:p w:rsidR="004B6B73" w:rsidRPr="005F15DA" w:rsidRDefault="004B6B73" w:rsidP="008851FF">
      <w:pPr>
        <w:tabs>
          <w:tab w:val="left" w:pos="426"/>
        </w:tabs>
        <w:spacing w:line="240" w:lineRule="auto"/>
        <w:ind w:left="426" w:hanging="426"/>
        <w:jc w:val="both"/>
        <w:rPr>
          <w:rFonts w:cs="Arial"/>
          <w:szCs w:val="22"/>
        </w:rPr>
      </w:pPr>
    </w:p>
    <w:p w:rsidR="00F210AE" w:rsidRPr="005F15DA" w:rsidRDefault="004B6B73" w:rsidP="008851FF">
      <w:pPr>
        <w:tabs>
          <w:tab w:val="left" w:pos="426"/>
        </w:tabs>
        <w:spacing w:line="240" w:lineRule="auto"/>
        <w:ind w:left="426" w:hanging="426"/>
        <w:jc w:val="both"/>
        <w:rPr>
          <w:rFonts w:cs="Arial"/>
          <w:szCs w:val="22"/>
        </w:rPr>
      </w:pPr>
      <w:r w:rsidRPr="005F15DA">
        <w:rPr>
          <w:rFonts w:cs="Arial"/>
          <w:szCs w:val="22"/>
        </w:rPr>
        <w:tab/>
        <w:t xml:space="preserve">Die Dienstbarkeit geht mit der Löschung des Eintrages im Grundbuch unter. Hierzu muss der </w:t>
      </w:r>
      <w:r w:rsidR="00746175" w:rsidRPr="005F15DA">
        <w:rPr>
          <w:rFonts w:cs="Arial"/>
          <w:szCs w:val="22"/>
        </w:rPr>
        <w:t>berechtigte</w:t>
      </w:r>
      <w:r w:rsidRPr="005F15DA">
        <w:rPr>
          <w:rFonts w:cs="Arial"/>
          <w:szCs w:val="22"/>
        </w:rPr>
        <w:t xml:space="preserve"> Grundeigentümer eine Löschungsbewilligung unterschreiben. Ein weiterer Untergangsgrund für die Grunddienstbarkeiten ist der vollständige Untergang des bela</w:t>
      </w:r>
      <w:r w:rsidRPr="005F15DA">
        <w:rPr>
          <w:rFonts w:cs="Arial"/>
          <w:szCs w:val="22"/>
        </w:rPr>
        <w:t>s</w:t>
      </w:r>
      <w:r w:rsidRPr="005F15DA">
        <w:rPr>
          <w:rFonts w:cs="Arial"/>
          <w:szCs w:val="22"/>
        </w:rPr>
        <w:t>teten oder des berechtigten Grundstückes.</w:t>
      </w:r>
      <w:r w:rsidR="00F210AE" w:rsidRPr="005F15DA">
        <w:rPr>
          <w:rFonts w:cs="Arial"/>
          <w:szCs w:val="22"/>
        </w:rPr>
        <w:t xml:space="preserve"> Zudem kann der belastete Grundeigentümer die Löschung der Dienstbarkeit verlangen, wenn die Dienstbarkeit für das berechtigte Grundstück alles Interesse verloren hat (Ablösung durch das Gericht).</w:t>
      </w:r>
    </w:p>
    <w:p w:rsidR="00F210AE" w:rsidRPr="005F15DA" w:rsidRDefault="00F210AE" w:rsidP="008851FF">
      <w:pPr>
        <w:tabs>
          <w:tab w:val="left" w:pos="426"/>
        </w:tabs>
        <w:spacing w:line="240" w:lineRule="auto"/>
        <w:ind w:left="426" w:hanging="426"/>
        <w:jc w:val="both"/>
        <w:rPr>
          <w:rFonts w:cs="Arial"/>
          <w:szCs w:val="22"/>
        </w:rPr>
      </w:pPr>
    </w:p>
    <w:p w:rsidR="00F210AE" w:rsidRPr="005F15DA" w:rsidRDefault="00F210AE" w:rsidP="005B0708">
      <w:pPr>
        <w:pStyle w:val="berschrift4"/>
      </w:pPr>
      <w:r w:rsidRPr="005F15DA">
        <w:t>3.</w:t>
      </w:r>
      <w:r w:rsidRPr="005F15DA">
        <w:tab/>
        <w:t>Inhalt und Umfang der Grunddienstbarkeiten</w:t>
      </w:r>
    </w:p>
    <w:p w:rsidR="00F210AE" w:rsidRDefault="00F210AE" w:rsidP="008851FF">
      <w:pPr>
        <w:tabs>
          <w:tab w:val="left" w:pos="426"/>
        </w:tabs>
        <w:spacing w:line="240" w:lineRule="auto"/>
        <w:ind w:left="426" w:hanging="426"/>
        <w:jc w:val="both"/>
        <w:rPr>
          <w:rFonts w:cs="Arial"/>
          <w:szCs w:val="22"/>
        </w:rPr>
      </w:pPr>
      <w:r w:rsidRPr="005F15DA">
        <w:rPr>
          <w:rFonts w:cs="Arial"/>
          <w:szCs w:val="22"/>
        </w:rPr>
        <w:tab/>
      </w:r>
      <w:r w:rsidR="0002266E" w:rsidRPr="005F15DA">
        <w:rPr>
          <w:rFonts w:cs="Arial"/>
          <w:szCs w:val="22"/>
        </w:rPr>
        <w:t>Der Dienstbarkeitsberechtigte darf alles tun, was zur Erhaltung und Ausübung der Dienstbarkeit nötig ist; er muss aber sein Recht möglichst schonend ausüben. Der Dienstbarkeitsbelastete darf nichts vornehmen, was die Ausübung des Rechts verhindert oder erschwert.</w:t>
      </w:r>
    </w:p>
    <w:p w:rsidR="00C0637F" w:rsidRPr="005F15DA" w:rsidRDefault="00C0637F" w:rsidP="008851FF">
      <w:pPr>
        <w:tabs>
          <w:tab w:val="left" w:pos="426"/>
        </w:tabs>
        <w:spacing w:line="240" w:lineRule="auto"/>
        <w:ind w:left="426" w:hanging="426"/>
        <w:jc w:val="both"/>
        <w:rPr>
          <w:rFonts w:cs="Arial"/>
          <w:szCs w:val="22"/>
        </w:rPr>
      </w:pPr>
    </w:p>
    <w:p w:rsidR="0002266E" w:rsidRPr="005F15DA" w:rsidRDefault="0002266E" w:rsidP="008851FF">
      <w:pPr>
        <w:tabs>
          <w:tab w:val="left" w:pos="426"/>
        </w:tabs>
        <w:spacing w:line="240" w:lineRule="auto"/>
        <w:ind w:left="426" w:hanging="426"/>
        <w:jc w:val="both"/>
        <w:rPr>
          <w:rFonts w:cs="Arial"/>
          <w:szCs w:val="22"/>
        </w:rPr>
      </w:pPr>
      <w:r w:rsidRPr="005F15DA">
        <w:rPr>
          <w:rFonts w:cs="Arial"/>
          <w:szCs w:val="22"/>
        </w:rPr>
        <w:tab/>
        <w:t>Bsp.: Der Berechtigte darf den Weg unterhalten und dazu das Grundstück des Belasteten betreten. Der Belastete darf am Zugang zum Weg keine festen Schranken errichten.</w:t>
      </w:r>
    </w:p>
    <w:p w:rsidR="0002266E" w:rsidRPr="005F15DA" w:rsidRDefault="0002266E" w:rsidP="008851FF">
      <w:pPr>
        <w:tabs>
          <w:tab w:val="left" w:pos="426"/>
        </w:tabs>
        <w:spacing w:line="240" w:lineRule="auto"/>
        <w:ind w:left="426" w:hanging="426"/>
        <w:jc w:val="both"/>
        <w:rPr>
          <w:rFonts w:cs="Arial"/>
          <w:szCs w:val="22"/>
        </w:rPr>
      </w:pPr>
    </w:p>
    <w:p w:rsidR="0002266E" w:rsidRPr="005F15DA" w:rsidRDefault="0002266E" w:rsidP="008851FF">
      <w:pPr>
        <w:tabs>
          <w:tab w:val="left" w:pos="426"/>
        </w:tabs>
        <w:spacing w:line="240" w:lineRule="auto"/>
        <w:ind w:left="426" w:hanging="426"/>
        <w:jc w:val="both"/>
        <w:rPr>
          <w:rFonts w:cs="Arial"/>
          <w:szCs w:val="22"/>
        </w:rPr>
      </w:pPr>
      <w:r w:rsidRPr="005F15DA">
        <w:rPr>
          <w:rFonts w:cs="Arial"/>
          <w:szCs w:val="22"/>
        </w:rPr>
        <w:lastRenderedPageBreak/>
        <w:tab/>
        <w:t>Wenn sich die Bedürfnisse des berechtigten Grundstückes verändern (z.B. Neubau eines Mehrfamilienhauses anstelle eines Einfamilienhauses) darf für den Belasteten keine Mehrbelastung ergeben (das Wegrecht müsste, weil neu z.B. 10 anstelle von 1 Berec</w:t>
      </w:r>
      <w:r w:rsidRPr="005F15DA">
        <w:rPr>
          <w:rFonts w:cs="Arial"/>
          <w:szCs w:val="22"/>
        </w:rPr>
        <w:t>h</w:t>
      </w:r>
      <w:r w:rsidRPr="005F15DA">
        <w:rPr>
          <w:rFonts w:cs="Arial"/>
          <w:szCs w:val="22"/>
        </w:rPr>
        <w:t>tigten sind, abgeändert oder neu begründet werden).</w:t>
      </w:r>
    </w:p>
    <w:p w:rsidR="0002266E" w:rsidRPr="005F15DA" w:rsidRDefault="0002266E" w:rsidP="008851FF">
      <w:pPr>
        <w:tabs>
          <w:tab w:val="left" w:pos="426"/>
        </w:tabs>
        <w:spacing w:line="240" w:lineRule="auto"/>
        <w:ind w:left="426" w:hanging="426"/>
        <w:jc w:val="both"/>
        <w:rPr>
          <w:rFonts w:cs="Arial"/>
          <w:szCs w:val="22"/>
        </w:rPr>
      </w:pPr>
    </w:p>
    <w:p w:rsidR="0002266E" w:rsidRPr="005F15DA" w:rsidRDefault="0002266E" w:rsidP="008851FF">
      <w:pPr>
        <w:tabs>
          <w:tab w:val="left" w:pos="426"/>
        </w:tabs>
        <w:spacing w:line="240" w:lineRule="auto"/>
        <w:ind w:left="426" w:hanging="426"/>
        <w:jc w:val="both"/>
        <w:rPr>
          <w:rFonts w:cs="Arial"/>
          <w:szCs w:val="22"/>
        </w:rPr>
      </w:pPr>
      <w:r w:rsidRPr="005F15DA">
        <w:rPr>
          <w:rFonts w:cs="Arial"/>
          <w:szCs w:val="22"/>
        </w:rPr>
        <w:tab/>
        <w:t>Wenn an einer Dienstbarkeit bzw. deren Vorrichtungen mehrere Berechtigte beteiligt sind und nichts anderes vereinbart wurde, sind die Regeln</w:t>
      </w:r>
      <w:r w:rsidR="009B2702" w:rsidRPr="005F15DA">
        <w:rPr>
          <w:rFonts w:cs="Arial"/>
          <w:szCs w:val="22"/>
        </w:rPr>
        <w:t xml:space="preserve"> über das Miteigentum anwendbar (neuer Art. 740 a ZGB). Zudem kann vereinbart werden, dass das Ausscheiden aus der Gemeinschaft der Dienstbarkeitsberechtigten für höchstens 30 Jahre ausgeschlossen ist (Vormerkung).</w:t>
      </w:r>
    </w:p>
    <w:p w:rsidR="009B2702" w:rsidRPr="005F15DA" w:rsidRDefault="009B2702" w:rsidP="008851FF">
      <w:pPr>
        <w:tabs>
          <w:tab w:val="left" w:pos="426"/>
        </w:tabs>
        <w:spacing w:line="240" w:lineRule="auto"/>
        <w:ind w:left="426" w:hanging="426"/>
        <w:jc w:val="both"/>
        <w:rPr>
          <w:rFonts w:cs="Arial"/>
          <w:szCs w:val="22"/>
        </w:rPr>
      </w:pPr>
    </w:p>
    <w:p w:rsidR="009B2702" w:rsidRPr="005F15DA" w:rsidRDefault="009B2702" w:rsidP="008851FF">
      <w:pPr>
        <w:tabs>
          <w:tab w:val="left" w:pos="426"/>
        </w:tabs>
        <w:spacing w:line="240" w:lineRule="auto"/>
        <w:ind w:left="426" w:hanging="426"/>
        <w:jc w:val="both"/>
        <w:rPr>
          <w:rFonts w:cs="Arial"/>
          <w:szCs w:val="22"/>
        </w:rPr>
      </w:pPr>
      <w:r w:rsidRPr="005F15DA">
        <w:rPr>
          <w:rFonts w:cs="Arial"/>
          <w:szCs w:val="22"/>
        </w:rPr>
        <w:tab/>
        <w:t>Wenn zur Dienstbarkeit eine Vorrichtung gehört (Weg, Gebäude, usw.) muss der Berec</w:t>
      </w:r>
      <w:r w:rsidRPr="005F15DA">
        <w:rPr>
          <w:rFonts w:cs="Arial"/>
          <w:szCs w:val="22"/>
        </w:rPr>
        <w:t>h</w:t>
      </w:r>
      <w:r w:rsidRPr="005F15DA">
        <w:rPr>
          <w:rFonts w:cs="Arial"/>
          <w:szCs w:val="22"/>
        </w:rPr>
        <w:t>tigte diese unterhalten. Wenn die Vorrichtung auch dem Belasteten dient, müssen beide die Unterhaltskosten entsprechend "ihres Interesses" (wer nutzt wieviel der Vorrichtung) tragen.</w:t>
      </w:r>
    </w:p>
    <w:p w:rsidR="009B2702" w:rsidRPr="005F15DA" w:rsidRDefault="009B2702" w:rsidP="008851FF">
      <w:pPr>
        <w:tabs>
          <w:tab w:val="left" w:pos="426"/>
        </w:tabs>
        <w:spacing w:line="240" w:lineRule="auto"/>
        <w:ind w:left="426" w:hanging="426"/>
        <w:jc w:val="both"/>
        <w:rPr>
          <w:rFonts w:cs="Arial"/>
          <w:szCs w:val="22"/>
        </w:rPr>
      </w:pPr>
    </w:p>
    <w:p w:rsidR="009B2702" w:rsidRPr="005F15DA" w:rsidRDefault="009B2702" w:rsidP="008851FF">
      <w:pPr>
        <w:tabs>
          <w:tab w:val="left" w:pos="426"/>
        </w:tabs>
        <w:spacing w:line="240" w:lineRule="auto"/>
        <w:ind w:left="426" w:hanging="426"/>
        <w:jc w:val="both"/>
        <w:rPr>
          <w:rFonts w:cs="Arial"/>
          <w:szCs w:val="22"/>
        </w:rPr>
      </w:pPr>
      <w:r w:rsidRPr="005F15DA">
        <w:rPr>
          <w:rFonts w:cs="Arial"/>
          <w:szCs w:val="22"/>
        </w:rPr>
        <w:tab/>
        <w:t>Der belastete Grundeigentümer kann die Verlegung der Last verlangen, wenn er ein Int</w:t>
      </w:r>
      <w:r w:rsidRPr="005F15DA">
        <w:rPr>
          <w:rFonts w:cs="Arial"/>
          <w:szCs w:val="22"/>
        </w:rPr>
        <w:t>e</w:t>
      </w:r>
      <w:r w:rsidRPr="005F15DA">
        <w:rPr>
          <w:rFonts w:cs="Arial"/>
          <w:szCs w:val="22"/>
        </w:rPr>
        <w:t xml:space="preserve">resse nachweist und die Kosten der Verlegung übernimmt, wobei die neue Stelle für den Berechtigten gleich geeignet sein muss. Die Verlegung kann nur dann verlangt werden, wenn </w:t>
      </w:r>
      <w:r w:rsidR="00E72E2E" w:rsidRPr="005F15DA">
        <w:rPr>
          <w:rFonts w:cs="Arial"/>
          <w:szCs w:val="22"/>
        </w:rPr>
        <w:t>lediglich</w:t>
      </w:r>
      <w:r w:rsidRPr="005F15DA">
        <w:rPr>
          <w:rFonts w:cs="Arial"/>
          <w:szCs w:val="22"/>
        </w:rPr>
        <w:t xml:space="preserve"> ein Teil des Grundstückes belastet ist.</w:t>
      </w:r>
      <w:r w:rsidR="00E72E2E" w:rsidRPr="005F15DA">
        <w:rPr>
          <w:rFonts w:cs="Arial"/>
          <w:szCs w:val="22"/>
        </w:rPr>
        <w:t xml:space="preserve"> Beim Neubau von Gebäuden auf bisher unbebautem Land gehen häufig Leitungen durch den geplanten Bauplatz; der b</w:t>
      </w:r>
      <w:r w:rsidR="00E72E2E" w:rsidRPr="005F15DA">
        <w:rPr>
          <w:rFonts w:cs="Arial"/>
          <w:szCs w:val="22"/>
        </w:rPr>
        <w:t>e</w:t>
      </w:r>
      <w:r w:rsidR="00E72E2E" w:rsidRPr="005F15DA">
        <w:rPr>
          <w:rFonts w:cs="Arial"/>
          <w:szCs w:val="22"/>
        </w:rPr>
        <w:t>lastete Grundeigentümer darf in diesem Fall die Leitungen verlegen, muss aber die Ko</w:t>
      </w:r>
      <w:r w:rsidR="00E72E2E" w:rsidRPr="005F15DA">
        <w:rPr>
          <w:rFonts w:cs="Arial"/>
          <w:szCs w:val="22"/>
        </w:rPr>
        <w:t>s</w:t>
      </w:r>
      <w:r w:rsidR="00E72E2E" w:rsidRPr="005F15DA">
        <w:rPr>
          <w:rFonts w:cs="Arial"/>
          <w:szCs w:val="22"/>
        </w:rPr>
        <w:t>ten der Verlegung selber bezahlen.</w:t>
      </w:r>
    </w:p>
    <w:p w:rsidR="00E72E2E" w:rsidRPr="005F15DA" w:rsidRDefault="00E72E2E" w:rsidP="008851FF">
      <w:pPr>
        <w:tabs>
          <w:tab w:val="left" w:pos="426"/>
        </w:tabs>
        <w:spacing w:line="240" w:lineRule="auto"/>
        <w:ind w:left="426" w:hanging="426"/>
        <w:jc w:val="both"/>
        <w:rPr>
          <w:rFonts w:cs="Arial"/>
          <w:szCs w:val="22"/>
        </w:rPr>
      </w:pPr>
    </w:p>
    <w:p w:rsidR="00E72E2E" w:rsidRPr="005F15DA" w:rsidRDefault="00E72E2E" w:rsidP="008851FF">
      <w:pPr>
        <w:tabs>
          <w:tab w:val="left" w:pos="426"/>
        </w:tabs>
        <w:spacing w:line="240" w:lineRule="auto"/>
        <w:ind w:left="426" w:hanging="426"/>
        <w:jc w:val="both"/>
        <w:rPr>
          <w:rFonts w:cs="Arial"/>
          <w:szCs w:val="22"/>
        </w:rPr>
      </w:pPr>
      <w:r w:rsidRPr="005F15DA">
        <w:rPr>
          <w:rFonts w:cs="Arial"/>
          <w:szCs w:val="22"/>
        </w:rPr>
        <w:tab/>
        <w:t>Bei Parzellierungen besteht eine Dienstbarkeit (Recht oder Last) grundsätzlich auf allen Teilen weiter; beschränkt sie sich gemäss Belegen oder den Umständen auf einzelne Teile eines Grundstückes, so ist sie auf den nicht betroffenen Grundstückteilen zu l</w:t>
      </w:r>
      <w:r w:rsidRPr="005F15DA">
        <w:rPr>
          <w:rFonts w:cs="Arial"/>
          <w:szCs w:val="22"/>
        </w:rPr>
        <w:t>ö</w:t>
      </w:r>
      <w:r w:rsidRPr="005F15DA">
        <w:rPr>
          <w:rFonts w:cs="Arial"/>
          <w:szCs w:val="22"/>
        </w:rPr>
        <w:t>schen. Bei Parzellierungen und Grundstückvereinigungen müssen die Dienstbarkeiten, Grundlasten, Grundpfandrechte, Vor- und Anmerkungen bereinigt werden (Art. 974 a und 974 b ZGB); wenn der Bereinigungsantrag an das Grundbuchamt fehlt (oder pauschal a</w:t>
      </w:r>
      <w:r w:rsidRPr="005F15DA">
        <w:rPr>
          <w:rFonts w:cs="Arial"/>
          <w:szCs w:val="22"/>
        </w:rPr>
        <w:t>l</w:t>
      </w:r>
      <w:r w:rsidRPr="005F15DA">
        <w:rPr>
          <w:rFonts w:cs="Arial"/>
          <w:szCs w:val="22"/>
        </w:rPr>
        <w:t>les übertragen werden soll), weist das Grundbuchamt die Anmeldung ab. Für Löschu</w:t>
      </w:r>
      <w:r w:rsidRPr="005F15DA">
        <w:rPr>
          <w:rFonts w:cs="Arial"/>
          <w:szCs w:val="22"/>
        </w:rPr>
        <w:t>n</w:t>
      </w:r>
      <w:r w:rsidRPr="005F15DA">
        <w:rPr>
          <w:rFonts w:cs="Arial"/>
          <w:szCs w:val="22"/>
        </w:rPr>
        <w:t xml:space="preserve">gen </w:t>
      </w:r>
      <w:r w:rsidR="005377CD" w:rsidRPr="005F15DA">
        <w:rPr>
          <w:rFonts w:cs="Arial"/>
          <w:szCs w:val="22"/>
        </w:rPr>
        <w:t xml:space="preserve">auf einem Teil-Grundstück </w:t>
      </w:r>
      <w:r w:rsidRPr="005F15DA">
        <w:rPr>
          <w:rFonts w:cs="Arial"/>
          <w:szCs w:val="22"/>
        </w:rPr>
        <w:t>müssen, soweit die Lage der Dienstbarkeit</w:t>
      </w:r>
      <w:r w:rsidR="005377CD" w:rsidRPr="005F15DA">
        <w:rPr>
          <w:rFonts w:cs="Arial"/>
          <w:szCs w:val="22"/>
        </w:rPr>
        <w:t>en</w:t>
      </w:r>
      <w:r w:rsidRPr="005F15DA">
        <w:rPr>
          <w:rFonts w:cs="Arial"/>
          <w:szCs w:val="22"/>
        </w:rPr>
        <w:t xml:space="preserve"> aus dem Grundbuch nicht genau ersichtlich ist, die Einwilligungen der Berechtigten </w:t>
      </w:r>
      <w:r w:rsidR="005377CD" w:rsidRPr="005F15DA">
        <w:rPr>
          <w:rFonts w:cs="Arial"/>
          <w:szCs w:val="22"/>
        </w:rPr>
        <w:t>vorgelegt we</w:t>
      </w:r>
      <w:r w:rsidR="005377CD" w:rsidRPr="005F15DA">
        <w:rPr>
          <w:rFonts w:cs="Arial"/>
          <w:szCs w:val="22"/>
        </w:rPr>
        <w:t>r</w:t>
      </w:r>
      <w:r w:rsidR="005377CD" w:rsidRPr="005F15DA">
        <w:rPr>
          <w:rFonts w:cs="Arial"/>
          <w:szCs w:val="22"/>
        </w:rPr>
        <w:t>den.</w:t>
      </w:r>
    </w:p>
    <w:p w:rsidR="00DE2D3D" w:rsidRPr="005F15DA" w:rsidRDefault="00DE2D3D" w:rsidP="008851FF">
      <w:pPr>
        <w:spacing w:line="240" w:lineRule="auto"/>
        <w:jc w:val="both"/>
        <w:rPr>
          <w:rFonts w:cs="Arial"/>
          <w:szCs w:val="22"/>
        </w:rPr>
      </w:pPr>
    </w:p>
    <w:p w:rsidR="004E576A" w:rsidRPr="005F15DA" w:rsidRDefault="004E576A" w:rsidP="008851FF">
      <w:pPr>
        <w:tabs>
          <w:tab w:val="left" w:pos="426"/>
        </w:tabs>
        <w:spacing w:line="240" w:lineRule="auto"/>
        <w:jc w:val="both"/>
        <w:rPr>
          <w:rFonts w:cs="Arial"/>
          <w:szCs w:val="22"/>
        </w:rPr>
      </w:pPr>
    </w:p>
    <w:p w:rsidR="004E576A" w:rsidRPr="005F15DA" w:rsidRDefault="004E576A" w:rsidP="008851FF">
      <w:pPr>
        <w:tabs>
          <w:tab w:val="left" w:pos="426"/>
        </w:tabs>
        <w:spacing w:line="240" w:lineRule="auto"/>
        <w:jc w:val="both"/>
        <w:rPr>
          <w:rFonts w:cs="Arial"/>
          <w:szCs w:val="22"/>
        </w:rPr>
      </w:pPr>
    </w:p>
    <w:p w:rsidR="004E576A" w:rsidRPr="005F15DA" w:rsidRDefault="00B828BF" w:rsidP="005759BE">
      <w:pPr>
        <w:pStyle w:val="berschrift3"/>
        <w:rPr>
          <w:lang w:val="de-CH"/>
        </w:rPr>
      </w:pPr>
      <w:bookmarkStart w:id="148" w:name="_Toc432175668"/>
      <w:r w:rsidRPr="005F15DA">
        <w:rPr>
          <w:lang w:val="de-CH"/>
        </w:rPr>
        <w:t>B.</w:t>
      </w:r>
      <w:r w:rsidRPr="005F15DA">
        <w:rPr>
          <w:lang w:val="de-CH"/>
        </w:rPr>
        <w:tab/>
      </w:r>
      <w:r w:rsidR="004E576A" w:rsidRPr="005F15DA">
        <w:rPr>
          <w:lang w:val="de-CH"/>
        </w:rPr>
        <w:t>Nutzniessung (Art. 745 – 775 ZGB)</w:t>
      </w:r>
      <w:bookmarkEnd w:id="148"/>
    </w:p>
    <w:p w:rsidR="004E576A" w:rsidRPr="005F15DA" w:rsidRDefault="004E576A" w:rsidP="008851FF">
      <w:pPr>
        <w:spacing w:line="240" w:lineRule="auto"/>
        <w:jc w:val="both"/>
        <w:rPr>
          <w:rFonts w:cs="Arial"/>
          <w:szCs w:val="22"/>
        </w:rPr>
      </w:pPr>
    </w:p>
    <w:p w:rsidR="004E576A" w:rsidRPr="005F15DA" w:rsidRDefault="005377CD" w:rsidP="005B0708">
      <w:pPr>
        <w:pStyle w:val="berschrift4"/>
      </w:pPr>
      <w:r w:rsidRPr="005F15DA">
        <w:t>1.</w:t>
      </w:r>
      <w:r w:rsidRPr="005F15DA">
        <w:tab/>
        <w:t>Gegenstand</w:t>
      </w:r>
    </w:p>
    <w:p w:rsidR="005377CD" w:rsidRPr="005F15DA" w:rsidRDefault="005377CD" w:rsidP="008851FF">
      <w:pPr>
        <w:tabs>
          <w:tab w:val="left" w:pos="426"/>
        </w:tabs>
        <w:spacing w:line="240" w:lineRule="auto"/>
        <w:jc w:val="both"/>
        <w:rPr>
          <w:rFonts w:cs="Arial"/>
          <w:szCs w:val="22"/>
        </w:rPr>
      </w:pPr>
      <w:r w:rsidRPr="005F15DA">
        <w:rPr>
          <w:rFonts w:cs="Arial"/>
          <w:szCs w:val="22"/>
        </w:rPr>
        <w:tab/>
        <w:t>Die Nutzniessung kann an</w:t>
      </w:r>
    </w:p>
    <w:p w:rsidR="005377CD" w:rsidRPr="005F15DA" w:rsidRDefault="005377CD" w:rsidP="009D34F3">
      <w:pPr>
        <w:pStyle w:val="Listenabsatz"/>
        <w:numPr>
          <w:ilvl w:val="0"/>
          <w:numId w:val="12"/>
        </w:numPr>
        <w:tabs>
          <w:tab w:val="left" w:pos="426"/>
          <w:tab w:val="left" w:pos="851"/>
        </w:tabs>
        <w:spacing w:line="240" w:lineRule="auto"/>
        <w:ind w:left="851" w:hanging="425"/>
        <w:jc w:val="both"/>
        <w:rPr>
          <w:rFonts w:cs="Arial"/>
          <w:szCs w:val="22"/>
        </w:rPr>
      </w:pPr>
      <w:r w:rsidRPr="005F15DA">
        <w:rPr>
          <w:rFonts w:cs="Arial"/>
          <w:szCs w:val="22"/>
        </w:rPr>
        <w:t>beweglichen Sachen,</w:t>
      </w:r>
    </w:p>
    <w:p w:rsidR="005377CD" w:rsidRPr="005F15DA" w:rsidRDefault="005377CD" w:rsidP="009D34F3">
      <w:pPr>
        <w:pStyle w:val="Listenabsatz"/>
        <w:numPr>
          <w:ilvl w:val="0"/>
          <w:numId w:val="12"/>
        </w:numPr>
        <w:tabs>
          <w:tab w:val="left" w:pos="426"/>
          <w:tab w:val="left" w:pos="851"/>
        </w:tabs>
        <w:spacing w:line="240" w:lineRule="auto"/>
        <w:ind w:left="851" w:hanging="425"/>
        <w:jc w:val="both"/>
        <w:rPr>
          <w:rFonts w:cs="Arial"/>
          <w:szCs w:val="22"/>
        </w:rPr>
      </w:pPr>
      <w:r w:rsidRPr="005F15DA">
        <w:rPr>
          <w:rFonts w:cs="Arial"/>
          <w:szCs w:val="22"/>
        </w:rPr>
        <w:t>Grundstücken,</w:t>
      </w:r>
    </w:p>
    <w:p w:rsidR="005377CD" w:rsidRPr="005F15DA" w:rsidRDefault="005377CD" w:rsidP="009D34F3">
      <w:pPr>
        <w:pStyle w:val="Listenabsatz"/>
        <w:numPr>
          <w:ilvl w:val="0"/>
          <w:numId w:val="12"/>
        </w:numPr>
        <w:tabs>
          <w:tab w:val="left" w:pos="426"/>
          <w:tab w:val="left" w:pos="851"/>
        </w:tabs>
        <w:spacing w:line="240" w:lineRule="auto"/>
        <w:ind w:left="851" w:hanging="425"/>
        <w:jc w:val="both"/>
        <w:rPr>
          <w:rFonts w:cs="Arial"/>
          <w:szCs w:val="22"/>
        </w:rPr>
      </w:pPr>
      <w:r w:rsidRPr="005F15DA">
        <w:rPr>
          <w:rFonts w:cs="Arial"/>
          <w:szCs w:val="22"/>
        </w:rPr>
        <w:t>Rechten, oder</w:t>
      </w:r>
    </w:p>
    <w:p w:rsidR="005377CD" w:rsidRPr="005F15DA" w:rsidRDefault="005377CD" w:rsidP="009D34F3">
      <w:pPr>
        <w:pStyle w:val="Listenabsatz"/>
        <w:numPr>
          <w:ilvl w:val="0"/>
          <w:numId w:val="12"/>
        </w:numPr>
        <w:tabs>
          <w:tab w:val="left" w:pos="426"/>
          <w:tab w:val="left" w:pos="851"/>
        </w:tabs>
        <w:spacing w:line="240" w:lineRule="auto"/>
        <w:ind w:left="851" w:hanging="425"/>
        <w:jc w:val="both"/>
        <w:rPr>
          <w:rFonts w:cs="Arial"/>
          <w:szCs w:val="22"/>
        </w:rPr>
      </w:pPr>
      <w:r w:rsidRPr="005F15DA">
        <w:rPr>
          <w:rFonts w:cs="Arial"/>
          <w:szCs w:val="22"/>
        </w:rPr>
        <w:t>einem Vermögen</w:t>
      </w:r>
    </w:p>
    <w:p w:rsidR="005377CD" w:rsidRPr="005F15DA" w:rsidRDefault="005377CD" w:rsidP="008851FF">
      <w:pPr>
        <w:tabs>
          <w:tab w:val="left" w:pos="426"/>
        </w:tabs>
        <w:spacing w:line="240" w:lineRule="auto"/>
        <w:jc w:val="both"/>
        <w:rPr>
          <w:rFonts w:cs="Arial"/>
          <w:szCs w:val="22"/>
        </w:rPr>
      </w:pPr>
      <w:r w:rsidRPr="005F15DA">
        <w:rPr>
          <w:rFonts w:cs="Arial"/>
          <w:szCs w:val="22"/>
        </w:rPr>
        <w:tab/>
        <w:t>bestellt werden.</w:t>
      </w:r>
    </w:p>
    <w:p w:rsidR="005377CD" w:rsidRPr="005F15DA" w:rsidRDefault="005377CD" w:rsidP="008851FF">
      <w:pPr>
        <w:tabs>
          <w:tab w:val="left" w:pos="426"/>
        </w:tabs>
        <w:spacing w:line="240" w:lineRule="auto"/>
        <w:jc w:val="both"/>
        <w:rPr>
          <w:rFonts w:cs="Arial"/>
          <w:szCs w:val="22"/>
        </w:rPr>
      </w:pPr>
    </w:p>
    <w:p w:rsidR="005377CD" w:rsidRPr="005F15DA" w:rsidRDefault="005377CD" w:rsidP="008851FF">
      <w:pPr>
        <w:tabs>
          <w:tab w:val="left" w:pos="426"/>
        </w:tabs>
        <w:spacing w:line="240" w:lineRule="auto"/>
        <w:ind w:left="426" w:hanging="426"/>
        <w:jc w:val="both"/>
        <w:rPr>
          <w:rFonts w:cs="Arial"/>
          <w:szCs w:val="22"/>
        </w:rPr>
      </w:pPr>
      <w:r w:rsidRPr="005F15DA">
        <w:rPr>
          <w:rFonts w:cs="Arial"/>
          <w:szCs w:val="22"/>
        </w:rPr>
        <w:tab/>
        <w:t>Bei Grundstücken kann die Nutzniessung auf einen bestimmten Teil des Grundstückes oder einen Teil</w:t>
      </w:r>
      <w:r w:rsidR="0078495D" w:rsidRPr="005F15DA">
        <w:rPr>
          <w:rFonts w:cs="Arial"/>
          <w:szCs w:val="22"/>
        </w:rPr>
        <w:t xml:space="preserve"> des Gebäudes beschränkt werden (Nutzniessung am Garten oder an e</w:t>
      </w:r>
      <w:r w:rsidR="0078495D" w:rsidRPr="005F15DA">
        <w:rPr>
          <w:rFonts w:cs="Arial"/>
          <w:szCs w:val="22"/>
        </w:rPr>
        <w:t>i</w:t>
      </w:r>
      <w:r w:rsidR="0078495D" w:rsidRPr="005F15DA">
        <w:rPr>
          <w:rFonts w:cs="Arial"/>
          <w:szCs w:val="22"/>
        </w:rPr>
        <w:t>ner Wohnung).</w:t>
      </w:r>
    </w:p>
    <w:p w:rsidR="005377CD" w:rsidRPr="005F15DA" w:rsidRDefault="005377CD" w:rsidP="008851FF">
      <w:pPr>
        <w:tabs>
          <w:tab w:val="left" w:pos="426"/>
        </w:tabs>
        <w:spacing w:line="240" w:lineRule="auto"/>
        <w:jc w:val="both"/>
        <w:rPr>
          <w:rFonts w:cs="Arial"/>
          <w:szCs w:val="22"/>
        </w:rPr>
      </w:pPr>
    </w:p>
    <w:p w:rsidR="005377CD" w:rsidRPr="005F15DA" w:rsidRDefault="005377CD" w:rsidP="008851FF">
      <w:pPr>
        <w:tabs>
          <w:tab w:val="left" w:pos="426"/>
        </w:tabs>
        <w:spacing w:line="240" w:lineRule="auto"/>
        <w:ind w:left="426" w:hanging="426"/>
        <w:jc w:val="both"/>
        <w:rPr>
          <w:rFonts w:cs="Arial"/>
          <w:szCs w:val="22"/>
        </w:rPr>
      </w:pPr>
      <w:r w:rsidRPr="005F15DA">
        <w:rPr>
          <w:rFonts w:cs="Arial"/>
          <w:szCs w:val="22"/>
        </w:rPr>
        <w:tab/>
        <w:t xml:space="preserve">Die Nutzniessung kann, wenn es sich nicht um ein höchstpersönliches Recht handelt, zur Ausübung auf </w:t>
      </w:r>
      <w:r w:rsidR="00615ADD" w:rsidRPr="005F15DA">
        <w:rPr>
          <w:rFonts w:cs="Arial"/>
          <w:szCs w:val="22"/>
        </w:rPr>
        <w:t xml:space="preserve">einen Dritten übertragen werden. </w:t>
      </w:r>
    </w:p>
    <w:p w:rsidR="005377CD" w:rsidRPr="005F15DA" w:rsidRDefault="005377CD" w:rsidP="008851FF">
      <w:pPr>
        <w:tabs>
          <w:tab w:val="left" w:pos="426"/>
        </w:tabs>
        <w:spacing w:line="240" w:lineRule="auto"/>
        <w:ind w:left="426" w:hanging="426"/>
        <w:jc w:val="both"/>
        <w:rPr>
          <w:rFonts w:cs="Arial"/>
          <w:szCs w:val="22"/>
        </w:rPr>
      </w:pPr>
      <w:r w:rsidRPr="005F15DA">
        <w:rPr>
          <w:rFonts w:cs="Arial"/>
          <w:szCs w:val="22"/>
        </w:rPr>
        <w:lastRenderedPageBreak/>
        <w:tab/>
        <w:t>Nutzniesser können natürliche oder juristische Personen sein. Es handelt sich hierbei also um eine Personaldienstbarkeit.</w:t>
      </w:r>
    </w:p>
    <w:p w:rsidR="005377CD" w:rsidRPr="005F15DA" w:rsidRDefault="005377CD" w:rsidP="008851FF">
      <w:pPr>
        <w:tabs>
          <w:tab w:val="left" w:pos="426"/>
        </w:tabs>
        <w:spacing w:line="240" w:lineRule="auto"/>
        <w:ind w:left="426" w:hanging="426"/>
        <w:jc w:val="both"/>
        <w:rPr>
          <w:rFonts w:cs="Arial"/>
          <w:szCs w:val="22"/>
        </w:rPr>
      </w:pPr>
    </w:p>
    <w:p w:rsidR="005377CD" w:rsidRPr="005F15DA" w:rsidRDefault="005377CD" w:rsidP="008851FF">
      <w:pPr>
        <w:tabs>
          <w:tab w:val="left" w:pos="426"/>
        </w:tabs>
        <w:spacing w:line="240" w:lineRule="auto"/>
        <w:ind w:left="426" w:hanging="426"/>
        <w:jc w:val="both"/>
        <w:rPr>
          <w:rFonts w:cs="Arial"/>
          <w:szCs w:val="22"/>
        </w:rPr>
      </w:pPr>
    </w:p>
    <w:p w:rsidR="005377CD" w:rsidRPr="005F15DA" w:rsidRDefault="005377CD" w:rsidP="005B0708">
      <w:pPr>
        <w:pStyle w:val="berschrift4"/>
      </w:pPr>
      <w:r w:rsidRPr="005F15DA">
        <w:t>2.</w:t>
      </w:r>
      <w:r w:rsidRPr="005F15DA">
        <w:tab/>
        <w:t>Errichtung und Untergang</w:t>
      </w:r>
    </w:p>
    <w:p w:rsidR="005377CD" w:rsidRPr="005F15DA" w:rsidRDefault="005377CD" w:rsidP="008851FF">
      <w:pPr>
        <w:tabs>
          <w:tab w:val="left" w:pos="426"/>
        </w:tabs>
        <w:spacing w:line="240" w:lineRule="auto"/>
        <w:ind w:left="426" w:hanging="426"/>
        <w:jc w:val="both"/>
        <w:rPr>
          <w:rFonts w:cs="Arial"/>
          <w:szCs w:val="22"/>
        </w:rPr>
      </w:pPr>
      <w:r w:rsidRPr="005F15DA">
        <w:rPr>
          <w:rFonts w:cs="Arial"/>
          <w:szCs w:val="22"/>
        </w:rPr>
        <w:tab/>
        <w:t xml:space="preserve">Bei beweglichen Sachen und Forderungen muss die Sache oder Forderung </w:t>
      </w:r>
      <w:r w:rsidR="001E1255" w:rsidRPr="005F15DA">
        <w:rPr>
          <w:rFonts w:cs="Arial"/>
          <w:szCs w:val="22"/>
        </w:rPr>
        <w:t>auf den Nutzniesser übertragen werden. Bei Grundstücken muss ein öffentlich beurkundeter Ve</w:t>
      </w:r>
      <w:r w:rsidR="001E1255" w:rsidRPr="005F15DA">
        <w:rPr>
          <w:rFonts w:cs="Arial"/>
          <w:szCs w:val="22"/>
        </w:rPr>
        <w:t>r</w:t>
      </w:r>
      <w:r w:rsidR="001E1255" w:rsidRPr="005F15DA">
        <w:rPr>
          <w:rFonts w:cs="Arial"/>
          <w:szCs w:val="22"/>
        </w:rPr>
        <w:t>trag vorliegen, welcher zudem im Grundbuch eingetragen werden muss.</w:t>
      </w:r>
    </w:p>
    <w:p w:rsidR="001E1255" w:rsidRPr="005F15DA" w:rsidRDefault="001E1255" w:rsidP="008851FF">
      <w:pPr>
        <w:tabs>
          <w:tab w:val="left" w:pos="426"/>
        </w:tabs>
        <w:spacing w:line="240" w:lineRule="auto"/>
        <w:ind w:left="426" w:hanging="426"/>
        <w:jc w:val="both"/>
        <w:rPr>
          <w:rFonts w:cs="Arial"/>
          <w:szCs w:val="22"/>
        </w:rPr>
      </w:pPr>
    </w:p>
    <w:p w:rsidR="001E1255" w:rsidRPr="005F15DA" w:rsidRDefault="001E1255" w:rsidP="008851FF">
      <w:pPr>
        <w:tabs>
          <w:tab w:val="left" w:pos="426"/>
        </w:tabs>
        <w:spacing w:line="240" w:lineRule="auto"/>
        <w:ind w:left="426" w:hanging="426"/>
        <w:jc w:val="both"/>
        <w:rPr>
          <w:rFonts w:cs="Arial"/>
          <w:szCs w:val="22"/>
        </w:rPr>
      </w:pPr>
      <w:r w:rsidRPr="005F15DA">
        <w:rPr>
          <w:rFonts w:cs="Arial"/>
          <w:szCs w:val="22"/>
        </w:rPr>
        <w:tab/>
        <w:t>Untergangsgründe bei der Nutzniessung sind:</w:t>
      </w:r>
    </w:p>
    <w:p w:rsidR="001E1255" w:rsidRPr="005F15DA" w:rsidRDefault="001E1255" w:rsidP="009D34F3">
      <w:pPr>
        <w:pStyle w:val="Listenabsatz"/>
        <w:numPr>
          <w:ilvl w:val="0"/>
          <w:numId w:val="13"/>
        </w:numPr>
        <w:tabs>
          <w:tab w:val="left" w:pos="426"/>
          <w:tab w:val="left" w:pos="851"/>
        </w:tabs>
        <w:spacing w:line="240" w:lineRule="auto"/>
        <w:ind w:left="851" w:hanging="425"/>
        <w:jc w:val="both"/>
        <w:rPr>
          <w:rFonts w:cs="Arial"/>
          <w:szCs w:val="22"/>
        </w:rPr>
      </w:pPr>
      <w:r w:rsidRPr="005F15DA">
        <w:rPr>
          <w:rFonts w:cs="Arial"/>
          <w:szCs w:val="22"/>
        </w:rPr>
        <w:t>Vollständiger Untergang des Nutzniessungsgegenstandes,</w:t>
      </w:r>
    </w:p>
    <w:p w:rsidR="001E1255" w:rsidRPr="005F15DA" w:rsidRDefault="001E1255" w:rsidP="009D34F3">
      <w:pPr>
        <w:pStyle w:val="Listenabsatz"/>
        <w:numPr>
          <w:ilvl w:val="0"/>
          <w:numId w:val="13"/>
        </w:numPr>
        <w:tabs>
          <w:tab w:val="left" w:pos="426"/>
          <w:tab w:val="left" w:pos="851"/>
        </w:tabs>
        <w:spacing w:line="240" w:lineRule="auto"/>
        <w:ind w:left="851" w:hanging="425"/>
        <w:jc w:val="both"/>
        <w:rPr>
          <w:rFonts w:cs="Arial"/>
          <w:szCs w:val="22"/>
        </w:rPr>
      </w:pPr>
      <w:r w:rsidRPr="005F15DA">
        <w:rPr>
          <w:rFonts w:cs="Arial"/>
          <w:szCs w:val="22"/>
        </w:rPr>
        <w:t>Zeitablauf (Maximaldauer der Nutzniessung 100 Jahre),</w:t>
      </w:r>
    </w:p>
    <w:p w:rsidR="001E1255" w:rsidRPr="005F15DA" w:rsidRDefault="00615ADD" w:rsidP="009D34F3">
      <w:pPr>
        <w:pStyle w:val="Listenabsatz"/>
        <w:numPr>
          <w:ilvl w:val="0"/>
          <w:numId w:val="13"/>
        </w:numPr>
        <w:tabs>
          <w:tab w:val="left" w:pos="426"/>
          <w:tab w:val="left" w:pos="851"/>
        </w:tabs>
        <w:spacing w:line="240" w:lineRule="auto"/>
        <w:ind w:left="851" w:hanging="425"/>
        <w:jc w:val="both"/>
        <w:rPr>
          <w:rFonts w:cs="Arial"/>
          <w:szCs w:val="22"/>
        </w:rPr>
      </w:pPr>
      <w:r w:rsidRPr="005F15DA">
        <w:rPr>
          <w:rFonts w:cs="Arial"/>
          <w:szCs w:val="22"/>
        </w:rPr>
        <w:t>T</w:t>
      </w:r>
      <w:r w:rsidR="001E1255" w:rsidRPr="005F15DA">
        <w:rPr>
          <w:rFonts w:cs="Arial"/>
          <w:szCs w:val="22"/>
        </w:rPr>
        <w:t>od des Berechtigten (bei juristischen Personen deren Auflösung),</w:t>
      </w:r>
    </w:p>
    <w:p w:rsidR="001E1255" w:rsidRPr="005F15DA" w:rsidRDefault="001E1255" w:rsidP="009D34F3">
      <w:pPr>
        <w:pStyle w:val="Listenabsatz"/>
        <w:numPr>
          <w:ilvl w:val="0"/>
          <w:numId w:val="13"/>
        </w:numPr>
        <w:tabs>
          <w:tab w:val="left" w:pos="426"/>
          <w:tab w:val="left" w:pos="851"/>
        </w:tabs>
        <w:spacing w:line="240" w:lineRule="auto"/>
        <w:ind w:left="851" w:hanging="425"/>
        <w:jc w:val="both"/>
        <w:rPr>
          <w:rFonts w:cs="Arial"/>
          <w:szCs w:val="22"/>
        </w:rPr>
      </w:pPr>
      <w:r w:rsidRPr="005F15DA">
        <w:rPr>
          <w:rFonts w:cs="Arial"/>
          <w:szCs w:val="22"/>
        </w:rPr>
        <w:t>Verzicht des Berechtigten,</w:t>
      </w:r>
    </w:p>
    <w:p w:rsidR="001E1255" w:rsidRPr="005F15DA" w:rsidRDefault="001E1255" w:rsidP="009D34F3">
      <w:pPr>
        <w:pStyle w:val="Listenabsatz"/>
        <w:numPr>
          <w:ilvl w:val="0"/>
          <w:numId w:val="13"/>
        </w:numPr>
        <w:tabs>
          <w:tab w:val="left" w:pos="426"/>
          <w:tab w:val="left" w:pos="851"/>
        </w:tabs>
        <w:spacing w:line="240" w:lineRule="auto"/>
        <w:ind w:left="851" w:hanging="425"/>
        <w:jc w:val="both"/>
        <w:rPr>
          <w:rFonts w:cs="Arial"/>
          <w:szCs w:val="22"/>
        </w:rPr>
      </w:pPr>
      <w:r w:rsidRPr="005F15DA">
        <w:rPr>
          <w:rFonts w:cs="Arial"/>
          <w:szCs w:val="22"/>
        </w:rPr>
        <w:t>Wegfall des Grundes bei der gesetzlichen Nutzniessung.</w:t>
      </w:r>
    </w:p>
    <w:p w:rsidR="001E1255" w:rsidRPr="005F15DA" w:rsidRDefault="001E1255" w:rsidP="008851FF">
      <w:pPr>
        <w:tabs>
          <w:tab w:val="left" w:pos="426"/>
          <w:tab w:val="left" w:pos="709"/>
        </w:tabs>
        <w:spacing w:line="240" w:lineRule="auto"/>
        <w:ind w:left="426" w:hanging="426"/>
        <w:jc w:val="both"/>
        <w:rPr>
          <w:rFonts w:cs="Arial"/>
          <w:szCs w:val="22"/>
        </w:rPr>
      </w:pPr>
      <w:r w:rsidRPr="005F15DA">
        <w:rPr>
          <w:rFonts w:cs="Arial"/>
          <w:szCs w:val="22"/>
        </w:rPr>
        <w:tab/>
        <w:t>Bei Grundstücken muss zudem die Löschung des Eintrages im Grundbuch erfolgen.</w:t>
      </w:r>
    </w:p>
    <w:p w:rsidR="001E1255" w:rsidRPr="005F15DA" w:rsidRDefault="001E1255" w:rsidP="008851FF">
      <w:pPr>
        <w:tabs>
          <w:tab w:val="left" w:pos="426"/>
          <w:tab w:val="left" w:pos="709"/>
        </w:tabs>
        <w:spacing w:line="240" w:lineRule="auto"/>
        <w:ind w:left="426" w:hanging="426"/>
        <w:jc w:val="both"/>
        <w:rPr>
          <w:rFonts w:cs="Arial"/>
          <w:szCs w:val="22"/>
        </w:rPr>
      </w:pPr>
    </w:p>
    <w:p w:rsidR="001E1255" w:rsidRPr="005F15DA" w:rsidRDefault="001E1255" w:rsidP="008851FF">
      <w:pPr>
        <w:tabs>
          <w:tab w:val="left" w:pos="426"/>
          <w:tab w:val="left" w:pos="709"/>
        </w:tabs>
        <w:spacing w:line="240" w:lineRule="auto"/>
        <w:ind w:left="426" w:hanging="426"/>
        <w:jc w:val="both"/>
        <w:rPr>
          <w:rFonts w:cs="Arial"/>
          <w:szCs w:val="22"/>
        </w:rPr>
      </w:pPr>
      <w:r w:rsidRPr="005F15DA">
        <w:rPr>
          <w:rFonts w:cs="Arial"/>
          <w:szCs w:val="22"/>
        </w:rPr>
        <w:tab/>
        <w:t xml:space="preserve">Wenn der Nutzniessungsgegenstand untergegangen ist, muss der Belastete </w:t>
      </w:r>
      <w:r w:rsidR="005F6375" w:rsidRPr="005F15DA">
        <w:rPr>
          <w:rFonts w:cs="Arial"/>
          <w:szCs w:val="22"/>
        </w:rPr>
        <w:t>den Gege</w:t>
      </w:r>
      <w:r w:rsidR="005F6375" w:rsidRPr="005F15DA">
        <w:rPr>
          <w:rFonts w:cs="Arial"/>
          <w:szCs w:val="22"/>
        </w:rPr>
        <w:t>n</w:t>
      </w:r>
      <w:r w:rsidR="005F6375" w:rsidRPr="005F15DA">
        <w:rPr>
          <w:rFonts w:cs="Arial"/>
          <w:szCs w:val="22"/>
        </w:rPr>
        <w:t>stand nicht wieder herstellen. Tut er dies doch, oder wird ein Ersatz geleistet (Versich</w:t>
      </w:r>
      <w:r w:rsidR="005F6375" w:rsidRPr="005F15DA">
        <w:rPr>
          <w:rFonts w:cs="Arial"/>
          <w:szCs w:val="22"/>
        </w:rPr>
        <w:t>e</w:t>
      </w:r>
      <w:r w:rsidR="005F6375" w:rsidRPr="005F15DA">
        <w:rPr>
          <w:rFonts w:cs="Arial"/>
          <w:szCs w:val="22"/>
        </w:rPr>
        <w:t>rung, Enteignung), lebt die Nutzniessung wieder auf bzw. besteht am Ersatzgegenstand.</w:t>
      </w:r>
    </w:p>
    <w:p w:rsidR="005F6375" w:rsidRPr="005F15DA" w:rsidRDefault="005F6375" w:rsidP="008851FF">
      <w:pPr>
        <w:tabs>
          <w:tab w:val="left" w:pos="426"/>
          <w:tab w:val="left" w:pos="709"/>
        </w:tabs>
        <w:spacing w:line="240" w:lineRule="auto"/>
        <w:ind w:left="426" w:hanging="426"/>
        <w:jc w:val="both"/>
        <w:rPr>
          <w:rFonts w:cs="Arial"/>
          <w:szCs w:val="22"/>
        </w:rPr>
      </w:pPr>
    </w:p>
    <w:p w:rsidR="005F6375" w:rsidRPr="005F15DA" w:rsidRDefault="005F6375" w:rsidP="008851FF">
      <w:pPr>
        <w:tabs>
          <w:tab w:val="left" w:pos="426"/>
          <w:tab w:val="left" w:pos="709"/>
        </w:tabs>
        <w:spacing w:line="240" w:lineRule="auto"/>
        <w:ind w:left="426" w:hanging="426"/>
        <w:jc w:val="both"/>
        <w:rPr>
          <w:rFonts w:cs="Arial"/>
          <w:szCs w:val="22"/>
        </w:rPr>
      </w:pPr>
      <w:r w:rsidRPr="005F15DA">
        <w:rPr>
          <w:rFonts w:cs="Arial"/>
          <w:szCs w:val="22"/>
        </w:rPr>
        <w:tab/>
        <w:t>Bei Beendigung der Nutzniessung muss der Gegenstand dem Belasteten zurückgegeben werden. Der Nutzniesser haftet für Untergang und Minderwert des Nutzniessungsgege</w:t>
      </w:r>
      <w:r w:rsidRPr="005F15DA">
        <w:rPr>
          <w:rFonts w:cs="Arial"/>
          <w:szCs w:val="22"/>
        </w:rPr>
        <w:t>n</w:t>
      </w:r>
      <w:r w:rsidRPr="005F15DA">
        <w:rPr>
          <w:rFonts w:cs="Arial"/>
          <w:szCs w:val="22"/>
        </w:rPr>
        <w:t>standes; aufgebrauchte Gegenstände (soweit der Verbrauch nicht zur Nutzung gehört) muss der Nutzniesser ersetzen. Entsteht durch den ordnungsgemässen Gebrauch der Sache ein Minderwert, muss der Nutzniesser diesen Minderwert nicht ersetzen (die no</w:t>
      </w:r>
      <w:r w:rsidRPr="005F15DA">
        <w:rPr>
          <w:rFonts w:cs="Arial"/>
          <w:szCs w:val="22"/>
        </w:rPr>
        <w:t>r</w:t>
      </w:r>
      <w:r w:rsidRPr="005F15DA">
        <w:rPr>
          <w:rFonts w:cs="Arial"/>
          <w:szCs w:val="22"/>
        </w:rPr>
        <w:t xml:space="preserve">male Abnützung einer Wohnung muss der Grundeigentümer hinnehmen). </w:t>
      </w:r>
    </w:p>
    <w:p w:rsidR="005377CD" w:rsidRPr="005F15DA" w:rsidRDefault="005377CD" w:rsidP="008851FF">
      <w:pPr>
        <w:tabs>
          <w:tab w:val="left" w:pos="426"/>
        </w:tabs>
        <w:spacing w:line="240" w:lineRule="auto"/>
        <w:ind w:left="426" w:hanging="426"/>
        <w:jc w:val="both"/>
        <w:rPr>
          <w:rFonts w:cs="Arial"/>
          <w:szCs w:val="22"/>
        </w:rPr>
      </w:pPr>
    </w:p>
    <w:p w:rsidR="005377CD" w:rsidRPr="005F15DA" w:rsidRDefault="005377CD" w:rsidP="008851FF">
      <w:pPr>
        <w:tabs>
          <w:tab w:val="left" w:pos="426"/>
        </w:tabs>
        <w:spacing w:line="240" w:lineRule="auto"/>
        <w:ind w:left="426" w:hanging="426"/>
        <w:jc w:val="both"/>
        <w:rPr>
          <w:rFonts w:cs="Arial"/>
          <w:szCs w:val="22"/>
        </w:rPr>
      </w:pPr>
    </w:p>
    <w:p w:rsidR="005377CD" w:rsidRPr="005F15DA" w:rsidRDefault="005377CD" w:rsidP="005B0708">
      <w:pPr>
        <w:pStyle w:val="berschrift4"/>
      </w:pPr>
      <w:r w:rsidRPr="005F15DA">
        <w:t>3.</w:t>
      </w:r>
      <w:r w:rsidRPr="005F15DA">
        <w:tab/>
        <w:t>Inhalt und Umfang der Nutzniessung</w:t>
      </w:r>
    </w:p>
    <w:p w:rsidR="005377CD" w:rsidRPr="005F15DA" w:rsidRDefault="005377CD" w:rsidP="008851FF">
      <w:pPr>
        <w:tabs>
          <w:tab w:val="left" w:pos="426"/>
        </w:tabs>
        <w:spacing w:line="240" w:lineRule="auto"/>
        <w:ind w:left="426" w:hanging="426"/>
        <w:jc w:val="both"/>
        <w:rPr>
          <w:rFonts w:cs="Arial"/>
          <w:szCs w:val="22"/>
        </w:rPr>
      </w:pPr>
      <w:r w:rsidRPr="005F15DA">
        <w:rPr>
          <w:rFonts w:cs="Arial"/>
          <w:szCs w:val="22"/>
        </w:rPr>
        <w:tab/>
      </w:r>
      <w:r w:rsidR="005F6375" w:rsidRPr="005F15DA">
        <w:rPr>
          <w:rFonts w:cs="Arial"/>
          <w:szCs w:val="22"/>
        </w:rPr>
        <w:t xml:space="preserve">Der Nutzniesser hat das Recht auf den </w:t>
      </w:r>
      <w:r w:rsidR="005F6375" w:rsidRPr="005F15DA">
        <w:rPr>
          <w:rFonts w:cs="Arial"/>
          <w:szCs w:val="22"/>
          <w:u w:val="single"/>
        </w:rPr>
        <w:t>Besitz</w:t>
      </w:r>
      <w:r w:rsidR="005F6375" w:rsidRPr="005F15DA">
        <w:rPr>
          <w:rFonts w:cs="Arial"/>
          <w:szCs w:val="22"/>
        </w:rPr>
        <w:t xml:space="preserve">, den </w:t>
      </w:r>
      <w:r w:rsidR="005F6375" w:rsidRPr="005F15DA">
        <w:rPr>
          <w:rFonts w:cs="Arial"/>
          <w:szCs w:val="22"/>
          <w:u w:val="single"/>
        </w:rPr>
        <w:t>Gebrauch</w:t>
      </w:r>
      <w:r w:rsidR="005F6375" w:rsidRPr="005F15DA">
        <w:rPr>
          <w:rFonts w:cs="Arial"/>
          <w:szCs w:val="22"/>
        </w:rPr>
        <w:t xml:space="preserve"> und die </w:t>
      </w:r>
      <w:r w:rsidR="005F6375" w:rsidRPr="005F15DA">
        <w:rPr>
          <w:rFonts w:cs="Arial"/>
          <w:szCs w:val="22"/>
          <w:u w:val="single"/>
        </w:rPr>
        <w:t>Nutzung</w:t>
      </w:r>
      <w:r w:rsidR="005F6375" w:rsidRPr="005F15DA">
        <w:rPr>
          <w:rFonts w:cs="Arial"/>
          <w:szCs w:val="22"/>
        </w:rPr>
        <w:t xml:space="preserve"> der S</w:t>
      </w:r>
      <w:r w:rsidR="005F6375" w:rsidRPr="005F15DA">
        <w:rPr>
          <w:rFonts w:cs="Arial"/>
          <w:szCs w:val="22"/>
        </w:rPr>
        <w:t>a</w:t>
      </w:r>
      <w:r w:rsidR="005F6375" w:rsidRPr="005F15DA">
        <w:rPr>
          <w:rFonts w:cs="Arial"/>
          <w:szCs w:val="22"/>
        </w:rPr>
        <w:t>che. Er besorgt deren Verwaltung und hat nach den Regeln einer sorgfältigen Wirtschaft zu verfahren.</w:t>
      </w:r>
    </w:p>
    <w:p w:rsidR="00830CE6" w:rsidRPr="005F15DA" w:rsidRDefault="00830CE6" w:rsidP="008851FF">
      <w:pPr>
        <w:tabs>
          <w:tab w:val="left" w:pos="426"/>
        </w:tabs>
        <w:spacing w:line="240" w:lineRule="auto"/>
        <w:ind w:left="426" w:hanging="426"/>
        <w:jc w:val="both"/>
        <w:rPr>
          <w:rFonts w:cs="Arial"/>
          <w:szCs w:val="22"/>
        </w:rPr>
      </w:pPr>
    </w:p>
    <w:p w:rsidR="00830CE6" w:rsidRPr="005F15DA" w:rsidRDefault="00830CE6" w:rsidP="008851FF">
      <w:pPr>
        <w:tabs>
          <w:tab w:val="left" w:pos="426"/>
        </w:tabs>
        <w:spacing w:line="240" w:lineRule="auto"/>
        <w:ind w:left="426" w:hanging="426"/>
        <w:jc w:val="both"/>
        <w:rPr>
          <w:rFonts w:cs="Arial"/>
          <w:szCs w:val="22"/>
        </w:rPr>
      </w:pPr>
      <w:r w:rsidRPr="005F15DA">
        <w:rPr>
          <w:rFonts w:cs="Arial"/>
          <w:szCs w:val="22"/>
        </w:rPr>
        <w:tab/>
        <w:t xml:space="preserve">Die natürlichen </w:t>
      </w:r>
      <w:r w:rsidRPr="005F15DA">
        <w:rPr>
          <w:rFonts w:cs="Arial"/>
          <w:szCs w:val="22"/>
          <w:u w:val="single"/>
        </w:rPr>
        <w:t>Früchte</w:t>
      </w:r>
      <w:r w:rsidRPr="005F15DA">
        <w:rPr>
          <w:rFonts w:cs="Arial"/>
          <w:szCs w:val="22"/>
        </w:rPr>
        <w:t xml:space="preserve"> von Sachen sowie die </w:t>
      </w:r>
      <w:r w:rsidRPr="005F15DA">
        <w:rPr>
          <w:rFonts w:cs="Arial"/>
          <w:szCs w:val="22"/>
          <w:u w:val="single"/>
        </w:rPr>
        <w:t>Zinse, Dividenden usw.</w:t>
      </w:r>
      <w:r w:rsidRPr="005F15DA">
        <w:rPr>
          <w:rFonts w:cs="Arial"/>
          <w:szCs w:val="22"/>
        </w:rPr>
        <w:t xml:space="preserve"> von Nutznie</w:t>
      </w:r>
      <w:r w:rsidRPr="005F15DA">
        <w:rPr>
          <w:rFonts w:cs="Arial"/>
          <w:szCs w:val="22"/>
        </w:rPr>
        <w:t>s</w:t>
      </w:r>
      <w:r w:rsidRPr="005F15DA">
        <w:rPr>
          <w:rFonts w:cs="Arial"/>
          <w:szCs w:val="22"/>
        </w:rPr>
        <w:t>sungskapitalien, gehören dem Nutzniesser und zwar vom Tage des Beginns der Nut</w:t>
      </w:r>
      <w:r w:rsidRPr="005F15DA">
        <w:rPr>
          <w:rFonts w:cs="Arial"/>
          <w:szCs w:val="22"/>
        </w:rPr>
        <w:t>z</w:t>
      </w:r>
      <w:r w:rsidRPr="005F15DA">
        <w:rPr>
          <w:rFonts w:cs="Arial"/>
          <w:szCs w:val="22"/>
        </w:rPr>
        <w:t>niessung an bis zum Tag des Endes der Nutzniessung.</w:t>
      </w:r>
    </w:p>
    <w:p w:rsidR="00830CE6" w:rsidRPr="005F15DA" w:rsidRDefault="00830CE6" w:rsidP="008851FF">
      <w:pPr>
        <w:tabs>
          <w:tab w:val="left" w:pos="426"/>
        </w:tabs>
        <w:spacing w:line="240" w:lineRule="auto"/>
        <w:ind w:left="426" w:hanging="426"/>
        <w:jc w:val="both"/>
        <w:rPr>
          <w:rFonts w:cs="Arial"/>
          <w:szCs w:val="22"/>
        </w:rPr>
      </w:pPr>
    </w:p>
    <w:p w:rsidR="00830CE6" w:rsidRPr="005F15DA" w:rsidRDefault="00830CE6" w:rsidP="008851FF">
      <w:pPr>
        <w:tabs>
          <w:tab w:val="left" w:pos="426"/>
        </w:tabs>
        <w:spacing w:line="240" w:lineRule="auto"/>
        <w:ind w:left="426" w:hanging="426"/>
        <w:jc w:val="both"/>
        <w:rPr>
          <w:rFonts w:cs="Arial"/>
          <w:szCs w:val="22"/>
        </w:rPr>
      </w:pPr>
      <w:r w:rsidRPr="005F15DA">
        <w:rPr>
          <w:rFonts w:cs="Arial"/>
          <w:szCs w:val="22"/>
        </w:rPr>
        <w:tab/>
      </w:r>
      <w:r w:rsidR="001A1586" w:rsidRPr="005F15DA">
        <w:rPr>
          <w:rFonts w:cs="Arial"/>
          <w:szCs w:val="22"/>
        </w:rPr>
        <w:t xml:space="preserve">Die </w:t>
      </w:r>
      <w:r w:rsidR="001A1586" w:rsidRPr="005F15DA">
        <w:rPr>
          <w:rFonts w:cs="Arial"/>
          <w:szCs w:val="22"/>
          <w:u w:val="single"/>
        </w:rPr>
        <w:t>Ausübung der Nutzniessung</w:t>
      </w:r>
      <w:r w:rsidR="001A1586" w:rsidRPr="005F15DA">
        <w:rPr>
          <w:rFonts w:cs="Arial"/>
          <w:szCs w:val="22"/>
        </w:rPr>
        <w:t xml:space="preserve"> kann auf eine andere Person </w:t>
      </w:r>
      <w:r w:rsidR="001A1586" w:rsidRPr="005F15DA">
        <w:rPr>
          <w:rFonts w:cs="Arial"/>
          <w:szCs w:val="22"/>
          <w:u w:val="single"/>
        </w:rPr>
        <w:t>übertragen</w:t>
      </w:r>
      <w:r w:rsidR="001A1586" w:rsidRPr="005F15DA">
        <w:rPr>
          <w:rFonts w:cs="Arial"/>
          <w:szCs w:val="22"/>
        </w:rPr>
        <w:t xml:space="preserve"> werden, wenn es sich nicht um ein höchstpersönliches Recht handelt (das dingliche Recht kann oblig</w:t>
      </w:r>
      <w:r w:rsidR="001A1586" w:rsidRPr="005F15DA">
        <w:rPr>
          <w:rFonts w:cs="Arial"/>
          <w:szCs w:val="22"/>
        </w:rPr>
        <w:t>a</w:t>
      </w:r>
      <w:r w:rsidR="001A1586" w:rsidRPr="005F15DA">
        <w:rPr>
          <w:rFonts w:cs="Arial"/>
          <w:szCs w:val="22"/>
        </w:rPr>
        <w:t xml:space="preserve">torischerweise auf einen </w:t>
      </w:r>
      <w:r w:rsidR="003463FE" w:rsidRPr="005F15DA">
        <w:rPr>
          <w:rFonts w:cs="Arial"/>
          <w:szCs w:val="22"/>
        </w:rPr>
        <w:t>anderen</w:t>
      </w:r>
      <w:r w:rsidR="001A1586" w:rsidRPr="005F15DA">
        <w:rPr>
          <w:rFonts w:cs="Arial"/>
          <w:szCs w:val="22"/>
        </w:rPr>
        <w:t xml:space="preserve"> übertragen werden). </w:t>
      </w:r>
    </w:p>
    <w:p w:rsidR="001A1586" w:rsidRPr="005F15DA" w:rsidRDefault="001A1586" w:rsidP="008851FF">
      <w:pPr>
        <w:tabs>
          <w:tab w:val="left" w:pos="426"/>
        </w:tabs>
        <w:spacing w:line="240" w:lineRule="auto"/>
        <w:ind w:left="426" w:hanging="426"/>
        <w:jc w:val="both"/>
        <w:rPr>
          <w:rFonts w:cs="Arial"/>
          <w:szCs w:val="22"/>
        </w:rPr>
      </w:pPr>
    </w:p>
    <w:p w:rsidR="001A1586" w:rsidRPr="005F15DA" w:rsidRDefault="001A1586" w:rsidP="008851FF">
      <w:pPr>
        <w:tabs>
          <w:tab w:val="left" w:pos="426"/>
        </w:tabs>
        <w:spacing w:line="240" w:lineRule="auto"/>
        <w:ind w:left="426" w:hanging="426"/>
        <w:jc w:val="both"/>
        <w:rPr>
          <w:rFonts w:cs="Arial"/>
          <w:szCs w:val="22"/>
        </w:rPr>
      </w:pPr>
      <w:r w:rsidRPr="005F15DA">
        <w:rPr>
          <w:rFonts w:cs="Arial"/>
          <w:szCs w:val="22"/>
        </w:rPr>
        <w:tab/>
        <w:t>Der Eigentümer kann gegen jeden widerrechtlichen oder nicht sachgemässen Gebrauch Einspruch erheben. Wenn z.B. eine Wohnung, welche ausschliesslich dem Wohnen di</w:t>
      </w:r>
      <w:r w:rsidRPr="005F15DA">
        <w:rPr>
          <w:rFonts w:cs="Arial"/>
          <w:szCs w:val="22"/>
        </w:rPr>
        <w:t>e</w:t>
      </w:r>
      <w:r w:rsidRPr="005F15DA">
        <w:rPr>
          <w:rFonts w:cs="Arial"/>
          <w:szCs w:val="22"/>
        </w:rPr>
        <w:t>nen darf, durch den Nutzniesser für ein Gewerbe gebraucht wird, kann sich der Eigent</w:t>
      </w:r>
      <w:r w:rsidRPr="005F15DA">
        <w:rPr>
          <w:rFonts w:cs="Arial"/>
          <w:szCs w:val="22"/>
        </w:rPr>
        <w:t>ü</w:t>
      </w:r>
      <w:r w:rsidRPr="005F15DA">
        <w:rPr>
          <w:rFonts w:cs="Arial"/>
          <w:szCs w:val="22"/>
        </w:rPr>
        <w:t>mer dagegen wehren.</w:t>
      </w:r>
    </w:p>
    <w:p w:rsidR="001A1586" w:rsidRPr="005F15DA" w:rsidRDefault="001A1586" w:rsidP="008851FF">
      <w:pPr>
        <w:tabs>
          <w:tab w:val="left" w:pos="426"/>
        </w:tabs>
        <w:spacing w:line="240" w:lineRule="auto"/>
        <w:ind w:left="426" w:hanging="426"/>
        <w:jc w:val="both"/>
        <w:rPr>
          <w:rFonts w:cs="Arial"/>
          <w:szCs w:val="22"/>
        </w:rPr>
      </w:pPr>
    </w:p>
    <w:p w:rsidR="001A1586" w:rsidRPr="005F15DA" w:rsidRDefault="001A1586" w:rsidP="008851FF">
      <w:pPr>
        <w:tabs>
          <w:tab w:val="left" w:pos="426"/>
        </w:tabs>
        <w:spacing w:line="240" w:lineRule="auto"/>
        <w:ind w:left="426" w:hanging="426"/>
        <w:jc w:val="both"/>
        <w:rPr>
          <w:rFonts w:cs="Arial"/>
          <w:szCs w:val="22"/>
        </w:rPr>
      </w:pPr>
      <w:r w:rsidRPr="005F15DA">
        <w:rPr>
          <w:rFonts w:cs="Arial"/>
          <w:szCs w:val="22"/>
        </w:rPr>
        <w:tab/>
        <w:t xml:space="preserve">Der Eigentümer kann vom Nutzniesser </w:t>
      </w:r>
      <w:r w:rsidRPr="005F15DA">
        <w:rPr>
          <w:rFonts w:cs="Arial"/>
          <w:szCs w:val="22"/>
          <w:u w:val="single"/>
        </w:rPr>
        <w:t>Sicherstellung</w:t>
      </w:r>
      <w:r w:rsidRPr="005F15DA">
        <w:rPr>
          <w:rFonts w:cs="Arial"/>
          <w:szCs w:val="22"/>
        </w:rPr>
        <w:t xml:space="preserve"> des Nutzniessungsgegenstandes verlangen, wenn eine Gefährdung der Rechte des Eigentümers nachgewiesen wird. Bei Wertpapieren und verbrauchbaren Sachen kann der Eigentümer die Sicherstellung ohne den Nachweis der Gefährdung verlangen, und zwar bereits vor deren Übergabe an den Nutzniesser. Für die Sicherstellung bei Wertpapieren genügt deren Hinterlegung.</w:t>
      </w:r>
      <w:r w:rsidR="00AB3DA7" w:rsidRPr="005F15DA">
        <w:rPr>
          <w:rFonts w:cs="Arial"/>
          <w:szCs w:val="22"/>
        </w:rPr>
        <w:t xml:space="preserve"> Bei Schenkung mit Nutzniessungsvorbehalt besteht kein Anspruch auf Sicherstellung. Bei der </w:t>
      </w:r>
      <w:r w:rsidR="00AB3DA7" w:rsidRPr="005F15DA">
        <w:rPr>
          <w:rFonts w:cs="Arial"/>
          <w:szCs w:val="22"/>
        </w:rPr>
        <w:lastRenderedPageBreak/>
        <w:t>gesetzlichen Nutzniessung steht der Anspruch unter der besonderen Ordnung des Rechtsverhältnisses. Wird die verlangte Sicherstellung nicht geleistet oder der wide</w:t>
      </w:r>
      <w:r w:rsidR="00AB3DA7" w:rsidRPr="005F15DA">
        <w:rPr>
          <w:rFonts w:cs="Arial"/>
          <w:szCs w:val="22"/>
        </w:rPr>
        <w:t>r</w:t>
      </w:r>
      <w:r w:rsidR="00AB3DA7" w:rsidRPr="005F15DA">
        <w:rPr>
          <w:rFonts w:cs="Arial"/>
          <w:szCs w:val="22"/>
        </w:rPr>
        <w:t>rechtliche Gebrauch der Sache nicht eingestellt, entzieht das Gericht dem Nutzniesser den Gegenstand und ordnet eine Beistandschaft an.</w:t>
      </w:r>
    </w:p>
    <w:p w:rsidR="00AB3DA7" w:rsidRPr="005F15DA" w:rsidRDefault="00AB3DA7" w:rsidP="008851FF">
      <w:pPr>
        <w:tabs>
          <w:tab w:val="left" w:pos="426"/>
        </w:tabs>
        <w:spacing w:line="240" w:lineRule="auto"/>
        <w:ind w:left="426" w:hanging="426"/>
        <w:jc w:val="both"/>
        <w:rPr>
          <w:rFonts w:cs="Arial"/>
          <w:szCs w:val="22"/>
        </w:rPr>
      </w:pPr>
    </w:p>
    <w:p w:rsidR="00AB3DA7" w:rsidRPr="005F15DA" w:rsidRDefault="00AB3DA7" w:rsidP="008851FF">
      <w:pPr>
        <w:tabs>
          <w:tab w:val="left" w:pos="426"/>
        </w:tabs>
        <w:spacing w:line="240" w:lineRule="auto"/>
        <w:ind w:left="426" w:hanging="426"/>
        <w:jc w:val="both"/>
        <w:rPr>
          <w:rFonts w:cs="Arial"/>
          <w:szCs w:val="22"/>
        </w:rPr>
      </w:pPr>
      <w:r w:rsidRPr="005F15DA">
        <w:rPr>
          <w:rFonts w:cs="Arial"/>
          <w:szCs w:val="22"/>
        </w:rPr>
        <w:tab/>
        <w:t xml:space="preserve">Eigentümer und Nutzniesser können jederzeit ein öffentlich beurkundetes </w:t>
      </w:r>
      <w:r w:rsidRPr="005F15DA">
        <w:rPr>
          <w:rFonts w:cs="Arial"/>
          <w:szCs w:val="22"/>
          <w:u w:val="single"/>
        </w:rPr>
        <w:t>Inventar</w:t>
      </w:r>
      <w:r w:rsidRPr="005F15DA">
        <w:rPr>
          <w:rFonts w:cs="Arial"/>
          <w:szCs w:val="22"/>
        </w:rPr>
        <w:t xml:space="preserve"> über die Nutzniessungsgegenstände verlangen; die Kosten des Inventars sind von Beiden zu tragen.</w:t>
      </w:r>
    </w:p>
    <w:p w:rsidR="00AB3DA7" w:rsidRPr="005F15DA" w:rsidRDefault="00AB3DA7" w:rsidP="008851FF">
      <w:pPr>
        <w:tabs>
          <w:tab w:val="left" w:pos="426"/>
        </w:tabs>
        <w:spacing w:line="240" w:lineRule="auto"/>
        <w:ind w:left="426" w:hanging="426"/>
        <w:jc w:val="both"/>
        <w:rPr>
          <w:rFonts w:cs="Arial"/>
          <w:szCs w:val="22"/>
        </w:rPr>
      </w:pPr>
    </w:p>
    <w:p w:rsidR="00AB3DA7" w:rsidRPr="005F15DA" w:rsidRDefault="00AB3DA7" w:rsidP="008851FF">
      <w:pPr>
        <w:tabs>
          <w:tab w:val="left" w:pos="426"/>
        </w:tabs>
        <w:spacing w:line="240" w:lineRule="auto"/>
        <w:ind w:left="426" w:hanging="426"/>
        <w:jc w:val="both"/>
        <w:rPr>
          <w:rFonts w:cs="Arial"/>
          <w:szCs w:val="22"/>
        </w:rPr>
      </w:pPr>
      <w:r w:rsidRPr="005F15DA">
        <w:rPr>
          <w:rFonts w:cs="Arial"/>
          <w:szCs w:val="22"/>
        </w:rPr>
        <w:tab/>
        <w:t xml:space="preserve">Der Nutzniessungsgegenstand muss vom Nutzniesser </w:t>
      </w:r>
      <w:r w:rsidRPr="005F15DA">
        <w:rPr>
          <w:rFonts w:cs="Arial"/>
          <w:szCs w:val="22"/>
          <w:u w:val="single"/>
        </w:rPr>
        <w:t>erhalten</w:t>
      </w:r>
      <w:r w:rsidRPr="005F15DA">
        <w:rPr>
          <w:rFonts w:cs="Arial"/>
          <w:szCs w:val="22"/>
        </w:rPr>
        <w:t xml:space="preserve"> werden; Ausbesserungen und Erneuerungen, welche zum gewöhnlichen Unterhalt gehören, müssen vom Nutznie</w:t>
      </w:r>
      <w:r w:rsidRPr="005F15DA">
        <w:rPr>
          <w:rFonts w:cs="Arial"/>
          <w:szCs w:val="22"/>
        </w:rPr>
        <w:t>s</w:t>
      </w:r>
      <w:r w:rsidRPr="005F15DA">
        <w:rPr>
          <w:rFonts w:cs="Arial"/>
          <w:szCs w:val="22"/>
        </w:rPr>
        <w:t>ser und auf dessen Kosten vorgenommen werden.</w:t>
      </w:r>
      <w:r w:rsidR="0072116B" w:rsidRPr="005F15DA">
        <w:rPr>
          <w:rFonts w:cs="Arial"/>
          <w:szCs w:val="22"/>
        </w:rPr>
        <w:t xml:space="preserve"> Wenn wichtigere Arbeiten oder Vo</w:t>
      </w:r>
      <w:r w:rsidR="0072116B" w:rsidRPr="005F15DA">
        <w:rPr>
          <w:rFonts w:cs="Arial"/>
          <w:szCs w:val="22"/>
        </w:rPr>
        <w:t>r</w:t>
      </w:r>
      <w:r w:rsidR="0072116B" w:rsidRPr="005F15DA">
        <w:rPr>
          <w:rFonts w:cs="Arial"/>
          <w:szCs w:val="22"/>
        </w:rPr>
        <w:t>kehrungen zum Schutz des Gegenstandes notwendig werden, muss der Eigentümer b</w:t>
      </w:r>
      <w:r w:rsidR="0072116B" w:rsidRPr="005F15DA">
        <w:rPr>
          <w:rFonts w:cs="Arial"/>
          <w:szCs w:val="22"/>
        </w:rPr>
        <w:t>e</w:t>
      </w:r>
      <w:r w:rsidR="0072116B" w:rsidRPr="005F15DA">
        <w:rPr>
          <w:rFonts w:cs="Arial"/>
          <w:szCs w:val="22"/>
        </w:rPr>
        <w:t>nachrichtigt werden; der Nutzniesser muss die Vornahme der Arbeiten oder der Vorke</w:t>
      </w:r>
      <w:r w:rsidR="0072116B" w:rsidRPr="005F15DA">
        <w:rPr>
          <w:rFonts w:cs="Arial"/>
          <w:szCs w:val="22"/>
        </w:rPr>
        <w:t>h</w:t>
      </w:r>
      <w:r w:rsidR="0072116B" w:rsidRPr="005F15DA">
        <w:rPr>
          <w:rFonts w:cs="Arial"/>
          <w:szCs w:val="22"/>
        </w:rPr>
        <w:t>rungen gestatten; diese Kosten trägt der Eigentümer. Die Unterhalts- und Bewirtscha</w:t>
      </w:r>
      <w:r w:rsidR="0072116B" w:rsidRPr="005F15DA">
        <w:rPr>
          <w:rFonts w:cs="Arial"/>
          <w:szCs w:val="22"/>
        </w:rPr>
        <w:t>f</w:t>
      </w:r>
      <w:r w:rsidR="0072116B" w:rsidRPr="005F15DA">
        <w:rPr>
          <w:rFonts w:cs="Arial"/>
          <w:szCs w:val="22"/>
        </w:rPr>
        <w:t>tungskosten (Auslagen für den gewöhnlichen Unterhalt und die Bewirtschaftung, Schul</w:t>
      </w:r>
      <w:r w:rsidR="0072116B" w:rsidRPr="005F15DA">
        <w:rPr>
          <w:rFonts w:cs="Arial"/>
          <w:szCs w:val="22"/>
        </w:rPr>
        <w:t>d</w:t>
      </w:r>
      <w:r w:rsidR="0072116B" w:rsidRPr="005F15DA">
        <w:rPr>
          <w:rFonts w:cs="Arial"/>
          <w:szCs w:val="22"/>
        </w:rPr>
        <w:t>zinse, Steuern, Abgaben</w:t>
      </w:r>
      <w:r w:rsidR="000009FB" w:rsidRPr="005F15DA">
        <w:rPr>
          <w:rFonts w:cs="Arial"/>
          <w:szCs w:val="22"/>
        </w:rPr>
        <w:t>, Versicherungen</w:t>
      </w:r>
      <w:r w:rsidR="0072116B" w:rsidRPr="005F15DA">
        <w:rPr>
          <w:rFonts w:cs="Arial"/>
          <w:szCs w:val="22"/>
        </w:rPr>
        <w:t xml:space="preserve">) muss der Nutzniesser bezahlen. Alle anderen Lasten </w:t>
      </w:r>
      <w:r w:rsidR="000009FB" w:rsidRPr="005F15DA">
        <w:rPr>
          <w:rFonts w:cs="Arial"/>
          <w:szCs w:val="22"/>
        </w:rPr>
        <w:t>(z.B. Ausbesserungen und Erneuerungen welche nicht zum gewöhnlichen Unte</w:t>
      </w:r>
      <w:r w:rsidR="000009FB" w:rsidRPr="005F15DA">
        <w:rPr>
          <w:rFonts w:cs="Arial"/>
          <w:szCs w:val="22"/>
        </w:rPr>
        <w:t>r</w:t>
      </w:r>
      <w:r w:rsidR="000009FB" w:rsidRPr="005F15DA">
        <w:rPr>
          <w:rFonts w:cs="Arial"/>
          <w:szCs w:val="22"/>
        </w:rPr>
        <w:t>halt gehören) trägt der Eigentümer.</w:t>
      </w:r>
      <w:r w:rsidR="00615ADD" w:rsidRPr="005F15DA">
        <w:rPr>
          <w:rFonts w:cs="Arial"/>
          <w:szCs w:val="22"/>
        </w:rPr>
        <w:t xml:space="preserve"> Diese gesetzliche Kostenregelung kann vertraglich abgeändert werden.</w:t>
      </w:r>
    </w:p>
    <w:p w:rsidR="000009FB" w:rsidRPr="005F15DA" w:rsidRDefault="000009FB" w:rsidP="008851FF">
      <w:pPr>
        <w:tabs>
          <w:tab w:val="left" w:pos="426"/>
        </w:tabs>
        <w:spacing w:line="240" w:lineRule="auto"/>
        <w:ind w:left="426" w:hanging="426"/>
        <w:jc w:val="both"/>
        <w:rPr>
          <w:rFonts w:cs="Arial"/>
          <w:szCs w:val="22"/>
        </w:rPr>
      </w:pPr>
    </w:p>
    <w:p w:rsidR="000009FB" w:rsidRPr="005F15DA" w:rsidRDefault="000009FB" w:rsidP="008851FF">
      <w:pPr>
        <w:tabs>
          <w:tab w:val="left" w:pos="426"/>
        </w:tabs>
        <w:spacing w:line="240" w:lineRule="auto"/>
        <w:ind w:left="426" w:hanging="426"/>
        <w:jc w:val="both"/>
        <w:rPr>
          <w:rFonts w:cs="Arial"/>
          <w:szCs w:val="22"/>
        </w:rPr>
      </w:pPr>
      <w:r w:rsidRPr="005F15DA">
        <w:rPr>
          <w:rFonts w:cs="Arial"/>
          <w:szCs w:val="22"/>
        </w:rPr>
        <w:tab/>
        <w:t>Bei Grundstücken darf der Nutzniesser an deren wirtschaftlicher Bestimmung keine Ve</w:t>
      </w:r>
      <w:r w:rsidRPr="005F15DA">
        <w:rPr>
          <w:rFonts w:cs="Arial"/>
          <w:szCs w:val="22"/>
        </w:rPr>
        <w:t>r</w:t>
      </w:r>
      <w:r w:rsidRPr="005F15DA">
        <w:rPr>
          <w:rFonts w:cs="Arial"/>
          <w:szCs w:val="22"/>
        </w:rPr>
        <w:t>änderungen vornehmen, welche für den Eigentümer von erheblichem Nachteil sind. Das Grundstück und dessen Bestandteile dürfen weder umgestaltet noch wesentlich verä</w:t>
      </w:r>
      <w:r w:rsidRPr="005F15DA">
        <w:rPr>
          <w:rFonts w:cs="Arial"/>
          <w:szCs w:val="22"/>
        </w:rPr>
        <w:t>n</w:t>
      </w:r>
      <w:r w:rsidRPr="005F15DA">
        <w:rPr>
          <w:rFonts w:cs="Arial"/>
          <w:szCs w:val="22"/>
        </w:rPr>
        <w:t>dert werden. Zudem darf das Grundstück nicht übernutzt werden. Bei Wald und Bergwe</w:t>
      </w:r>
      <w:r w:rsidRPr="005F15DA">
        <w:rPr>
          <w:rFonts w:cs="Arial"/>
          <w:szCs w:val="22"/>
        </w:rPr>
        <w:t>r</w:t>
      </w:r>
      <w:r w:rsidRPr="005F15DA">
        <w:rPr>
          <w:rFonts w:cs="Arial"/>
          <w:szCs w:val="22"/>
        </w:rPr>
        <w:t>ken muss die Nutzniessung innerhalb eines ordentlichen Bewirtschaftungsplanes erfo</w:t>
      </w:r>
      <w:r w:rsidRPr="005F15DA">
        <w:rPr>
          <w:rFonts w:cs="Arial"/>
          <w:szCs w:val="22"/>
        </w:rPr>
        <w:t>l</w:t>
      </w:r>
      <w:r w:rsidRPr="005F15DA">
        <w:rPr>
          <w:rFonts w:cs="Arial"/>
          <w:szCs w:val="22"/>
        </w:rPr>
        <w:t>gen, damit keine Übernutzung entsteht.</w:t>
      </w:r>
    </w:p>
    <w:p w:rsidR="00383E61" w:rsidRPr="005F15DA" w:rsidRDefault="00383E61" w:rsidP="008851FF">
      <w:pPr>
        <w:tabs>
          <w:tab w:val="left" w:pos="426"/>
        </w:tabs>
        <w:spacing w:line="240" w:lineRule="auto"/>
        <w:ind w:left="426" w:hanging="426"/>
        <w:jc w:val="both"/>
        <w:rPr>
          <w:rFonts w:cs="Arial"/>
          <w:szCs w:val="22"/>
        </w:rPr>
      </w:pPr>
    </w:p>
    <w:p w:rsidR="00383E61" w:rsidRPr="005F15DA" w:rsidRDefault="00383E61" w:rsidP="008851FF">
      <w:pPr>
        <w:tabs>
          <w:tab w:val="left" w:pos="426"/>
        </w:tabs>
        <w:spacing w:line="240" w:lineRule="auto"/>
        <w:ind w:left="426" w:hanging="426"/>
        <w:jc w:val="both"/>
        <w:rPr>
          <w:rFonts w:cs="Arial"/>
          <w:szCs w:val="22"/>
        </w:rPr>
      </w:pPr>
      <w:r w:rsidRPr="005F15DA">
        <w:rPr>
          <w:rFonts w:cs="Arial"/>
          <w:szCs w:val="22"/>
        </w:rPr>
        <w:tab/>
        <w:t xml:space="preserve">Über </w:t>
      </w:r>
      <w:r w:rsidRPr="005F15DA">
        <w:rPr>
          <w:rFonts w:cs="Arial"/>
          <w:szCs w:val="22"/>
          <w:u w:val="single"/>
        </w:rPr>
        <w:t>verbrauchbare und geschätzte Sachen</w:t>
      </w:r>
      <w:r w:rsidRPr="005F15DA">
        <w:rPr>
          <w:rFonts w:cs="Arial"/>
          <w:szCs w:val="22"/>
        </w:rPr>
        <w:t xml:space="preserve"> kann der Nutzniesser wie ein Eigentümer verfügen, muss aber bei Beendigung der Nutzniessung Ersatz zum Wert bei Beginn der Nutzniessung leisten.</w:t>
      </w:r>
    </w:p>
    <w:p w:rsidR="00383E61" w:rsidRPr="005F15DA" w:rsidRDefault="00383E61" w:rsidP="008851FF">
      <w:pPr>
        <w:tabs>
          <w:tab w:val="left" w:pos="426"/>
        </w:tabs>
        <w:spacing w:line="240" w:lineRule="auto"/>
        <w:ind w:left="426" w:hanging="426"/>
        <w:jc w:val="both"/>
        <w:rPr>
          <w:rFonts w:cs="Arial"/>
          <w:szCs w:val="22"/>
        </w:rPr>
      </w:pPr>
    </w:p>
    <w:p w:rsidR="00383E61" w:rsidRPr="005F15DA" w:rsidRDefault="00383E61" w:rsidP="008851FF">
      <w:pPr>
        <w:tabs>
          <w:tab w:val="left" w:pos="426"/>
        </w:tabs>
        <w:spacing w:line="240" w:lineRule="auto"/>
        <w:ind w:left="426" w:hanging="426"/>
        <w:jc w:val="both"/>
        <w:rPr>
          <w:rFonts w:cs="Arial"/>
          <w:szCs w:val="22"/>
        </w:rPr>
      </w:pPr>
      <w:r w:rsidRPr="005F15DA">
        <w:rPr>
          <w:rFonts w:cs="Arial"/>
          <w:szCs w:val="22"/>
        </w:rPr>
        <w:tab/>
        <w:t xml:space="preserve">Bei </w:t>
      </w:r>
      <w:r w:rsidRPr="005F15DA">
        <w:rPr>
          <w:rFonts w:cs="Arial"/>
          <w:szCs w:val="22"/>
          <w:u w:val="single"/>
        </w:rPr>
        <w:t>Forderungen</w:t>
      </w:r>
      <w:r w:rsidRPr="005F15DA">
        <w:rPr>
          <w:rFonts w:cs="Arial"/>
          <w:szCs w:val="22"/>
        </w:rPr>
        <w:t xml:space="preserve"> (z.B. Sparguthaben) hat der Nutzniesser Anspruch auf den Ertrag (die Zinse des Sparguthabens). Eigentümer und Nutzniesser müssen gemeinsam die Gläub</w:t>
      </w:r>
      <w:r w:rsidRPr="005F15DA">
        <w:rPr>
          <w:rFonts w:cs="Arial"/>
          <w:szCs w:val="22"/>
        </w:rPr>
        <w:t>i</w:t>
      </w:r>
      <w:r w:rsidRPr="005F15DA">
        <w:rPr>
          <w:rFonts w:cs="Arial"/>
          <w:szCs w:val="22"/>
        </w:rPr>
        <w:t>gerrechte ausüben.</w:t>
      </w:r>
    </w:p>
    <w:p w:rsidR="005377CD" w:rsidRPr="005F15DA" w:rsidRDefault="005377CD" w:rsidP="008851FF">
      <w:pPr>
        <w:tabs>
          <w:tab w:val="left" w:pos="426"/>
        </w:tabs>
        <w:spacing w:line="240" w:lineRule="auto"/>
        <w:ind w:left="426" w:hanging="426"/>
        <w:jc w:val="both"/>
        <w:rPr>
          <w:rFonts w:cs="Arial"/>
          <w:szCs w:val="22"/>
        </w:rPr>
      </w:pPr>
    </w:p>
    <w:p w:rsidR="00DE2D3D" w:rsidRPr="005F15DA" w:rsidRDefault="00DE2D3D" w:rsidP="008851FF">
      <w:pPr>
        <w:tabs>
          <w:tab w:val="left" w:pos="426"/>
        </w:tabs>
        <w:spacing w:line="240" w:lineRule="auto"/>
        <w:jc w:val="both"/>
        <w:rPr>
          <w:rFonts w:cs="Arial"/>
          <w:szCs w:val="22"/>
        </w:rPr>
      </w:pPr>
    </w:p>
    <w:p w:rsidR="004E576A" w:rsidRPr="005F15DA" w:rsidRDefault="004E576A" w:rsidP="008851FF">
      <w:pPr>
        <w:tabs>
          <w:tab w:val="left" w:pos="426"/>
        </w:tabs>
        <w:spacing w:line="240" w:lineRule="auto"/>
        <w:jc w:val="both"/>
        <w:rPr>
          <w:rFonts w:cs="Arial"/>
          <w:szCs w:val="22"/>
        </w:rPr>
      </w:pPr>
    </w:p>
    <w:p w:rsidR="004E576A" w:rsidRPr="005F15DA" w:rsidRDefault="00B828BF" w:rsidP="005759BE">
      <w:pPr>
        <w:pStyle w:val="berschrift3"/>
        <w:rPr>
          <w:lang w:val="de-CH"/>
        </w:rPr>
      </w:pPr>
      <w:bookmarkStart w:id="149" w:name="_Toc432175669"/>
      <w:r w:rsidRPr="005F15DA">
        <w:rPr>
          <w:lang w:val="de-CH"/>
        </w:rPr>
        <w:t>C.</w:t>
      </w:r>
      <w:r w:rsidRPr="005F15DA">
        <w:rPr>
          <w:lang w:val="de-CH"/>
        </w:rPr>
        <w:tab/>
      </w:r>
      <w:r w:rsidR="004E576A" w:rsidRPr="005F15DA">
        <w:rPr>
          <w:lang w:val="de-CH"/>
        </w:rPr>
        <w:t>Wohnrecht (Art. 776 – 778 ZGB)</w:t>
      </w:r>
      <w:bookmarkEnd w:id="149"/>
    </w:p>
    <w:p w:rsidR="004E576A" w:rsidRPr="005F15DA" w:rsidRDefault="004E576A" w:rsidP="008851FF">
      <w:pPr>
        <w:spacing w:line="240" w:lineRule="auto"/>
        <w:jc w:val="both"/>
        <w:rPr>
          <w:rFonts w:cs="Arial"/>
          <w:szCs w:val="22"/>
        </w:rPr>
      </w:pPr>
    </w:p>
    <w:p w:rsidR="003C7967" w:rsidRPr="005F15DA" w:rsidRDefault="00B37298" w:rsidP="008851FF">
      <w:pPr>
        <w:spacing w:line="240" w:lineRule="auto"/>
        <w:jc w:val="both"/>
        <w:rPr>
          <w:rFonts w:cs="Arial"/>
          <w:szCs w:val="22"/>
        </w:rPr>
      </w:pPr>
      <w:r w:rsidRPr="005F15DA">
        <w:rPr>
          <w:rFonts w:cs="Arial"/>
          <w:szCs w:val="22"/>
        </w:rPr>
        <w:t>Durch das Wohnrecht erhält der Berechtigte das Recht, in einem Gebäude oder einem G</w:t>
      </w:r>
      <w:r w:rsidRPr="005F15DA">
        <w:rPr>
          <w:rFonts w:cs="Arial"/>
          <w:szCs w:val="22"/>
        </w:rPr>
        <w:t>e</w:t>
      </w:r>
      <w:r w:rsidRPr="005F15DA">
        <w:rPr>
          <w:rFonts w:cs="Arial"/>
          <w:szCs w:val="22"/>
        </w:rPr>
        <w:t>bäudeteil zu wohnen. Ist das Wohnrecht auf einen Gebäudeteil beschränkt, umfasst das Recht auch die Mitbenützung der gemeinschaftlichen Einrichtungen und Anlagen (Waschk</w:t>
      </w:r>
      <w:r w:rsidRPr="005F15DA">
        <w:rPr>
          <w:rFonts w:cs="Arial"/>
          <w:szCs w:val="22"/>
        </w:rPr>
        <w:t>ü</w:t>
      </w:r>
      <w:r w:rsidRPr="005F15DA">
        <w:rPr>
          <w:rFonts w:cs="Arial"/>
          <w:szCs w:val="22"/>
        </w:rPr>
        <w:t>che, Keller, Estrich, usw.).</w:t>
      </w:r>
      <w:r w:rsidR="003C7967" w:rsidRPr="005F15DA">
        <w:rPr>
          <w:rFonts w:cs="Arial"/>
          <w:szCs w:val="22"/>
        </w:rPr>
        <w:t xml:space="preserve"> </w:t>
      </w:r>
    </w:p>
    <w:p w:rsidR="003C7967" w:rsidRPr="005F15DA" w:rsidRDefault="003C7967" w:rsidP="008851FF">
      <w:pPr>
        <w:spacing w:line="240" w:lineRule="auto"/>
        <w:jc w:val="both"/>
        <w:rPr>
          <w:rFonts w:cs="Arial"/>
          <w:szCs w:val="22"/>
        </w:rPr>
      </w:pPr>
    </w:p>
    <w:p w:rsidR="00DE2D3D" w:rsidRPr="005F15DA" w:rsidRDefault="003C7967" w:rsidP="008851FF">
      <w:pPr>
        <w:spacing w:line="240" w:lineRule="auto"/>
        <w:jc w:val="both"/>
        <w:rPr>
          <w:rFonts w:cs="Arial"/>
          <w:szCs w:val="22"/>
        </w:rPr>
      </w:pPr>
      <w:r w:rsidRPr="005F15DA">
        <w:rPr>
          <w:rFonts w:cs="Arial"/>
          <w:szCs w:val="22"/>
        </w:rPr>
        <w:t>Das Wohnrecht ist eine Personaldienstbarkeit (es lautet zugunsten einer Person). Das Woh</w:t>
      </w:r>
      <w:r w:rsidRPr="005F15DA">
        <w:rPr>
          <w:rFonts w:cs="Arial"/>
          <w:szCs w:val="22"/>
        </w:rPr>
        <w:t>n</w:t>
      </w:r>
      <w:r w:rsidRPr="005F15DA">
        <w:rPr>
          <w:rFonts w:cs="Arial"/>
          <w:szCs w:val="22"/>
        </w:rPr>
        <w:t>recht kann nur zugunsten von natürlichen Personen begründet werden, weil dessen Au</w:t>
      </w:r>
      <w:r w:rsidRPr="005F15DA">
        <w:rPr>
          <w:rFonts w:cs="Arial"/>
          <w:szCs w:val="22"/>
        </w:rPr>
        <w:t>s</w:t>
      </w:r>
      <w:r w:rsidRPr="005F15DA">
        <w:rPr>
          <w:rFonts w:cs="Arial"/>
          <w:szCs w:val="22"/>
        </w:rPr>
        <w:t>übung nicht übertragbar ist.</w:t>
      </w:r>
    </w:p>
    <w:p w:rsidR="00B37298" w:rsidRPr="005F15DA" w:rsidRDefault="00B37298" w:rsidP="008851FF">
      <w:pPr>
        <w:spacing w:line="240" w:lineRule="auto"/>
        <w:jc w:val="both"/>
        <w:rPr>
          <w:rFonts w:cs="Arial"/>
          <w:szCs w:val="22"/>
        </w:rPr>
      </w:pPr>
    </w:p>
    <w:p w:rsidR="00B37298" w:rsidRPr="005F15DA" w:rsidRDefault="00B37298" w:rsidP="008851FF">
      <w:pPr>
        <w:spacing w:line="240" w:lineRule="auto"/>
        <w:jc w:val="both"/>
        <w:rPr>
          <w:rFonts w:cs="Arial"/>
          <w:szCs w:val="22"/>
        </w:rPr>
      </w:pPr>
      <w:r w:rsidRPr="005F15DA">
        <w:rPr>
          <w:rFonts w:cs="Arial"/>
          <w:szCs w:val="22"/>
        </w:rPr>
        <w:t>Das Wohnrecht ist nicht übertragbar und nicht vererblich.</w:t>
      </w:r>
      <w:r w:rsidR="00865210" w:rsidRPr="005F15DA">
        <w:rPr>
          <w:rFonts w:cs="Arial"/>
          <w:szCs w:val="22"/>
        </w:rPr>
        <w:t xml:space="preserve"> Stirbt der Wohnberechtigte, geht das Wohnrecht unter. Die Ausübung des Wohnrechtes kann nicht auf eine andere Person zur Ausübung übertragen werden.</w:t>
      </w:r>
    </w:p>
    <w:p w:rsidR="00B37298" w:rsidRPr="005F15DA" w:rsidRDefault="00B37298" w:rsidP="008851FF">
      <w:pPr>
        <w:spacing w:line="240" w:lineRule="auto"/>
        <w:jc w:val="both"/>
        <w:rPr>
          <w:rFonts w:cs="Arial"/>
          <w:szCs w:val="22"/>
        </w:rPr>
      </w:pPr>
    </w:p>
    <w:p w:rsidR="00B37298" w:rsidRPr="005F15DA" w:rsidRDefault="00B37298" w:rsidP="008851FF">
      <w:pPr>
        <w:spacing w:line="240" w:lineRule="auto"/>
        <w:jc w:val="both"/>
        <w:rPr>
          <w:rFonts w:cs="Arial"/>
          <w:szCs w:val="22"/>
        </w:rPr>
      </w:pPr>
      <w:r w:rsidRPr="005F15DA">
        <w:rPr>
          <w:rFonts w:cs="Arial"/>
          <w:szCs w:val="22"/>
        </w:rPr>
        <w:lastRenderedPageBreak/>
        <w:t>Wenn die Ausübung des Rechts nicht ausdrücklich auf den Wohnberechtigten beschränkt ist, darf der Berechtigte seine Familienangehörigen und Hausgenossen (z.B. Hausangestellte) in die Wohnung aufnehmen.</w:t>
      </w:r>
    </w:p>
    <w:p w:rsidR="00B37298" w:rsidRPr="005F15DA" w:rsidRDefault="00B37298" w:rsidP="008851FF">
      <w:pPr>
        <w:spacing w:line="240" w:lineRule="auto"/>
        <w:jc w:val="both"/>
        <w:rPr>
          <w:rFonts w:cs="Arial"/>
          <w:szCs w:val="22"/>
        </w:rPr>
      </w:pPr>
    </w:p>
    <w:p w:rsidR="00B37298" w:rsidRPr="005F15DA" w:rsidRDefault="00B37298" w:rsidP="008851FF">
      <w:pPr>
        <w:spacing w:line="240" w:lineRule="auto"/>
        <w:jc w:val="both"/>
        <w:rPr>
          <w:rFonts w:cs="Arial"/>
          <w:szCs w:val="22"/>
        </w:rPr>
      </w:pPr>
      <w:r w:rsidRPr="005F15DA">
        <w:rPr>
          <w:rFonts w:cs="Arial"/>
          <w:szCs w:val="22"/>
        </w:rPr>
        <w:t>Hat der Berechtigte ein ausschliessliches Wohnrecht (z.B. eigene Wohnung) trägt er die La</w:t>
      </w:r>
      <w:r w:rsidRPr="005F15DA">
        <w:rPr>
          <w:rFonts w:cs="Arial"/>
          <w:szCs w:val="22"/>
        </w:rPr>
        <w:t>s</w:t>
      </w:r>
      <w:r w:rsidRPr="005F15DA">
        <w:rPr>
          <w:rFonts w:cs="Arial"/>
          <w:szCs w:val="22"/>
        </w:rPr>
        <w:t>ten des gewöhnlichen Unterhaltes. Hat der Berechtigte nur ein Mitbenützungsrecht, trägt der Eigentümer auch die Unterhaltskosten.</w:t>
      </w:r>
    </w:p>
    <w:p w:rsidR="00DE2D3D" w:rsidRPr="005F15DA" w:rsidRDefault="00DE2D3D" w:rsidP="008851FF">
      <w:pPr>
        <w:spacing w:line="240" w:lineRule="auto"/>
        <w:jc w:val="both"/>
        <w:rPr>
          <w:rFonts w:cs="Arial"/>
          <w:szCs w:val="22"/>
        </w:rPr>
      </w:pPr>
    </w:p>
    <w:p w:rsidR="004E576A" w:rsidRPr="005F15DA" w:rsidRDefault="004E576A" w:rsidP="008851FF">
      <w:pPr>
        <w:tabs>
          <w:tab w:val="left" w:pos="426"/>
        </w:tabs>
        <w:spacing w:line="240" w:lineRule="auto"/>
        <w:jc w:val="both"/>
        <w:rPr>
          <w:rFonts w:cs="Arial"/>
          <w:szCs w:val="22"/>
        </w:rPr>
      </w:pPr>
    </w:p>
    <w:p w:rsidR="004E576A" w:rsidRPr="005F15DA" w:rsidRDefault="004E576A" w:rsidP="008851FF">
      <w:pPr>
        <w:tabs>
          <w:tab w:val="left" w:pos="426"/>
        </w:tabs>
        <w:spacing w:line="240" w:lineRule="auto"/>
        <w:jc w:val="both"/>
        <w:rPr>
          <w:rFonts w:cs="Arial"/>
          <w:szCs w:val="22"/>
        </w:rPr>
      </w:pPr>
    </w:p>
    <w:p w:rsidR="004E576A" w:rsidRPr="005F15DA" w:rsidRDefault="00B828BF" w:rsidP="005759BE">
      <w:pPr>
        <w:pStyle w:val="berschrift3"/>
        <w:rPr>
          <w:lang w:val="de-CH"/>
        </w:rPr>
      </w:pPr>
      <w:bookmarkStart w:id="150" w:name="_Toc432175670"/>
      <w:r w:rsidRPr="005F15DA">
        <w:rPr>
          <w:lang w:val="de-CH"/>
        </w:rPr>
        <w:t>D.</w:t>
      </w:r>
      <w:r w:rsidRPr="005F15DA">
        <w:rPr>
          <w:lang w:val="de-CH"/>
        </w:rPr>
        <w:tab/>
      </w:r>
      <w:r w:rsidR="004E576A" w:rsidRPr="005F15DA">
        <w:rPr>
          <w:lang w:val="de-CH"/>
        </w:rPr>
        <w:t>Baurecht (Art. 779 – 779l ZGB)</w:t>
      </w:r>
      <w:bookmarkEnd w:id="150"/>
    </w:p>
    <w:p w:rsidR="004E576A" w:rsidRPr="005F15DA" w:rsidRDefault="004E576A" w:rsidP="008851FF">
      <w:pPr>
        <w:spacing w:line="240" w:lineRule="auto"/>
        <w:jc w:val="both"/>
        <w:rPr>
          <w:rFonts w:cs="Arial"/>
          <w:szCs w:val="22"/>
        </w:rPr>
      </w:pPr>
    </w:p>
    <w:p w:rsidR="00B37298" w:rsidRPr="005F15DA" w:rsidRDefault="00B37298" w:rsidP="008851FF">
      <w:pPr>
        <w:spacing w:line="240" w:lineRule="auto"/>
        <w:jc w:val="both"/>
        <w:rPr>
          <w:rFonts w:cs="Arial"/>
          <w:szCs w:val="22"/>
        </w:rPr>
      </w:pPr>
      <w:r w:rsidRPr="005F15DA">
        <w:rPr>
          <w:rFonts w:cs="Arial"/>
          <w:szCs w:val="22"/>
        </w:rPr>
        <w:t xml:space="preserve">Mit dem Baurecht erhält jemand das Recht, </w:t>
      </w:r>
      <w:r w:rsidRPr="005F15DA">
        <w:rPr>
          <w:rFonts w:cs="Arial"/>
          <w:szCs w:val="22"/>
          <w:u w:val="single"/>
        </w:rPr>
        <w:t>auf oder unter dem Boden eines anderen</w:t>
      </w:r>
      <w:r w:rsidR="005B0708" w:rsidRPr="005F15DA">
        <w:rPr>
          <w:rFonts w:cs="Arial"/>
          <w:szCs w:val="22"/>
        </w:rPr>
        <w:t xml:space="preserve"> Grund-</w:t>
      </w:r>
      <w:r w:rsidRPr="005F15DA">
        <w:rPr>
          <w:rFonts w:cs="Arial"/>
          <w:szCs w:val="22"/>
        </w:rPr>
        <w:t xml:space="preserve">Eigentümers eine Baute zu erstellen oder beizubehalten. </w:t>
      </w:r>
      <w:r w:rsidR="00263D49" w:rsidRPr="005F15DA">
        <w:rPr>
          <w:rFonts w:cs="Arial"/>
          <w:szCs w:val="22"/>
        </w:rPr>
        <w:t>Mit dem Baurecht wird das Akzess</w:t>
      </w:r>
      <w:r w:rsidR="00263D49" w:rsidRPr="005F15DA">
        <w:rPr>
          <w:rFonts w:cs="Arial"/>
          <w:szCs w:val="22"/>
        </w:rPr>
        <w:t>i</w:t>
      </w:r>
      <w:r w:rsidR="00263D49" w:rsidRPr="005F15DA">
        <w:rPr>
          <w:rFonts w:cs="Arial"/>
          <w:szCs w:val="22"/>
        </w:rPr>
        <w:t>onsprinzip durchbrochen; die Baute ist nicht Bestandteil des Bodens und hat demnach einen anderen Eigentümer als den Bodeneigentümer.</w:t>
      </w:r>
    </w:p>
    <w:p w:rsidR="00680D48" w:rsidRPr="005F15DA" w:rsidRDefault="00680D48" w:rsidP="008851FF">
      <w:pPr>
        <w:spacing w:line="240" w:lineRule="auto"/>
        <w:jc w:val="both"/>
        <w:rPr>
          <w:rFonts w:cs="Arial"/>
          <w:szCs w:val="22"/>
        </w:rPr>
      </w:pPr>
    </w:p>
    <w:p w:rsidR="00680D48" w:rsidRPr="005F15DA" w:rsidRDefault="00680D48" w:rsidP="008851FF">
      <w:pPr>
        <w:spacing w:line="240" w:lineRule="auto"/>
        <w:jc w:val="both"/>
        <w:rPr>
          <w:rFonts w:cs="Arial"/>
          <w:szCs w:val="22"/>
        </w:rPr>
      </w:pPr>
      <w:r w:rsidRPr="005F15DA">
        <w:rPr>
          <w:rFonts w:cs="Arial"/>
          <w:szCs w:val="22"/>
        </w:rPr>
        <w:t>Berechtigter des Baurechts kann ein anderes Grundstück oder eine Person sein.</w:t>
      </w:r>
    </w:p>
    <w:p w:rsidR="00B37298" w:rsidRPr="005F15DA" w:rsidRDefault="00B37298" w:rsidP="008851FF">
      <w:pPr>
        <w:spacing w:line="240" w:lineRule="auto"/>
        <w:jc w:val="both"/>
        <w:rPr>
          <w:rFonts w:cs="Arial"/>
          <w:szCs w:val="22"/>
        </w:rPr>
      </w:pPr>
    </w:p>
    <w:p w:rsidR="00DE2D3D" w:rsidRPr="005F15DA" w:rsidRDefault="00B37298" w:rsidP="008851FF">
      <w:pPr>
        <w:spacing w:line="240" w:lineRule="auto"/>
        <w:jc w:val="both"/>
        <w:rPr>
          <w:rFonts w:cs="Arial"/>
          <w:szCs w:val="22"/>
        </w:rPr>
      </w:pPr>
      <w:r w:rsidRPr="005F15DA">
        <w:rPr>
          <w:rFonts w:cs="Arial"/>
          <w:szCs w:val="22"/>
        </w:rPr>
        <w:t xml:space="preserve">Das Baurecht kann als </w:t>
      </w:r>
      <w:r w:rsidRPr="005F15DA">
        <w:rPr>
          <w:rFonts w:cs="Arial"/>
          <w:szCs w:val="22"/>
          <w:u w:val="single"/>
        </w:rPr>
        <w:t>normale Dienstbarkeit</w:t>
      </w:r>
      <w:r w:rsidRPr="005F15DA">
        <w:rPr>
          <w:rFonts w:cs="Arial"/>
          <w:szCs w:val="22"/>
        </w:rPr>
        <w:t xml:space="preserve"> oder als </w:t>
      </w:r>
      <w:r w:rsidRPr="005F15DA">
        <w:rPr>
          <w:rFonts w:cs="Arial"/>
          <w:szCs w:val="22"/>
          <w:u w:val="single"/>
        </w:rPr>
        <w:t>selbständiges und dauerndes Recht (SDR Baurecht)</w:t>
      </w:r>
      <w:r w:rsidRPr="005F15DA">
        <w:rPr>
          <w:rFonts w:cs="Arial"/>
          <w:szCs w:val="22"/>
        </w:rPr>
        <w:t xml:space="preserve"> ausgestaltet werden; im letzteren Fall kann das Baurecht als Grundstück in das Grundbuch aufgenommen werden.</w:t>
      </w:r>
      <w:r w:rsidR="00DF7827" w:rsidRPr="005F15DA">
        <w:rPr>
          <w:rFonts w:cs="Arial"/>
          <w:szCs w:val="22"/>
        </w:rPr>
        <w:t xml:space="preserve"> Ist das Baurecht als selbständiges und dauerndes Recht ausgestaltet worden, kann es auf höchstens 100 Jahre begründet werden. Eine Ve</w:t>
      </w:r>
      <w:r w:rsidR="00DF7827" w:rsidRPr="005F15DA">
        <w:rPr>
          <w:rFonts w:cs="Arial"/>
          <w:szCs w:val="22"/>
        </w:rPr>
        <w:t>r</w:t>
      </w:r>
      <w:r w:rsidR="00DF7827" w:rsidRPr="005F15DA">
        <w:rPr>
          <w:rFonts w:cs="Arial"/>
          <w:szCs w:val="22"/>
        </w:rPr>
        <w:t>längerung um weitere höchstens 100 Jahre ist jederzeit möglich, darf aber nicht zum Voraus vereinbart werden (die Verpflichtung wäre nicht verbindlich.</w:t>
      </w:r>
    </w:p>
    <w:p w:rsidR="00263D49" w:rsidRPr="005F15DA" w:rsidRDefault="00263D49" w:rsidP="008851FF">
      <w:pPr>
        <w:spacing w:line="240" w:lineRule="auto"/>
        <w:jc w:val="both"/>
        <w:rPr>
          <w:rFonts w:cs="Arial"/>
          <w:szCs w:val="22"/>
        </w:rPr>
      </w:pPr>
    </w:p>
    <w:p w:rsidR="00263D49" w:rsidRPr="005F15DA" w:rsidRDefault="00263D49" w:rsidP="008851FF">
      <w:pPr>
        <w:spacing w:line="240" w:lineRule="auto"/>
        <w:jc w:val="both"/>
        <w:rPr>
          <w:rFonts w:cs="Arial"/>
          <w:szCs w:val="22"/>
        </w:rPr>
      </w:pPr>
      <w:r w:rsidRPr="005F15DA">
        <w:rPr>
          <w:rFonts w:cs="Arial"/>
          <w:szCs w:val="22"/>
        </w:rPr>
        <w:t xml:space="preserve">Das Baurecht ist </w:t>
      </w:r>
      <w:r w:rsidRPr="005F15DA">
        <w:rPr>
          <w:rFonts w:cs="Arial"/>
          <w:szCs w:val="22"/>
          <w:u w:val="single"/>
        </w:rPr>
        <w:t>übertragbar und vererblich</w:t>
      </w:r>
      <w:r w:rsidRPr="005F15DA">
        <w:rPr>
          <w:rFonts w:cs="Arial"/>
          <w:szCs w:val="22"/>
        </w:rPr>
        <w:t>. Weil es sich hier nicht um eine zwingende Norm handelt, kann dies anders ausgestaltet werden.</w:t>
      </w:r>
    </w:p>
    <w:p w:rsidR="00263D49" w:rsidRPr="005F15DA" w:rsidRDefault="00263D49" w:rsidP="008851FF">
      <w:pPr>
        <w:spacing w:line="240" w:lineRule="auto"/>
        <w:jc w:val="both"/>
        <w:rPr>
          <w:rFonts w:cs="Arial"/>
          <w:szCs w:val="22"/>
        </w:rPr>
      </w:pPr>
    </w:p>
    <w:p w:rsidR="00263D49" w:rsidRPr="005F15DA" w:rsidRDefault="00263D49" w:rsidP="008851FF">
      <w:pPr>
        <w:spacing w:line="240" w:lineRule="auto"/>
        <w:jc w:val="both"/>
        <w:rPr>
          <w:rFonts w:cs="Arial"/>
          <w:szCs w:val="22"/>
        </w:rPr>
      </w:pPr>
      <w:r w:rsidRPr="005F15DA">
        <w:rPr>
          <w:rFonts w:cs="Arial"/>
          <w:szCs w:val="22"/>
        </w:rPr>
        <w:t>Die Be</w:t>
      </w:r>
      <w:r w:rsidR="002135DE" w:rsidRPr="005F15DA">
        <w:rPr>
          <w:rFonts w:cs="Arial"/>
          <w:szCs w:val="22"/>
        </w:rPr>
        <w:t xml:space="preserve">gründung eines Baurechts bedarf immer </w:t>
      </w:r>
      <w:r w:rsidRPr="005F15DA">
        <w:rPr>
          <w:rFonts w:cs="Arial"/>
          <w:szCs w:val="22"/>
        </w:rPr>
        <w:t>der öffentlichen Beurkundung</w:t>
      </w:r>
      <w:r w:rsidR="002135DE" w:rsidRPr="005F15DA">
        <w:rPr>
          <w:rFonts w:cs="Arial"/>
          <w:szCs w:val="22"/>
        </w:rPr>
        <w:t xml:space="preserve"> (einfach schrif</w:t>
      </w:r>
      <w:r w:rsidR="002135DE" w:rsidRPr="005F15DA">
        <w:rPr>
          <w:rFonts w:cs="Arial"/>
          <w:szCs w:val="22"/>
        </w:rPr>
        <w:t>t</w:t>
      </w:r>
      <w:r w:rsidR="002135DE" w:rsidRPr="005F15DA">
        <w:rPr>
          <w:rFonts w:cs="Arial"/>
          <w:szCs w:val="22"/>
        </w:rPr>
        <w:t>liche Erbteilung ist hier nicht möglich)</w:t>
      </w:r>
      <w:r w:rsidRPr="005F15DA">
        <w:rPr>
          <w:rFonts w:cs="Arial"/>
          <w:szCs w:val="22"/>
        </w:rPr>
        <w:t>.</w:t>
      </w:r>
      <w:r w:rsidR="00DF7827" w:rsidRPr="005F15DA">
        <w:rPr>
          <w:rFonts w:cs="Arial"/>
          <w:szCs w:val="22"/>
        </w:rPr>
        <w:t xml:space="preserve"> In die Begründungsurkunde sind die Bestimmungen über Inhalt und Umfang (Lage, Gestalt, Ausdehnung, Zweck der Bauten, Benützung nicht überbauter Flächen welche vom Baurecht erfasst werden) aufzunehmen. Diese Bestimmu</w:t>
      </w:r>
      <w:r w:rsidR="00DF7827" w:rsidRPr="005F15DA">
        <w:rPr>
          <w:rFonts w:cs="Arial"/>
          <w:szCs w:val="22"/>
        </w:rPr>
        <w:t>n</w:t>
      </w:r>
      <w:r w:rsidR="00DF7827" w:rsidRPr="005F15DA">
        <w:rPr>
          <w:rFonts w:cs="Arial"/>
          <w:szCs w:val="22"/>
        </w:rPr>
        <w:t xml:space="preserve">gen sind für alle Rechtsnachfolger des Grundeigentümers und des Baurechtseigentümers verbindlich. Baurechtszins und weitere vertragliche Bestimmungen können im Grundbuch </w:t>
      </w:r>
      <w:r w:rsidR="00DF7827" w:rsidRPr="005F15DA">
        <w:rPr>
          <w:rFonts w:cs="Arial"/>
          <w:szCs w:val="22"/>
          <w:u w:val="single"/>
        </w:rPr>
        <w:t>vorgemerkt</w:t>
      </w:r>
      <w:r w:rsidR="00DF7827" w:rsidRPr="005F15DA">
        <w:rPr>
          <w:rFonts w:cs="Arial"/>
          <w:szCs w:val="22"/>
        </w:rPr>
        <w:t xml:space="preserve"> werden, wenn die Parteien dies in der öffentlichen Urkunde vereinbaren.</w:t>
      </w:r>
    </w:p>
    <w:p w:rsidR="006A575C" w:rsidRPr="005F15DA" w:rsidRDefault="006A575C" w:rsidP="008851FF">
      <w:pPr>
        <w:spacing w:line="240" w:lineRule="auto"/>
        <w:jc w:val="both"/>
        <w:rPr>
          <w:rFonts w:cs="Arial"/>
          <w:szCs w:val="22"/>
        </w:rPr>
      </w:pPr>
    </w:p>
    <w:p w:rsidR="006A575C" w:rsidRPr="005F15DA" w:rsidRDefault="006A575C" w:rsidP="008851FF">
      <w:pPr>
        <w:spacing w:line="240" w:lineRule="auto"/>
        <w:jc w:val="both"/>
        <w:rPr>
          <w:rFonts w:cs="Arial"/>
          <w:szCs w:val="22"/>
        </w:rPr>
      </w:pPr>
      <w:r w:rsidRPr="005F15DA">
        <w:rPr>
          <w:rFonts w:cs="Arial"/>
          <w:szCs w:val="22"/>
        </w:rPr>
        <w:t xml:space="preserve">Zur Sicherung des </w:t>
      </w:r>
      <w:r w:rsidRPr="005F15DA">
        <w:rPr>
          <w:rFonts w:cs="Arial"/>
          <w:szCs w:val="22"/>
          <w:u w:val="single"/>
        </w:rPr>
        <w:t>Baurechtszinses</w:t>
      </w:r>
      <w:r w:rsidRPr="005F15DA">
        <w:rPr>
          <w:rFonts w:cs="Arial"/>
          <w:szCs w:val="22"/>
        </w:rPr>
        <w:t xml:space="preserve"> hat der Grundeigentümer Anspruch auf die Eintragung eines gesetzlichen Pfandrechtes. Als Höchstbetrag des Pfandrechts kann der 3-fache Jahre</w:t>
      </w:r>
      <w:r w:rsidRPr="005F15DA">
        <w:rPr>
          <w:rFonts w:cs="Arial"/>
          <w:szCs w:val="22"/>
        </w:rPr>
        <w:t>s</w:t>
      </w:r>
      <w:r w:rsidRPr="005F15DA">
        <w:rPr>
          <w:rFonts w:cs="Arial"/>
          <w:szCs w:val="22"/>
        </w:rPr>
        <w:t>zins eingetragen werden. Das Pfandrecht kann jederzeit eingetragen werden, solange die Baute besteht. Im Übrigen sind die Bestimmungen über die Errichtung des Bauhandwerke</w:t>
      </w:r>
      <w:r w:rsidRPr="005F15DA">
        <w:rPr>
          <w:rFonts w:cs="Arial"/>
          <w:szCs w:val="22"/>
        </w:rPr>
        <w:t>r</w:t>
      </w:r>
      <w:r w:rsidRPr="005F15DA">
        <w:rPr>
          <w:rFonts w:cs="Arial"/>
          <w:szCs w:val="22"/>
        </w:rPr>
        <w:t xml:space="preserve">pfandrechts anwendbar (Art. </w:t>
      </w:r>
      <w:r w:rsidR="004C380E" w:rsidRPr="005F15DA">
        <w:rPr>
          <w:rFonts w:cs="Arial"/>
          <w:szCs w:val="22"/>
        </w:rPr>
        <w:t>837 ff. ZGB).</w:t>
      </w:r>
    </w:p>
    <w:p w:rsidR="00DF7827" w:rsidRPr="005F15DA" w:rsidRDefault="00DF7827" w:rsidP="008851FF">
      <w:pPr>
        <w:spacing w:line="240" w:lineRule="auto"/>
        <w:jc w:val="both"/>
        <w:rPr>
          <w:rFonts w:cs="Arial"/>
          <w:szCs w:val="22"/>
        </w:rPr>
      </w:pPr>
    </w:p>
    <w:p w:rsidR="00DF7827" w:rsidRPr="005F15DA" w:rsidRDefault="00DF7827" w:rsidP="008851FF">
      <w:pPr>
        <w:spacing w:line="240" w:lineRule="auto"/>
        <w:jc w:val="both"/>
        <w:rPr>
          <w:rFonts w:cs="Arial"/>
          <w:szCs w:val="22"/>
        </w:rPr>
      </w:pPr>
      <w:r w:rsidRPr="005F15DA">
        <w:rPr>
          <w:rFonts w:cs="Arial"/>
          <w:szCs w:val="22"/>
        </w:rPr>
        <w:t xml:space="preserve">Wenn das Baurecht infolge </w:t>
      </w:r>
      <w:r w:rsidRPr="005F15DA">
        <w:rPr>
          <w:rFonts w:cs="Arial"/>
          <w:szCs w:val="22"/>
          <w:u w:val="single"/>
        </w:rPr>
        <w:t>Zeitablaufes</w:t>
      </w:r>
      <w:r w:rsidRPr="005F15DA">
        <w:rPr>
          <w:rFonts w:cs="Arial"/>
          <w:szCs w:val="22"/>
        </w:rPr>
        <w:t xml:space="preserve"> untergeht, fallen die Bauten in das Eigentum des Grundeigentümers; die Bauten werden also wieder zu Bestandteilen des Boden-Grundstückes</w:t>
      </w:r>
      <w:r w:rsidR="00370A68" w:rsidRPr="005F15DA">
        <w:rPr>
          <w:rFonts w:cs="Arial"/>
          <w:szCs w:val="22"/>
        </w:rPr>
        <w:t xml:space="preserve">. </w:t>
      </w:r>
      <w:r w:rsidR="004E5247" w:rsidRPr="005F15DA">
        <w:rPr>
          <w:rFonts w:cs="Arial"/>
          <w:szCs w:val="22"/>
        </w:rPr>
        <w:t>In diesem Fall spricht man vom (</w:t>
      </w:r>
      <w:r w:rsidR="006A575C" w:rsidRPr="005F15DA">
        <w:rPr>
          <w:rFonts w:cs="Arial"/>
          <w:szCs w:val="22"/>
        </w:rPr>
        <w:t>normalen</w:t>
      </w:r>
      <w:r w:rsidR="004C380E" w:rsidRPr="005F15DA">
        <w:rPr>
          <w:rFonts w:cs="Arial"/>
          <w:szCs w:val="22"/>
        </w:rPr>
        <w:t xml:space="preserve">) </w:t>
      </w:r>
      <w:r w:rsidR="004C380E" w:rsidRPr="005F15DA">
        <w:rPr>
          <w:rFonts w:cs="Arial"/>
          <w:szCs w:val="22"/>
          <w:u w:val="single"/>
        </w:rPr>
        <w:t>Heimfall</w:t>
      </w:r>
      <w:r w:rsidR="004C380E" w:rsidRPr="005F15DA">
        <w:rPr>
          <w:rFonts w:cs="Arial"/>
          <w:szCs w:val="22"/>
        </w:rPr>
        <w:t xml:space="preserve"> und der bisherige Eige</w:t>
      </w:r>
      <w:r w:rsidR="004C380E" w:rsidRPr="005F15DA">
        <w:rPr>
          <w:rFonts w:cs="Arial"/>
          <w:szCs w:val="22"/>
        </w:rPr>
        <w:t>n</w:t>
      </w:r>
      <w:r w:rsidR="004C380E" w:rsidRPr="005F15DA">
        <w:rPr>
          <w:rFonts w:cs="Arial"/>
          <w:szCs w:val="22"/>
        </w:rPr>
        <w:t>tümer der Baute hat Anspruch auf eine Entschädigung. Üblicherweise wird die Heimfalls-Entschädigung bereits bei der Begründung des Baurechts vereinbart. Wird die Heimfallsen</w:t>
      </w:r>
      <w:r w:rsidR="004C380E" w:rsidRPr="005F15DA">
        <w:rPr>
          <w:rFonts w:cs="Arial"/>
          <w:szCs w:val="22"/>
        </w:rPr>
        <w:t>t</w:t>
      </w:r>
      <w:r w:rsidR="004C380E" w:rsidRPr="005F15DA">
        <w:rPr>
          <w:rFonts w:cs="Arial"/>
          <w:szCs w:val="22"/>
        </w:rPr>
        <w:t>schädigung nicht bezahlt, hat der bisherige Baurechtsberechtigte oder der Gläubiger der Ba</w:t>
      </w:r>
      <w:r w:rsidR="004C380E" w:rsidRPr="005F15DA">
        <w:rPr>
          <w:rFonts w:cs="Arial"/>
          <w:szCs w:val="22"/>
        </w:rPr>
        <w:t>u</w:t>
      </w:r>
      <w:r w:rsidR="004C380E" w:rsidRPr="005F15DA">
        <w:rPr>
          <w:rFonts w:cs="Arial"/>
          <w:szCs w:val="22"/>
        </w:rPr>
        <w:t>te Anspruch auf Eintragung des gesetzlichen Grundpfandrechts (Art. 779 d Abs. 2 ZGB).</w:t>
      </w:r>
    </w:p>
    <w:p w:rsidR="00286F61" w:rsidRPr="005F15DA" w:rsidRDefault="00286F61" w:rsidP="008851FF">
      <w:pPr>
        <w:spacing w:line="240" w:lineRule="auto"/>
        <w:jc w:val="both"/>
        <w:rPr>
          <w:rFonts w:cs="Arial"/>
          <w:szCs w:val="22"/>
        </w:rPr>
      </w:pPr>
    </w:p>
    <w:p w:rsidR="00286F61" w:rsidRPr="005F15DA" w:rsidRDefault="00286F61" w:rsidP="008851FF">
      <w:pPr>
        <w:spacing w:line="240" w:lineRule="auto"/>
        <w:jc w:val="both"/>
        <w:rPr>
          <w:rFonts w:cs="Arial"/>
          <w:szCs w:val="22"/>
        </w:rPr>
      </w:pPr>
      <w:r w:rsidRPr="005F15DA">
        <w:rPr>
          <w:rFonts w:cs="Arial"/>
          <w:szCs w:val="22"/>
        </w:rPr>
        <w:t>Wenn der Bauberechtigte in grober Weise sein dingliches Recht überschreitet oder vertragl</w:t>
      </w:r>
      <w:r w:rsidRPr="005F15DA">
        <w:rPr>
          <w:rFonts w:cs="Arial"/>
          <w:szCs w:val="22"/>
        </w:rPr>
        <w:t>i</w:t>
      </w:r>
      <w:r w:rsidRPr="005F15DA">
        <w:rPr>
          <w:rFonts w:cs="Arial"/>
          <w:szCs w:val="22"/>
        </w:rPr>
        <w:t xml:space="preserve">che Verpflichtungen verletzt, kann der Grundeigentümer den </w:t>
      </w:r>
      <w:r w:rsidRPr="005F15DA">
        <w:rPr>
          <w:rFonts w:cs="Arial"/>
          <w:szCs w:val="22"/>
          <w:u w:val="single"/>
        </w:rPr>
        <w:t>vorzeitigen Heimfall</w:t>
      </w:r>
      <w:r w:rsidRPr="005F15DA">
        <w:rPr>
          <w:rFonts w:cs="Arial"/>
          <w:szCs w:val="22"/>
        </w:rPr>
        <w:t xml:space="preserve"> verlangen </w:t>
      </w:r>
      <w:r w:rsidRPr="005F15DA">
        <w:rPr>
          <w:rFonts w:cs="Arial"/>
          <w:szCs w:val="22"/>
        </w:rPr>
        <w:lastRenderedPageBreak/>
        <w:t>(Übertragung des Baurechts mit allen Rechten und Lasten auf sich selbst). Auch beim vorze</w:t>
      </w:r>
      <w:r w:rsidRPr="005F15DA">
        <w:rPr>
          <w:rFonts w:cs="Arial"/>
          <w:szCs w:val="22"/>
        </w:rPr>
        <w:t>i</w:t>
      </w:r>
      <w:r w:rsidRPr="005F15DA">
        <w:rPr>
          <w:rFonts w:cs="Arial"/>
          <w:szCs w:val="22"/>
        </w:rPr>
        <w:t>tigen Heimfall hat der Bauberechtigte Anspruch auf eine angemessene Heimfallsentschäd</w:t>
      </w:r>
      <w:r w:rsidRPr="005F15DA">
        <w:rPr>
          <w:rFonts w:cs="Arial"/>
          <w:szCs w:val="22"/>
        </w:rPr>
        <w:t>i</w:t>
      </w:r>
      <w:r w:rsidRPr="005F15DA">
        <w:rPr>
          <w:rFonts w:cs="Arial"/>
          <w:szCs w:val="22"/>
        </w:rPr>
        <w:t>gung, wobei dessen Verschulden als Herabsetzungsgrund berücksichtigt werden kann.</w:t>
      </w:r>
    </w:p>
    <w:p w:rsidR="00DE2D3D" w:rsidRPr="005F15DA" w:rsidRDefault="00DE2D3D" w:rsidP="008851FF">
      <w:pPr>
        <w:spacing w:line="240" w:lineRule="auto"/>
        <w:jc w:val="both"/>
        <w:rPr>
          <w:rFonts w:cs="Arial"/>
          <w:szCs w:val="22"/>
        </w:rPr>
      </w:pPr>
    </w:p>
    <w:p w:rsidR="004E576A" w:rsidRPr="005F15DA" w:rsidRDefault="004E576A" w:rsidP="008851FF">
      <w:pPr>
        <w:tabs>
          <w:tab w:val="left" w:pos="426"/>
        </w:tabs>
        <w:spacing w:line="240" w:lineRule="auto"/>
        <w:jc w:val="both"/>
        <w:rPr>
          <w:rFonts w:cs="Arial"/>
          <w:szCs w:val="22"/>
        </w:rPr>
      </w:pPr>
    </w:p>
    <w:p w:rsidR="004E576A" w:rsidRPr="005F15DA" w:rsidRDefault="004E576A" w:rsidP="008851FF">
      <w:pPr>
        <w:tabs>
          <w:tab w:val="left" w:pos="426"/>
        </w:tabs>
        <w:spacing w:line="240" w:lineRule="auto"/>
        <w:jc w:val="both"/>
        <w:rPr>
          <w:rFonts w:cs="Arial"/>
          <w:szCs w:val="22"/>
        </w:rPr>
      </w:pPr>
    </w:p>
    <w:p w:rsidR="004E576A" w:rsidRPr="005F15DA" w:rsidRDefault="00B828BF" w:rsidP="005759BE">
      <w:pPr>
        <w:pStyle w:val="berschrift3"/>
        <w:rPr>
          <w:lang w:val="de-CH"/>
        </w:rPr>
      </w:pPr>
      <w:bookmarkStart w:id="151" w:name="_Toc432175671"/>
      <w:r w:rsidRPr="005F15DA">
        <w:rPr>
          <w:lang w:val="de-CH"/>
        </w:rPr>
        <w:t>E.</w:t>
      </w:r>
      <w:r w:rsidRPr="005F15DA">
        <w:rPr>
          <w:lang w:val="de-CH"/>
        </w:rPr>
        <w:tab/>
      </w:r>
      <w:r w:rsidR="004E576A" w:rsidRPr="005F15DA">
        <w:rPr>
          <w:lang w:val="de-CH"/>
        </w:rPr>
        <w:t>Quellenrecht (Art. 780 ZGB)</w:t>
      </w:r>
      <w:bookmarkEnd w:id="151"/>
    </w:p>
    <w:p w:rsidR="004E576A" w:rsidRPr="005F15DA" w:rsidRDefault="004E576A" w:rsidP="008851FF">
      <w:pPr>
        <w:spacing w:line="240" w:lineRule="auto"/>
        <w:jc w:val="both"/>
        <w:rPr>
          <w:rFonts w:cs="Arial"/>
          <w:szCs w:val="22"/>
        </w:rPr>
      </w:pPr>
    </w:p>
    <w:p w:rsidR="004E576A" w:rsidRPr="005F15DA" w:rsidRDefault="002135DE" w:rsidP="008851FF">
      <w:pPr>
        <w:tabs>
          <w:tab w:val="left" w:pos="426"/>
        </w:tabs>
        <w:spacing w:line="240" w:lineRule="auto"/>
        <w:jc w:val="both"/>
        <w:rPr>
          <w:rFonts w:cs="Arial"/>
          <w:szCs w:val="22"/>
        </w:rPr>
      </w:pPr>
      <w:r w:rsidRPr="005F15DA">
        <w:rPr>
          <w:rFonts w:cs="Arial"/>
          <w:szCs w:val="22"/>
        </w:rPr>
        <w:t>Mit dem Quellenrecht erhält jemand das Recht, die auf einem fremden Grundstück entspri</w:t>
      </w:r>
      <w:r w:rsidRPr="005F15DA">
        <w:rPr>
          <w:rFonts w:cs="Arial"/>
          <w:szCs w:val="22"/>
        </w:rPr>
        <w:t>n</w:t>
      </w:r>
      <w:r w:rsidRPr="005F15DA">
        <w:rPr>
          <w:rFonts w:cs="Arial"/>
          <w:szCs w:val="22"/>
        </w:rPr>
        <w:t>gende Quelle zu fassen und abzuleiten.</w:t>
      </w:r>
      <w:r w:rsidR="00680D48" w:rsidRPr="005F15DA">
        <w:rPr>
          <w:rFonts w:cs="Arial"/>
          <w:szCs w:val="22"/>
        </w:rPr>
        <w:t xml:space="preserve"> Berechtigter kann ein Grundstück oder eine Person sein.</w:t>
      </w:r>
    </w:p>
    <w:p w:rsidR="002135DE" w:rsidRPr="005F15DA" w:rsidRDefault="002135DE" w:rsidP="008851FF">
      <w:pPr>
        <w:tabs>
          <w:tab w:val="left" w:pos="426"/>
        </w:tabs>
        <w:spacing w:line="240" w:lineRule="auto"/>
        <w:jc w:val="both"/>
        <w:rPr>
          <w:rFonts w:cs="Arial"/>
          <w:szCs w:val="22"/>
        </w:rPr>
      </w:pPr>
    </w:p>
    <w:p w:rsidR="002135DE" w:rsidRPr="005F15DA" w:rsidRDefault="002135DE" w:rsidP="008851FF">
      <w:pPr>
        <w:tabs>
          <w:tab w:val="left" w:pos="426"/>
        </w:tabs>
        <w:spacing w:line="240" w:lineRule="auto"/>
        <w:jc w:val="both"/>
        <w:rPr>
          <w:rFonts w:cs="Arial"/>
          <w:szCs w:val="22"/>
        </w:rPr>
      </w:pPr>
      <w:r w:rsidRPr="005F15DA">
        <w:rPr>
          <w:rFonts w:cs="Arial"/>
          <w:szCs w:val="22"/>
        </w:rPr>
        <w:t>Das Quellenrecht ist übertragbar und vererblich, wenn nichts anderes vereinbart wurde.</w:t>
      </w:r>
    </w:p>
    <w:p w:rsidR="002135DE" w:rsidRPr="005F15DA" w:rsidRDefault="002135DE" w:rsidP="008851FF">
      <w:pPr>
        <w:tabs>
          <w:tab w:val="left" w:pos="426"/>
        </w:tabs>
        <w:spacing w:line="240" w:lineRule="auto"/>
        <w:jc w:val="both"/>
        <w:rPr>
          <w:rFonts w:cs="Arial"/>
          <w:szCs w:val="22"/>
        </w:rPr>
      </w:pPr>
    </w:p>
    <w:p w:rsidR="002135DE" w:rsidRPr="005F15DA" w:rsidRDefault="002135DE" w:rsidP="008851FF">
      <w:pPr>
        <w:tabs>
          <w:tab w:val="left" w:pos="426"/>
        </w:tabs>
        <w:spacing w:line="240" w:lineRule="auto"/>
        <w:jc w:val="both"/>
        <w:rPr>
          <w:rFonts w:cs="Arial"/>
          <w:szCs w:val="22"/>
        </w:rPr>
      </w:pPr>
      <w:r w:rsidRPr="005F15DA">
        <w:rPr>
          <w:rFonts w:cs="Arial"/>
          <w:szCs w:val="22"/>
        </w:rPr>
        <w:t>Das Quellenrecht kann als selbständiges und dauerndes Quellenrecht ausgestaltet und als Grundstück im Grundbuch aufgenommen werden.</w:t>
      </w:r>
    </w:p>
    <w:p w:rsidR="00DE2D3D" w:rsidRPr="005F15DA" w:rsidRDefault="00DE2D3D" w:rsidP="008851FF">
      <w:pPr>
        <w:tabs>
          <w:tab w:val="left" w:pos="426"/>
        </w:tabs>
        <w:spacing w:line="240" w:lineRule="auto"/>
        <w:jc w:val="both"/>
        <w:rPr>
          <w:rFonts w:cs="Arial"/>
          <w:szCs w:val="22"/>
        </w:rPr>
      </w:pPr>
    </w:p>
    <w:p w:rsidR="00DE2D3D" w:rsidRPr="005F15DA" w:rsidRDefault="00DE2D3D" w:rsidP="008851FF">
      <w:pPr>
        <w:tabs>
          <w:tab w:val="left" w:pos="426"/>
        </w:tabs>
        <w:spacing w:line="240" w:lineRule="auto"/>
        <w:jc w:val="both"/>
        <w:rPr>
          <w:rFonts w:cs="Arial"/>
          <w:szCs w:val="22"/>
        </w:rPr>
      </w:pPr>
    </w:p>
    <w:p w:rsidR="004E576A" w:rsidRPr="005F15DA" w:rsidRDefault="004E576A" w:rsidP="008851FF">
      <w:pPr>
        <w:tabs>
          <w:tab w:val="left" w:pos="426"/>
        </w:tabs>
        <w:spacing w:line="240" w:lineRule="auto"/>
        <w:jc w:val="both"/>
        <w:rPr>
          <w:rFonts w:cs="Arial"/>
          <w:szCs w:val="22"/>
        </w:rPr>
      </w:pPr>
    </w:p>
    <w:p w:rsidR="004E576A" w:rsidRPr="005F15DA" w:rsidRDefault="00B828BF" w:rsidP="005759BE">
      <w:pPr>
        <w:pStyle w:val="berschrift3"/>
        <w:rPr>
          <w:lang w:val="de-CH"/>
        </w:rPr>
      </w:pPr>
      <w:bookmarkStart w:id="152" w:name="_Toc432175672"/>
      <w:r w:rsidRPr="005F15DA">
        <w:rPr>
          <w:lang w:val="de-CH"/>
        </w:rPr>
        <w:t>F.</w:t>
      </w:r>
      <w:r w:rsidRPr="005F15DA">
        <w:rPr>
          <w:lang w:val="de-CH"/>
        </w:rPr>
        <w:tab/>
      </w:r>
      <w:r w:rsidR="004E576A" w:rsidRPr="005F15DA">
        <w:rPr>
          <w:lang w:val="de-CH"/>
        </w:rPr>
        <w:t>Andere Dienstbarkeiten (Art. 781 ZGB)</w:t>
      </w:r>
      <w:bookmarkEnd w:id="152"/>
    </w:p>
    <w:p w:rsidR="004E576A" w:rsidRPr="005F15DA" w:rsidRDefault="004E576A" w:rsidP="008851FF">
      <w:pPr>
        <w:spacing w:line="240" w:lineRule="auto"/>
        <w:jc w:val="both"/>
        <w:rPr>
          <w:rFonts w:cs="Arial"/>
          <w:szCs w:val="22"/>
        </w:rPr>
      </w:pPr>
    </w:p>
    <w:p w:rsidR="00DE2D3D" w:rsidRPr="005F15DA" w:rsidRDefault="00A62729" w:rsidP="008851FF">
      <w:pPr>
        <w:spacing w:line="240" w:lineRule="auto"/>
        <w:jc w:val="both"/>
        <w:rPr>
          <w:rFonts w:cs="Arial"/>
          <w:szCs w:val="22"/>
        </w:rPr>
      </w:pPr>
      <w:r w:rsidRPr="005F15DA">
        <w:rPr>
          <w:rFonts w:cs="Arial"/>
          <w:szCs w:val="22"/>
        </w:rPr>
        <w:t>Andere Dienstbarkeiten, d.h. Dienstbarkeiten mit anderen Inhalten, können zugunsten einer oder mehrerer Personen (als irreguläre Personaldienstbarkeit) errichtet werden, wenn ein Grundstück einer Person zu einem bestimmten Zweck dienen kann, z.B. Abhaltung von Schiessübungen, usw. Das Stichwort könnte diesfalls lauten: Überschiessrecht als Last auf Seldwyla-Grundbuchblatt Nr. 205 zu Gunsten des Schützenvereins Seldwyla. Bis vor ca. 30 Jahren hatten die Grundstücke der SBB keine Nummern, weshalb Dienstbarkeiten im Sinne von Art. 781 ZGB errichtet wurden, z.B. Wegrecht als Last auf Bern-Grundbuchblatt Nr. … zu Gunsten der SBB.</w:t>
      </w:r>
    </w:p>
    <w:p w:rsidR="00A62729" w:rsidRPr="005F15DA" w:rsidRDefault="00A62729" w:rsidP="008851FF">
      <w:pPr>
        <w:spacing w:line="240" w:lineRule="auto"/>
        <w:jc w:val="both"/>
        <w:rPr>
          <w:rFonts w:cs="Arial"/>
          <w:szCs w:val="22"/>
        </w:rPr>
      </w:pPr>
    </w:p>
    <w:p w:rsidR="00A62729" w:rsidRPr="005F15DA" w:rsidRDefault="00A62729" w:rsidP="008851FF">
      <w:pPr>
        <w:spacing w:line="240" w:lineRule="auto"/>
        <w:jc w:val="both"/>
        <w:rPr>
          <w:rFonts w:cs="Arial"/>
          <w:szCs w:val="22"/>
        </w:rPr>
      </w:pPr>
      <w:r w:rsidRPr="005F15DA">
        <w:rPr>
          <w:rFonts w:cs="Arial"/>
          <w:szCs w:val="22"/>
        </w:rPr>
        <w:t>Diese Dienstbarkeiten sind</w:t>
      </w:r>
      <w:r w:rsidR="00680D48" w:rsidRPr="005F15DA">
        <w:rPr>
          <w:rFonts w:cs="Arial"/>
          <w:szCs w:val="22"/>
        </w:rPr>
        <w:t xml:space="preserve"> von Gesetzes wegen</w:t>
      </w:r>
      <w:r w:rsidRPr="005F15DA">
        <w:rPr>
          <w:rFonts w:cs="Arial"/>
          <w:szCs w:val="22"/>
        </w:rPr>
        <w:t xml:space="preserve"> nicht übertragbar</w:t>
      </w:r>
      <w:r w:rsidR="00680D48" w:rsidRPr="005F15DA">
        <w:rPr>
          <w:rFonts w:cs="Arial"/>
          <w:szCs w:val="22"/>
        </w:rPr>
        <w:t>; sie können aber übertra</w:t>
      </w:r>
      <w:r w:rsidR="00680D48" w:rsidRPr="005F15DA">
        <w:rPr>
          <w:rFonts w:cs="Arial"/>
          <w:szCs w:val="22"/>
        </w:rPr>
        <w:t>g</w:t>
      </w:r>
      <w:r w:rsidR="00680D48" w:rsidRPr="005F15DA">
        <w:rPr>
          <w:rFonts w:cs="Arial"/>
          <w:szCs w:val="22"/>
        </w:rPr>
        <w:t>bar und vererblich ausgestaltet werden.</w:t>
      </w:r>
      <w:r w:rsidRPr="005F15DA">
        <w:rPr>
          <w:rFonts w:cs="Arial"/>
          <w:szCs w:val="22"/>
        </w:rPr>
        <w:t xml:space="preserve"> Der Inhalt </w:t>
      </w:r>
      <w:r w:rsidR="003372A6" w:rsidRPr="005F15DA">
        <w:rPr>
          <w:rFonts w:cs="Arial"/>
          <w:szCs w:val="22"/>
        </w:rPr>
        <w:t>der Dienstbarkeit bestimmt sich nach den gewöhnlichen Bedürfnissen der Berechtigten.</w:t>
      </w:r>
    </w:p>
    <w:p w:rsidR="003372A6" w:rsidRPr="005F15DA" w:rsidRDefault="003372A6" w:rsidP="008851FF">
      <w:pPr>
        <w:spacing w:line="240" w:lineRule="auto"/>
        <w:jc w:val="both"/>
        <w:rPr>
          <w:rFonts w:cs="Arial"/>
          <w:szCs w:val="22"/>
        </w:rPr>
      </w:pPr>
    </w:p>
    <w:p w:rsidR="003372A6" w:rsidRPr="005F15DA" w:rsidRDefault="003372A6" w:rsidP="008851FF">
      <w:pPr>
        <w:spacing w:line="240" w:lineRule="auto"/>
        <w:jc w:val="both"/>
        <w:rPr>
          <w:rFonts w:cs="Arial"/>
          <w:szCs w:val="22"/>
        </w:rPr>
      </w:pPr>
      <w:r w:rsidRPr="005F15DA">
        <w:rPr>
          <w:rFonts w:cs="Arial"/>
          <w:szCs w:val="22"/>
        </w:rPr>
        <w:t>Im Übrigen gelten die Bestimmungen über die Grunddienstbarkeiten.</w:t>
      </w:r>
    </w:p>
    <w:p w:rsidR="00DE2D3D" w:rsidRPr="005F15DA" w:rsidRDefault="00DE2D3D" w:rsidP="008851FF">
      <w:pPr>
        <w:spacing w:line="240" w:lineRule="auto"/>
        <w:jc w:val="both"/>
        <w:rPr>
          <w:rFonts w:cs="Arial"/>
          <w:szCs w:val="22"/>
        </w:rPr>
      </w:pPr>
    </w:p>
    <w:p w:rsidR="004E576A" w:rsidRPr="005F15DA" w:rsidRDefault="004E576A" w:rsidP="008851FF">
      <w:pPr>
        <w:tabs>
          <w:tab w:val="left" w:pos="426"/>
        </w:tabs>
        <w:spacing w:line="240" w:lineRule="auto"/>
        <w:jc w:val="both"/>
        <w:rPr>
          <w:rFonts w:cs="Arial"/>
          <w:szCs w:val="22"/>
        </w:rPr>
      </w:pPr>
    </w:p>
    <w:p w:rsidR="004E576A" w:rsidRPr="005F15DA" w:rsidRDefault="004E576A" w:rsidP="008851FF">
      <w:pPr>
        <w:tabs>
          <w:tab w:val="left" w:pos="426"/>
        </w:tabs>
        <w:spacing w:line="240" w:lineRule="auto"/>
        <w:jc w:val="both"/>
        <w:rPr>
          <w:rFonts w:cs="Arial"/>
          <w:szCs w:val="22"/>
        </w:rPr>
      </w:pPr>
    </w:p>
    <w:p w:rsidR="004E576A" w:rsidRPr="005F15DA" w:rsidRDefault="009F318D" w:rsidP="005759BE">
      <w:pPr>
        <w:pStyle w:val="berschrift3"/>
        <w:rPr>
          <w:lang w:val="de-CH"/>
        </w:rPr>
      </w:pPr>
      <w:bookmarkStart w:id="153" w:name="_Toc432175673"/>
      <w:r w:rsidRPr="005F15DA">
        <w:rPr>
          <w:lang w:val="de-CH"/>
        </w:rPr>
        <w:t>G.</w:t>
      </w:r>
      <w:r w:rsidRPr="005F15DA">
        <w:rPr>
          <w:lang w:val="de-CH"/>
        </w:rPr>
        <w:tab/>
      </w:r>
      <w:r w:rsidR="004E576A" w:rsidRPr="005F15DA">
        <w:rPr>
          <w:lang w:val="de-CH"/>
        </w:rPr>
        <w:t>Richterliche Massnahmen (Art. 781a ZGB)</w:t>
      </w:r>
      <w:bookmarkEnd w:id="153"/>
    </w:p>
    <w:p w:rsidR="004E576A" w:rsidRPr="005F15DA" w:rsidRDefault="004E576A" w:rsidP="008851FF">
      <w:pPr>
        <w:spacing w:line="240" w:lineRule="auto"/>
        <w:jc w:val="both"/>
        <w:rPr>
          <w:rFonts w:cs="Arial"/>
          <w:szCs w:val="22"/>
        </w:rPr>
      </w:pPr>
    </w:p>
    <w:p w:rsidR="00DE2D3D" w:rsidRPr="005F15DA" w:rsidRDefault="003372A6" w:rsidP="008851FF">
      <w:pPr>
        <w:spacing w:line="240" w:lineRule="auto"/>
        <w:jc w:val="both"/>
        <w:rPr>
          <w:rFonts w:cs="Arial"/>
          <w:szCs w:val="22"/>
        </w:rPr>
      </w:pPr>
      <w:r w:rsidRPr="005F15DA">
        <w:rPr>
          <w:rFonts w:cs="Arial"/>
          <w:szCs w:val="22"/>
        </w:rPr>
        <w:t>Wenn der Berechtigte einer Dienstbarkeit nicht auffindbar ist oder dem Berechtigten die O</w:t>
      </w:r>
      <w:r w:rsidRPr="005F15DA">
        <w:rPr>
          <w:rFonts w:cs="Arial"/>
          <w:szCs w:val="22"/>
        </w:rPr>
        <w:t>r</w:t>
      </w:r>
      <w:r w:rsidRPr="005F15DA">
        <w:rPr>
          <w:rFonts w:cs="Arial"/>
          <w:szCs w:val="22"/>
        </w:rPr>
        <w:t>gane fehlen, sind die Bestimmungen über die richterlichen Massnahmen bei unauffindbarem Eigentümer sinngemäss anwendbar.</w:t>
      </w:r>
    </w:p>
    <w:p w:rsidR="00DE2D3D" w:rsidRPr="005F15DA" w:rsidRDefault="00DE2D3D" w:rsidP="008851FF">
      <w:pPr>
        <w:spacing w:line="240" w:lineRule="auto"/>
        <w:jc w:val="both"/>
        <w:rPr>
          <w:rFonts w:cs="Arial"/>
          <w:szCs w:val="22"/>
        </w:rPr>
      </w:pPr>
    </w:p>
    <w:p w:rsidR="004E576A" w:rsidRPr="005F15DA" w:rsidRDefault="004E576A" w:rsidP="008851FF">
      <w:pPr>
        <w:tabs>
          <w:tab w:val="left" w:pos="426"/>
        </w:tabs>
        <w:spacing w:line="240" w:lineRule="auto"/>
        <w:jc w:val="both"/>
        <w:rPr>
          <w:rFonts w:cs="Arial"/>
          <w:szCs w:val="22"/>
        </w:rPr>
      </w:pPr>
    </w:p>
    <w:p w:rsidR="004E576A" w:rsidRPr="005F15DA" w:rsidRDefault="004E576A" w:rsidP="008851FF">
      <w:pPr>
        <w:tabs>
          <w:tab w:val="left" w:pos="426"/>
        </w:tabs>
        <w:spacing w:line="240" w:lineRule="auto"/>
        <w:jc w:val="both"/>
        <w:rPr>
          <w:rFonts w:cs="Arial"/>
          <w:szCs w:val="22"/>
        </w:rPr>
      </w:pPr>
    </w:p>
    <w:p w:rsidR="004E576A" w:rsidRPr="005F15DA" w:rsidRDefault="009F318D" w:rsidP="005759BE">
      <w:pPr>
        <w:pStyle w:val="berschrift3"/>
        <w:rPr>
          <w:lang w:val="de-CH"/>
        </w:rPr>
      </w:pPr>
      <w:bookmarkStart w:id="154" w:name="_Toc432175674"/>
      <w:r w:rsidRPr="005F15DA">
        <w:rPr>
          <w:lang w:val="de-CH"/>
        </w:rPr>
        <w:t>H.</w:t>
      </w:r>
      <w:r w:rsidRPr="005F15DA">
        <w:rPr>
          <w:lang w:val="de-CH"/>
        </w:rPr>
        <w:tab/>
      </w:r>
      <w:r w:rsidR="004E576A" w:rsidRPr="005F15DA">
        <w:rPr>
          <w:lang w:val="de-CH"/>
        </w:rPr>
        <w:t>Grundlasten (Art. 782 – 792 ZGB)</w:t>
      </w:r>
      <w:bookmarkEnd w:id="154"/>
    </w:p>
    <w:p w:rsidR="004E576A" w:rsidRPr="005F15DA" w:rsidRDefault="004E576A" w:rsidP="008851FF">
      <w:pPr>
        <w:spacing w:line="240" w:lineRule="auto"/>
        <w:jc w:val="both"/>
        <w:rPr>
          <w:rFonts w:cs="Arial"/>
          <w:szCs w:val="22"/>
        </w:rPr>
      </w:pPr>
    </w:p>
    <w:p w:rsidR="00DE2D3D" w:rsidRPr="005F15DA" w:rsidRDefault="003372A6" w:rsidP="005B0708">
      <w:pPr>
        <w:pStyle w:val="berschrift4"/>
      </w:pPr>
      <w:r w:rsidRPr="005F15DA">
        <w:t>1.</w:t>
      </w:r>
      <w:r w:rsidRPr="005F15DA">
        <w:tab/>
        <w:t>Gegenstand</w:t>
      </w:r>
      <w:r w:rsidR="00DD7C09" w:rsidRPr="005F15DA">
        <w:t xml:space="preserve"> und Inhalt</w:t>
      </w:r>
    </w:p>
    <w:p w:rsidR="003372A6" w:rsidRPr="005F15DA" w:rsidRDefault="003372A6" w:rsidP="008851FF">
      <w:pPr>
        <w:tabs>
          <w:tab w:val="left" w:pos="426"/>
        </w:tabs>
        <w:spacing w:line="240" w:lineRule="auto"/>
        <w:ind w:left="426" w:hanging="426"/>
        <w:jc w:val="both"/>
        <w:rPr>
          <w:rFonts w:cs="Arial"/>
          <w:szCs w:val="22"/>
        </w:rPr>
      </w:pPr>
      <w:r w:rsidRPr="005F15DA">
        <w:rPr>
          <w:rFonts w:cs="Arial"/>
          <w:szCs w:val="22"/>
        </w:rPr>
        <w:tab/>
      </w:r>
      <w:r w:rsidR="00422597" w:rsidRPr="005F15DA">
        <w:rPr>
          <w:rFonts w:cs="Arial"/>
          <w:szCs w:val="22"/>
        </w:rPr>
        <w:t xml:space="preserve">Durch die Grundlast wird der jeweilige Eigentümer eines Grundstückes zu einer </w:t>
      </w:r>
      <w:r w:rsidR="00422597" w:rsidRPr="005F15DA">
        <w:rPr>
          <w:rFonts w:cs="Arial"/>
          <w:szCs w:val="22"/>
          <w:u w:val="single"/>
        </w:rPr>
        <w:t>Leistung an einen Berechtigten</w:t>
      </w:r>
      <w:r w:rsidR="00422597" w:rsidRPr="005F15DA">
        <w:rPr>
          <w:rFonts w:cs="Arial"/>
          <w:szCs w:val="22"/>
        </w:rPr>
        <w:t xml:space="preserve"> verpflichtet, für die er </w:t>
      </w:r>
      <w:r w:rsidR="00422597" w:rsidRPr="005F15DA">
        <w:rPr>
          <w:rFonts w:cs="Arial"/>
          <w:szCs w:val="22"/>
          <w:u w:val="single"/>
        </w:rPr>
        <w:t>ausschliesslich mit dem Grundstück haftet</w:t>
      </w:r>
      <w:r w:rsidR="00422597" w:rsidRPr="005F15DA">
        <w:rPr>
          <w:rFonts w:cs="Arial"/>
          <w:szCs w:val="22"/>
        </w:rPr>
        <w:t>. Es handelt sich hier also um ein aktives Tun des Belasteten.</w:t>
      </w:r>
      <w:r w:rsidR="00011C20" w:rsidRPr="005F15DA">
        <w:rPr>
          <w:rFonts w:cs="Arial"/>
          <w:szCs w:val="22"/>
        </w:rPr>
        <w:t xml:space="preserve"> Für die Leistung haftet nur das Grundstück, nicht aber das übrige Vermögen des Grundeigentümers.</w:t>
      </w:r>
    </w:p>
    <w:p w:rsidR="00422597" w:rsidRPr="005F15DA" w:rsidRDefault="00422597" w:rsidP="008851FF">
      <w:pPr>
        <w:tabs>
          <w:tab w:val="left" w:pos="426"/>
        </w:tabs>
        <w:spacing w:line="240" w:lineRule="auto"/>
        <w:ind w:left="426" w:hanging="426"/>
        <w:jc w:val="both"/>
        <w:rPr>
          <w:rFonts w:cs="Arial"/>
          <w:szCs w:val="22"/>
        </w:rPr>
      </w:pPr>
      <w:r w:rsidRPr="005F15DA">
        <w:rPr>
          <w:rFonts w:cs="Arial"/>
          <w:szCs w:val="22"/>
        </w:rPr>
        <w:lastRenderedPageBreak/>
        <w:tab/>
      </w:r>
      <w:r w:rsidR="00011C20" w:rsidRPr="005F15DA">
        <w:rPr>
          <w:rFonts w:cs="Arial"/>
          <w:szCs w:val="22"/>
        </w:rPr>
        <w:t xml:space="preserve">Berechtigter kann eine </w:t>
      </w:r>
      <w:r w:rsidR="00865210" w:rsidRPr="005F15DA">
        <w:rPr>
          <w:rFonts w:cs="Arial"/>
          <w:szCs w:val="22"/>
        </w:rPr>
        <w:t xml:space="preserve">natürliche oder juristische </w:t>
      </w:r>
      <w:r w:rsidR="00011C20" w:rsidRPr="005F15DA">
        <w:rPr>
          <w:rFonts w:cs="Arial"/>
          <w:szCs w:val="22"/>
        </w:rPr>
        <w:t xml:space="preserve">Person </w:t>
      </w:r>
      <w:r w:rsidR="00865210" w:rsidRPr="005F15DA">
        <w:rPr>
          <w:rFonts w:cs="Arial"/>
          <w:szCs w:val="22"/>
        </w:rPr>
        <w:t xml:space="preserve">(Personalgrundlast) </w:t>
      </w:r>
      <w:r w:rsidR="00011C20" w:rsidRPr="005F15DA">
        <w:rPr>
          <w:rFonts w:cs="Arial"/>
          <w:szCs w:val="22"/>
        </w:rPr>
        <w:t xml:space="preserve">oder ein anderes Grundstück </w:t>
      </w:r>
      <w:r w:rsidR="00865210" w:rsidRPr="005F15DA">
        <w:rPr>
          <w:rFonts w:cs="Arial"/>
          <w:szCs w:val="22"/>
        </w:rPr>
        <w:t xml:space="preserve">(Realgrundlast) </w:t>
      </w:r>
      <w:r w:rsidR="00011C20" w:rsidRPr="005F15DA">
        <w:rPr>
          <w:rFonts w:cs="Arial"/>
          <w:szCs w:val="22"/>
        </w:rPr>
        <w:t xml:space="preserve">sein. </w:t>
      </w:r>
    </w:p>
    <w:p w:rsidR="00011C20" w:rsidRPr="005F15DA" w:rsidRDefault="00011C20" w:rsidP="008851FF">
      <w:pPr>
        <w:tabs>
          <w:tab w:val="left" w:pos="426"/>
        </w:tabs>
        <w:spacing w:line="240" w:lineRule="auto"/>
        <w:jc w:val="both"/>
        <w:rPr>
          <w:rFonts w:cs="Arial"/>
          <w:szCs w:val="22"/>
        </w:rPr>
      </w:pPr>
    </w:p>
    <w:p w:rsidR="00011C20" w:rsidRPr="005F15DA" w:rsidRDefault="00011C20" w:rsidP="008851FF">
      <w:pPr>
        <w:tabs>
          <w:tab w:val="left" w:pos="426"/>
        </w:tabs>
        <w:spacing w:line="240" w:lineRule="auto"/>
        <w:jc w:val="both"/>
        <w:rPr>
          <w:rFonts w:cs="Arial"/>
          <w:szCs w:val="22"/>
        </w:rPr>
      </w:pPr>
      <w:r w:rsidRPr="005F15DA">
        <w:rPr>
          <w:rFonts w:cs="Arial"/>
          <w:szCs w:val="22"/>
        </w:rPr>
        <w:tab/>
        <w:t>Die Personalgrundlast kann übertragbar und vererblich ausgestaltet werden.</w:t>
      </w:r>
    </w:p>
    <w:p w:rsidR="00011C20" w:rsidRPr="005F15DA" w:rsidRDefault="00011C20" w:rsidP="008851FF">
      <w:pPr>
        <w:tabs>
          <w:tab w:val="left" w:pos="426"/>
        </w:tabs>
        <w:spacing w:line="240" w:lineRule="auto"/>
        <w:jc w:val="both"/>
        <w:rPr>
          <w:rFonts w:cs="Arial"/>
          <w:szCs w:val="22"/>
        </w:rPr>
      </w:pPr>
    </w:p>
    <w:p w:rsidR="00011C20" w:rsidRPr="005F15DA" w:rsidRDefault="00011C20" w:rsidP="008851FF">
      <w:pPr>
        <w:tabs>
          <w:tab w:val="left" w:pos="426"/>
        </w:tabs>
        <w:spacing w:line="240" w:lineRule="auto"/>
        <w:ind w:left="426" w:hanging="426"/>
        <w:jc w:val="both"/>
        <w:rPr>
          <w:rFonts w:cs="Arial"/>
          <w:szCs w:val="22"/>
        </w:rPr>
      </w:pPr>
      <w:r w:rsidRPr="005F15DA">
        <w:rPr>
          <w:rFonts w:cs="Arial"/>
          <w:szCs w:val="22"/>
        </w:rPr>
        <w:tab/>
        <w:t>Das Gesetz unterscheidet zwischen privatrechtlichen und öffentlichrechtlichen Grundla</w:t>
      </w:r>
      <w:r w:rsidRPr="005F15DA">
        <w:rPr>
          <w:rFonts w:cs="Arial"/>
          <w:szCs w:val="22"/>
        </w:rPr>
        <w:t>s</w:t>
      </w:r>
      <w:r w:rsidRPr="005F15DA">
        <w:rPr>
          <w:rFonts w:cs="Arial"/>
          <w:szCs w:val="22"/>
        </w:rPr>
        <w:t xml:space="preserve">ten. </w:t>
      </w:r>
      <w:r w:rsidRPr="005F15DA">
        <w:rPr>
          <w:rFonts w:cs="Arial"/>
          <w:szCs w:val="22"/>
          <w:u w:val="single"/>
        </w:rPr>
        <w:t>Öffentlichrechtliche Grundlasten</w:t>
      </w:r>
      <w:r w:rsidRPr="005F15DA">
        <w:rPr>
          <w:rFonts w:cs="Arial"/>
          <w:szCs w:val="22"/>
        </w:rPr>
        <w:t xml:space="preserve"> beinhalten die Verpflichtung zu Geld- oder Arbeit</w:t>
      </w:r>
      <w:r w:rsidRPr="005F15DA">
        <w:rPr>
          <w:rFonts w:cs="Arial"/>
          <w:szCs w:val="22"/>
        </w:rPr>
        <w:t>s</w:t>
      </w:r>
      <w:r w:rsidRPr="005F15DA">
        <w:rPr>
          <w:rFonts w:cs="Arial"/>
          <w:szCs w:val="22"/>
        </w:rPr>
        <w:t>leistungen an den Staat, die Gemeinden oder öffentlich-rechtliche Verbände</w:t>
      </w:r>
      <w:r w:rsidR="008E24C5" w:rsidRPr="005F15DA">
        <w:rPr>
          <w:rFonts w:cs="Arial"/>
          <w:szCs w:val="22"/>
        </w:rPr>
        <w:t>. Beispiele für diese Art von Leistungen sind Brandversicherungsbeiträge, Perimeterbeiträge, usw. Ö</w:t>
      </w:r>
      <w:r w:rsidR="008E24C5" w:rsidRPr="005F15DA">
        <w:rPr>
          <w:rFonts w:cs="Arial"/>
          <w:szCs w:val="22"/>
        </w:rPr>
        <w:t>f</w:t>
      </w:r>
      <w:r w:rsidR="008E24C5" w:rsidRPr="005F15DA">
        <w:rPr>
          <w:rFonts w:cs="Arial"/>
          <w:szCs w:val="22"/>
        </w:rPr>
        <w:t>fentlichrechtliche Grundlasten können entstehen: entweder unmittelbar kraft Gesetzes ohne Grundbucheintrag, oder durch Grundbucheintrag wenn das kantonale Recht nur e</w:t>
      </w:r>
      <w:r w:rsidR="008E24C5" w:rsidRPr="005F15DA">
        <w:rPr>
          <w:rFonts w:cs="Arial"/>
          <w:szCs w:val="22"/>
        </w:rPr>
        <w:t>i</w:t>
      </w:r>
      <w:r w:rsidR="008E24C5" w:rsidRPr="005F15DA">
        <w:rPr>
          <w:rFonts w:cs="Arial"/>
          <w:szCs w:val="22"/>
        </w:rPr>
        <w:t>nen Anspruch auf ihre Errichtung gibt.</w:t>
      </w:r>
    </w:p>
    <w:p w:rsidR="008E24C5" w:rsidRPr="005F15DA" w:rsidRDefault="008E24C5" w:rsidP="008851FF">
      <w:pPr>
        <w:tabs>
          <w:tab w:val="left" w:pos="426"/>
        </w:tabs>
        <w:spacing w:line="240" w:lineRule="auto"/>
        <w:jc w:val="both"/>
        <w:rPr>
          <w:rFonts w:cs="Arial"/>
          <w:szCs w:val="22"/>
        </w:rPr>
      </w:pPr>
    </w:p>
    <w:p w:rsidR="008E24C5" w:rsidRPr="005F15DA" w:rsidRDefault="008E24C5" w:rsidP="008851FF">
      <w:pPr>
        <w:tabs>
          <w:tab w:val="left" w:pos="426"/>
        </w:tabs>
        <w:spacing w:line="240" w:lineRule="auto"/>
        <w:ind w:left="426" w:hanging="426"/>
        <w:jc w:val="both"/>
        <w:rPr>
          <w:rFonts w:cs="Arial"/>
          <w:szCs w:val="22"/>
        </w:rPr>
      </w:pPr>
      <w:r w:rsidRPr="005F15DA">
        <w:rPr>
          <w:rFonts w:cs="Arial"/>
          <w:szCs w:val="22"/>
        </w:rPr>
        <w:tab/>
        <w:t xml:space="preserve">Die </w:t>
      </w:r>
      <w:r w:rsidRPr="005F15DA">
        <w:rPr>
          <w:rFonts w:cs="Arial"/>
          <w:szCs w:val="22"/>
          <w:u w:val="single"/>
        </w:rPr>
        <w:t>privatrechtliche Grundlast</w:t>
      </w:r>
      <w:r w:rsidRPr="005F15DA">
        <w:rPr>
          <w:rFonts w:cs="Arial"/>
          <w:szCs w:val="22"/>
        </w:rPr>
        <w:t xml:space="preserve"> kann nur eine Leistung zum Inhalt haben, welche sich aus der wirtschaftlichen Natur des belasteten Grundstückes ergibt oder die für die wirtschaftl</w:t>
      </w:r>
      <w:r w:rsidRPr="005F15DA">
        <w:rPr>
          <w:rFonts w:cs="Arial"/>
          <w:szCs w:val="22"/>
        </w:rPr>
        <w:t>i</w:t>
      </w:r>
      <w:r w:rsidRPr="005F15DA">
        <w:rPr>
          <w:rFonts w:cs="Arial"/>
          <w:szCs w:val="22"/>
        </w:rPr>
        <w:t>chen Bedürfnisse des berechtigten Grundstückes bestimmt ist. Beispiel: Zaunerste</w:t>
      </w:r>
      <w:r w:rsidRPr="005F15DA">
        <w:rPr>
          <w:rFonts w:cs="Arial"/>
          <w:szCs w:val="22"/>
        </w:rPr>
        <w:t>l</w:t>
      </w:r>
      <w:r w:rsidRPr="005F15DA">
        <w:rPr>
          <w:rFonts w:cs="Arial"/>
          <w:szCs w:val="22"/>
        </w:rPr>
        <w:t>lungspflicht als Last auf Seldwyla-Grundbuchblatt Nr. 820 zu Gunsten Seldwyla-Grundbuchblatt Nr. 224, Gesamtwert Fr. 500.—.</w:t>
      </w:r>
    </w:p>
    <w:p w:rsidR="003372A6" w:rsidRPr="005F15DA" w:rsidRDefault="003372A6" w:rsidP="008851FF">
      <w:pPr>
        <w:tabs>
          <w:tab w:val="left" w:pos="426"/>
        </w:tabs>
        <w:spacing w:line="240" w:lineRule="auto"/>
        <w:jc w:val="both"/>
        <w:rPr>
          <w:rFonts w:cs="Arial"/>
          <w:szCs w:val="22"/>
        </w:rPr>
      </w:pPr>
    </w:p>
    <w:p w:rsidR="009F318D" w:rsidRPr="005F15DA" w:rsidRDefault="009F318D" w:rsidP="008851FF">
      <w:pPr>
        <w:tabs>
          <w:tab w:val="left" w:pos="426"/>
        </w:tabs>
        <w:spacing w:line="240" w:lineRule="auto"/>
        <w:jc w:val="both"/>
        <w:rPr>
          <w:rFonts w:cs="Arial"/>
          <w:szCs w:val="22"/>
        </w:rPr>
      </w:pPr>
    </w:p>
    <w:p w:rsidR="003372A6" w:rsidRPr="005F15DA" w:rsidRDefault="003372A6" w:rsidP="005B0708">
      <w:pPr>
        <w:pStyle w:val="berschrift4"/>
      </w:pPr>
      <w:r w:rsidRPr="005F15DA">
        <w:t>2.</w:t>
      </w:r>
      <w:r w:rsidRPr="005F15DA">
        <w:tab/>
        <w:t>Errichtung</w:t>
      </w:r>
    </w:p>
    <w:p w:rsidR="003372A6" w:rsidRPr="005F15DA" w:rsidRDefault="003372A6" w:rsidP="008851FF">
      <w:pPr>
        <w:tabs>
          <w:tab w:val="left" w:pos="426"/>
        </w:tabs>
        <w:spacing w:line="240" w:lineRule="auto"/>
        <w:ind w:left="426" w:hanging="426"/>
        <w:jc w:val="both"/>
        <w:rPr>
          <w:rFonts w:cs="Arial"/>
          <w:szCs w:val="22"/>
        </w:rPr>
      </w:pPr>
      <w:r w:rsidRPr="005F15DA">
        <w:rPr>
          <w:rFonts w:cs="Arial"/>
          <w:szCs w:val="22"/>
        </w:rPr>
        <w:tab/>
      </w:r>
      <w:r w:rsidR="008E24C5" w:rsidRPr="005F15DA">
        <w:rPr>
          <w:rFonts w:cs="Arial"/>
          <w:szCs w:val="22"/>
        </w:rPr>
        <w:t>Erwerbsgrund der Grundlast ist im Normalfall ein Vertrag, welcher öffentlich beurkundet werden muss. Als weiterer Erwerbsgrund kommt auch noch die Ersitzung in Frage.</w:t>
      </w:r>
    </w:p>
    <w:p w:rsidR="008E24C5" w:rsidRPr="005F15DA" w:rsidRDefault="008E24C5" w:rsidP="008851FF">
      <w:pPr>
        <w:tabs>
          <w:tab w:val="left" w:pos="426"/>
        </w:tabs>
        <w:spacing w:line="240" w:lineRule="auto"/>
        <w:jc w:val="both"/>
        <w:rPr>
          <w:rFonts w:cs="Arial"/>
          <w:szCs w:val="22"/>
        </w:rPr>
      </w:pPr>
    </w:p>
    <w:p w:rsidR="00F93070" w:rsidRPr="005F15DA" w:rsidRDefault="008E24C5" w:rsidP="008851FF">
      <w:pPr>
        <w:tabs>
          <w:tab w:val="left" w:pos="426"/>
        </w:tabs>
        <w:spacing w:line="240" w:lineRule="auto"/>
        <w:ind w:left="426" w:hanging="426"/>
        <w:jc w:val="both"/>
        <w:rPr>
          <w:rFonts w:cs="Arial"/>
          <w:szCs w:val="22"/>
        </w:rPr>
      </w:pPr>
      <w:r w:rsidRPr="005F15DA">
        <w:rPr>
          <w:rFonts w:cs="Arial"/>
          <w:szCs w:val="22"/>
        </w:rPr>
        <w:tab/>
        <w:t>Die Grundlast ist ein dingliches Recht und entsteht deshalb erst mit der Eintragung im Grundbuch</w:t>
      </w:r>
      <w:r w:rsidR="00AC6674" w:rsidRPr="005F15DA">
        <w:rPr>
          <w:rFonts w:cs="Arial"/>
          <w:szCs w:val="22"/>
        </w:rPr>
        <w:t xml:space="preserve"> (Ausnahmen für einzelne öff</w:t>
      </w:r>
      <w:r w:rsidR="00F93070" w:rsidRPr="005F15DA">
        <w:rPr>
          <w:rFonts w:cs="Arial"/>
          <w:szCs w:val="22"/>
        </w:rPr>
        <w:t>entlichrechtliche Grundlasten).</w:t>
      </w:r>
    </w:p>
    <w:p w:rsidR="00F93070" w:rsidRPr="005F15DA" w:rsidRDefault="00F93070" w:rsidP="008851FF">
      <w:pPr>
        <w:tabs>
          <w:tab w:val="left" w:pos="426"/>
        </w:tabs>
        <w:spacing w:line="240" w:lineRule="auto"/>
        <w:jc w:val="both"/>
        <w:rPr>
          <w:rFonts w:cs="Arial"/>
          <w:szCs w:val="22"/>
        </w:rPr>
      </w:pPr>
    </w:p>
    <w:p w:rsidR="008E24C5" w:rsidRPr="005F15DA" w:rsidRDefault="00F93070" w:rsidP="008851FF">
      <w:pPr>
        <w:tabs>
          <w:tab w:val="left" w:pos="426"/>
        </w:tabs>
        <w:spacing w:line="240" w:lineRule="auto"/>
        <w:ind w:left="426" w:hanging="426"/>
        <w:jc w:val="both"/>
        <w:rPr>
          <w:rFonts w:cs="Arial"/>
          <w:szCs w:val="22"/>
        </w:rPr>
      </w:pPr>
      <w:r w:rsidRPr="005F15DA">
        <w:rPr>
          <w:rFonts w:cs="Arial"/>
          <w:szCs w:val="22"/>
        </w:rPr>
        <w:tab/>
        <w:t>Bei der Begründung ist ein Gesamtwert (Schätzwert) in Schweizer Franken anzugeben. Der Gesamtwert kann unter den Parteien frei festgesetzt werden; häufig entspricht der Gesamtwert dem 20-fachen der Jahresleistung.</w:t>
      </w:r>
    </w:p>
    <w:p w:rsidR="008C1D44" w:rsidRPr="005F15DA" w:rsidRDefault="008C1D44" w:rsidP="008851FF">
      <w:pPr>
        <w:tabs>
          <w:tab w:val="left" w:pos="426"/>
        </w:tabs>
        <w:spacing w:line="240" w:lineRule="auto"/>
        <w:ind w:left="426" w:hanging="426"/>
        <w:jc w:val="both"/>
        <w:rPr>
          <w:rFonts w:cs="Arial"/>
          <w:szCs w:val="22"/>
        </w:rPr>
      </w:pPr>
    </w:p>
    <w:p w:rsidR="008C1D44" w:rsidRPr="005F15DA" w:rsidRDefault="008C1D44" w:rsidP="008851FF">
      <w:pPr>
        <w:tabs>
          <w:tab w:val="left" w:pos="426"/>
        </w:tabs>
        <w:spacing w:line="240" w:lineRule="auto"/>
        <w:ind w:left="426" w:hanging="426"/>
        <w:jc w:val="both"/>
        <w:rPr>
          <w:rFonts w:cs="Arial"/>
          <w:szCs w:val="22"/>
        </w:rPr>
      </w:pPr>
      <w:r w:rsidRPr="005F15DA">
        <w:rPr>
          <w:rFonts w:cs="Arial"/>
          <w:szCs w:val="22"/>
        </w:rPr>
        <w:tab/>
        <w:t>Die Grundlast selber verjährt nicht. Die Einzelleistung unterliegt aber der Verjährung; die Verjährung beginnt drei Jahre nach der Fälligkeit (Umwandlung der Leistungspflicht von einer dinglichen in eine persönliche Schuld).</w:t>
      </w:r>
    </w:p>
    <w:p w:rsidR="003372A6" w:rsidRPr="005F15DA" w:rsidRDefault="003372A6" w:rsidP="008851FF">
      <w:pPr>
        <w:tabs>
          <w:tab w:val="left" w:pos="426"/>
        </w:tabs>
        <w:spacing w:line="240" w:lineRule="auto"/>
        <w:jc w:val="both"/>
        <w:rPr>
          <w:rFonts w:cs="Arial"/>
          <w:szCs w:val="22"/>
        </w:rPr>
      </w:pPr>
    </w:p>
    <w:p w:rsidR="009F318D" w:rsidRPr="005F15DA" w:rsidRDefault="009F318D" w:rsidP="008851FF">
      <w:pPr>
        <w:tabs>
          <w:tab w:val="left" w:pos="426"/>
        </w:tabs>
        <w:spacing w:line="240" w:lineRule="auto"/>
        <w:jc w:val="both"/>
        <w:rPr>
          <w:rFonts w:cs="Arial"/>
          <w:szCs w:val="22"/>
        </w:rPr>
      </w:pPr>
    </w:p>
    <w:p w:rsidR="003372A6" w:rsidRPr="005F15DA" w:rsidRDefault="003372A6" w:rsidP="005B0708">
      <w:pPr>
        <w:pStyle w:val="berschrift4"/>
      </w:pPr>
      <w:r w:rsidRPr="005F15DA">
        <w:t>3.</w:t>
      </w:r>
      <w:r w:rsidRPr="005F15DA">
        <w:tab/>
        <w:t>Untergang</w:t>
      </w:r>
    </w:p>
    <w:p w:rsidR="003372A6" w:rsidRPr="005F15DA" w:rsidRDefault="003372A6" w:rsidP="008851FF">
      <w:pPr>
        <w:tabs>
          <w:tab w:val="left" w:pos="426"/>
        </w:tabs>
        <w:spacing w:line="240" w:lineRule="auto"/>
        <w:jc w:val="both"/>
        <w:rPr>
          <w:rFonts w:cs="Arial"/>
          <w:szCs w:val="22"/>
        </w:rPr>
      </w:pPr>
      <w:r w:rsidRPr="005F15DA">
        <w:rPr>
          <w:rFonts w:cs="Arial"/>
          <w:szCs w:val="22"/>
        </w:rPr>
        <w:tab/>
      </w:r>
      <w:r w:rsidR="00F93070" w:rsidRPr="005F15DA">
        <w:rPr>
          <w:rFonts w:cs="Arial"/>
          <w:szCs w:val="22"/>
        </w:rPr>
        <w:t>Die Grundlast als dingliches Recht muss im Grundbuch gelöscht werden.</w:t>
      </w:r>
    </w:p>
    <w:p w:rsidR="00F93070" w:rsidRPr="005F15DA" w:rsidRDefault="00F93070" w:rsidP="008851FF">
      <w:pPr>
        <w:tabs>
          <w:tab w:val="left" w:pos="426"/>
        </w:tabs>
        <w:spacing w:line="240" w:lineRule="auto"/>
        <w:jc w:val="both"/>
        <w:rPr>
          <w:rFonts w:cs="Arial"/>
          <w:szCs w:val="22"/>
        </w:rPr>
      </w:pPr>
      <w:r w:rsidRPr="005F15DA">
        <w:rPr>
          <w:rFonts w:cs="Arial"/>
          <w:szCs w:val="22"/>
        </w:rPr>
        <w:tab/>
        <w:t>Untergangsgründe sind:</w:t>
      </w:r>
    </w:p>
    <w:p w:rsidR="00F93070" w:rsidRPr="005F15DA" w:rsidRDefault="00F93070" w:rsidP="008851FF">
      <w:pPr>
        <w:tabs>
          <w:tab w:val="left" w:pos="426"/>
          <w:tab w:val="left" w:pos="709"/>
        </w:tabs>
        <w:spacing w:line="240" w:lineRule="auto"/>
        <w:jc w:val="both"/>
        <w:rPr>
          <w:rFonts w:cs="Arial"/>
          <w:szCs w:val="22"/>
        </w:rPr>
      </w:pPr>
      <w:r w:rsidRPr="005F15DA">
        <w:rPr>
          <w:rFonts w:cs="Arial"/>
          <w:szCs w:val="22"/>
        </w:rPr>
        <w:tab/>
        <w:t>-</w:t>
      </w:r>
      <w:r w:rsidRPr="005F15DA">
        <w:rPr>
          <w:rFonts w:cs="Arial"/>
          <w:szCs w:val="22"/>
        </w:rPr>
        <w:tab/>
        <w:t>Untergang des belasteten Grundstückes,</w:t>
      </w:r>
    </w:p>
    <w:p w:rsidR="00F93070" w:rsidRPr="005F15DA" w:rsidRDefault="00F93070" w:rsidP="008851FF">
      <w:pPr>
        <w:tabs>
          <w:tab w:val="left" w:pos="426"/>
          <w:tab w:val="left" w:pos="709"/>
        </w:tabs>
        <w:spacing w:line="240" w:lineRule="auto"/>
        <w:jc w:val="both"/>
        <w:rPr>
          <w:rFonts w:cs="Arial"/>
          <w:szCs w:val="22"/>
        </w:rPr>
      </w:pPr>
      <w:r w:rsidRPr="005F15DA">
        <w:rPr>
          <w:rFonts w:cs="Arial"/>
          <w:szCs w:val="22"/>
        </w:rPr>
        <w:tab/>
        <w:t>-</w:t>
      </w:r>
      <w:r w:rsidRPr="005F15DA">
        <w:rPr>
          <w:rFonts w:cs="Arial"/>
          <w:szCs w:val="22"/>
        </w:rPr>
        <w:tab/>
        <w:t>Verzicht durch den Berechtigten,</w:t>
      </w:r>
    </w:p>
    <w:p w:rsidR="00F93070" w:rsidRPr="005F15DA" w:rsidRDefault="00F93070" w:rsidP="008851FF">
      <w:pPr>
        <w:tabs>
          <w:tab w:val="left" w:pos="426"/>
          <w:tab w:val="left" w:pos="709"/>
        </w:tabs>
        <w:spacing w:line="240" w:lineRule="auto"/>
        <w:jc w:val="both"/>
        <w:rPr>
          <w:rFonts w:cs="Arial"/>
          <w:szCs w:val="22"/>
        </w:rPr>
      </w:pPr>
      <w:r w:rsidRPr="005F15DA">
        <w:rPr>
          <w:rFonts w:cs="Arial"/>
          <w:szCs w:val="22"/>
        </w:rPr>
        <w:tab/>
        <w:t>-</w:t>
      </w:r>
      <w:r w:rsidRPr="005F15DA">
        <w:rPr>
          <w:rFonts w:cs="Arial"/>
          <w:szCs w:val="22"/>
        </w:rPr>
        <w:tab/>
        <w:t>Ablösung durch den Belasteten (Schuldner),</w:t>
      </w:r>
    </w:p>
    <w:p w:rsidR="00F93070" w:rsidRPr="005F15DA" w:rsidRDefault="00F93070" w:rsidP="008851FF">
      <w:pPr>
        <w:tabs>
          <w:tab w:val="left" w:pos="426"/>
          <w:tab w:val="left" w:pos="709"/>
        </w:tabs>
        <w:spacing w:line="240" w:lineRule="auto"/>
        <w:jc w:val="both"/>
        <w:rPr>
          <w:rFonts w:cs="Arial"/>
          <w:szCs w:val="22"/>
        </w:rPr>
      </w:pPr>
      <w:r w:rsidRPr="005F15DA">
        <w:rPr>
          <w:rFonts w:cs="Arial"/>
          <w:szCs w:val="22"/>
        </w:rPr>
        <w:tab/>
        <w:t>-</w:t>
      </w:r>
      <w:r w:rsidRPr="005F15DA">
        <w:rPr>
          <w:rFonts w:cs="Arial"/>
          <w:szCs w:val="22"/>
        </w:rPr>
        <w:tab/>
        <w:t>Ablösung durch den Berechtigten (Gläubiger).</w:t>
      </w:r>
    </w:p>
    <w:p w:rsidR="00F93070" w:rsidRPr="005F15DA" w:rsidRDefault="00F93070" w:rsidP="008851FF">
      <w:pPr>
        <w:tabs>
          <w:tab w:val="left" w:pos="426"/>
          <w:tab w:val="left" w:pos="709"/>
        </w:tabs>
        <w:spacing w:line="240" w:lineRule="auto"/>
        <w:jc w:val="both"/>
        <w:rPr>
          <w:rFonts w:cs="Arial"/>
          <w:szCs w:val="22"/>
        </w:rPr>
      </w:pPr>
    </w:p>
    <w:p w:rsidR="00DD7C09" w:rsidRPr="005F15DA" w:rsidRDefault="00F93070" w:rsidP="008851FF">
      <w:pPr>
        <w:tabs>
          <w:tab w:val="left" w:pos="426"/>
          <w:tab w:val="left" w:pos="709"/>
        </w:tabs>
        <w:spacing w:line="240" w:lineRule="auto"/>
        <w:jc w:val="both"/>
        <w:rPr>
          <w:rFonts w:cs="Arial"/>
          <w:szCs w:val="22"/>
        </w:rPr>
      </w:pPr>
      <w:r w:rsidRPr="005F15DA">
        <w:rPr>
          <w:rFonts w:cs="Arial"/>
          <w:szCs w:val="22"/>
        </w:rPr>
        <w:tab/>
        <w:t xml:space="preserve">Der Belastete kann die Ablösung (und Löschung des Eintrages) verlangen, </w:t>
      </w:r>
    </w:p>
    <w:p w:rsidR="00DD7C09" w:rsidRPr="005F15DA" w:rsidRDefault="00DD7C09" w:rsidP="008851FF">
      <w:pPr>
        <w:tabs>
          <w:tab w:val="left" w:pos="426"/>
          <w:tab w:val="left" w:pos="709"/>
        </w:tabs>
        <w:spacing w:line="240" w:lineRule="auto"/>
        <w:ind w:left="709" w:hanging="709"/>
        <w:jc w:val="both"/>
        <w:rPr>
          <w:rFonts w:cs="Arial"/>
          <w:szCs w:val="22"/>
        </w:rPr>
      </w:pPr>
      <w:r w:rsidRPr="005F15DA">
        <w:rPr>
          <w:rFonts w:cs="Arial"/>
          <w:szCs w:val="22"/>
        </w:rPr>
        <w:tab/>
        <w:t>-</w:t>
      </w:r>
      <w:r w:rsidRPr="005F15DA">
        <w:rPr>
          <w:rFonts w:cs="Arial"/>
          <w:szCs w:val="22"/>
        </w:rPr>
        <w:tab/>
      </w:r>
      <w:r w:rsidR="00F93070" w:rsidRPr="005F15DA">
        <w:rPr>
          <w:rFonts w:cs="Arial"/>
          <w:szCs w:val="22"/>
        </w:rPr>
        <w:t xml:space="preserve">wenn der Ablösungsgrund gemäss Begründungsvertrag eintritt (z.B. Zeitablauf), oder </w:t>
      </w:r>
    </w:p>
    <w:p w:rsidR="00F93070" w:rsidRPr="005F15DA" w:rsidRDefault="00DD7C09" w:rsidP="008851FF">
      <w:pPr>
        <w:tabs>
          <w:tab w:val="left" w:pos="426"/>
          <w:tab w:val="left" w:pos="709"/>
        </w:tabs>
        <w:spacing w:line="240" w:lineRule="auto"/>
        <w:jc w:val="both"/>
        <w:rPr>
          <w:rFonts w:cs="Arial"/>
          <w:szCs w:val="22"/>
        </w:rPr>
      </w:pPr>
      <w:r w:rsidRPr="005F15DA">
        <w:rPr>
          <w:rFonts w:cs="Arial"/>
          <w:szCs w:val="22"/>
        </w:rPr>
        <w:tab/>
        <w:t>-</w:t>
      </w:r>
      <w:r w:rsidRPr="005F15DA">
        <w:rPr>
          <w:rFonts w:cs="Arial"/>
          <w:szCs w:val="22"/>
        </w:rPr>
        <w:tab/>
      </w:r>
      <w:r w:rsidR="00F93070" w:rsidRPr="005F15DA">
        <w:rPr>
          <w:rFonts w:cs="Arial"/>
          <w:szCs w:val="22"/>
        </w:rPr>
        <w:t xml:space="preserve">wenn der </w:t>
      </w:r>
      <w:r w:rsidRPr="005F15DA">
        <w:rPr>
          <w:rFonts w:cs="Arial"/>
          <w:szCs w:val="22"/>
        </w:rPr>
        <w:t>Vertrag vom Berechtigten nicht eingehalten wird, oder</w:t>
      </w:r>
    </w:p>
    <w:p w:rsidR="00DD7C09" w:rsidRPr="005F15DA" w:rsidRDefault="00DD7C09" w:rsidP="008851FF">
      <w:pPr>
        <w:tabs>
          <w:tab w:val="left" w:pos="426"/>
          <w:tab w:val="left" w:pos="709"/>
        </w:tabs>
        <w:spacing w:line="240" w:lineRule="auto"/>
        <w:ind w:left="709" w:hanging="709"/>
        <w:jc w:val="both"/>
        <w:rPr>
          <w:rFonts w:cs="Arial"/>
          <w:szCs w:val="22"/>
        </w:rPr>
      </w:pPr>
      <w:r w:rsidRPr="005F15DA">
        <w:rPr>
          <w:rFonts w:cs="Arial"/>
          <w:szCs w:val="22"/>
        </w:rPr>
        <w:tab/>
        <w:t>-</w:t>
      </w:r>
      <w:r w:rsidRPr="005F15DA">
        <w:rPr>
          <w:rFonts w:cs="Arial"/>
          <w:szCs w:val="22"/>
        </w:rPr>
        <w:tab/>
        <w:t>nach Ablauf von 30 Jahren seit Grundbucheintrag (diesfalls muss eine 1-jährige Kü</w:t>
      </w:r>
      <w:r w:rsidRPr="005F15DA">
        <w:rPr>
          <w:rFonts w:cs="Arial"/>
          <w:szCs w:val="22"/>
        </w:rPr>
        <w:t>n</w:t>
      </w:r>
      <w:r w:rsidRPr="005F15DA">
        <w:rPr>
          <w:rFonts w:cs="Arial"/>
          <w:szCs w:val="22"/>
        </w:rPr>
        <w:t>digungsfrist eingehalten werden).</w:t>
      </w:r>
    </w:p>
    <w:p w:rsidR="00DD7C09" w:rsidRPr="005F15DA" w:rsidRDefault="00DD7C09" w:rsidP="008851FF">
      <w:pPr>
        <w:tabs>
          <w:tab w:val="left" w:pos="426"/>
          <w:tab w:val="left" w:pos="709"/>
        </w:tabs>
        <w:spacing w:line="240" w:lineRule="auto"/>
        <w:jc w:val="both"/>
        <w:rPr>
          <w:rFonts w:cs="Arial"/>
          <w:szCs w:val="22"/>
        </w:rPr>
      </w:pPr>
      <w:r w:rsidRPr="005F15DA">
        <w:rPr>
          <w:rFonts w:cs="Arial"/>
          <w:szCs w:val="22"/>
        </w:rPr>
        <w:tab/>
        <w:t>Die Ablösung erfolgt durch Zahlung des Gesamtwertes an den Berechtigten.</w:t>
      </w:r>
    </w:p>
    <w:p w:rsidR="00DD7C09" w:rsidRPr="005F15DA" w:rsidRDefault="00DD7C09" w:rsidP="008851FF">
      <w:pPr>
        <w:tabs>
          <w:tab w:val="left" w:pos="426"/>
        </w:tabs>
        <w:spacing w:line="240" w:lineRule="auto"/>
        <w:ind w:left="426" w:hanging="426"/>
        <w:jc w:val="both"/>
        <w:rPr>
          <w:rFonts w:cs="Arial"/>
          <w:szCs w:val="22"/>
        </w:rPr>
      </w:pPr>
      <w:r w:rsidRPr="005F15DA">
        <w:rPr>
          <w:rFonts w:cs="Arial"/>
          <w:szCs w:val="22"/>
        </w:rPr>
        <w:tab/>
        <w:t>Bei der Teilung des belasteten Grundstückes ist die Grundlast analog der Grundpfan</w:t>
      </w:r>
      <w:r w:rsidRPr="005F15DA">
        <w:rPr>
          <w:rFonts w:cs="Arial"/>
          <w:szCs w:val="22"/>
        </w:rPr>
        <w:t>d</w:t>
      </w:r>
      <w:r w:rsidRPr="005F15DA">
        <w:rPr>
          <w:rFonts w:cs="Arial"/>
          <w:szCs w:val="22"/>
        </w:rPr>
        <w:t>verschreibung auf die neuen Teilstücke zu verlegen.</w:t>
      </w:r>
    </w:p>
    <w:p w:rsidR="006A5FCA" w:rsidRDefault="006A5FCA">
      <w:pPr>
        <w:spacing w:after="200"/>
        <w:rPr>
          <w:rFonts w:cs="Arial"/>
          <w:szCs w:val="22"/>
        </w:rPr>
      </w:pPr>
      <w:r>
        <w:rPr>
          <w:rFonts w:cs="Arial"/>
          <w:szCs w:val="22"/>
        </w:rPr>
        <w:br w:type="page"/>
      </w:r>
    </w:p>
    <w:p w:rsidR="004E576A" w:rsidRPr="005F15DA" w:rsidRDefault="004E576A" w:rsidP="00E36E8F">
      <w:pPr>
        <w:pStyle w:val="berschrift2"/>
      </w:pPr>
      <w:bookmarkStart w:id="155" w:name="_Toc432175675"/>
      <w:r w:rsidRPr="005F15DA">
        <w:lastRenderedPageBreak/>
        <w:t>VI. Das Grundpfand (Art. 793 ff. ZGB)</w:t>
      </w:r>
      <w:bookmarkEnd w:id="155"/>
    </w:p>
    <w:p w:rsidR="00E90D39" w:rsidRPr="005F15DA" w:rsidRDefault="00E90D39" w:rsidP="00E90D39">
      <w:r w:rsidRPr="005F15DA">
        <w:t>______________________________________________</w:t>
      </w:r>
    </w:p>
    <w:p w:rsidR="004E576A" w:rsidRPr="005F15DA" w:rsidRDefault="004E576A" w:rsidP="004E576A">
      <w:pPr>
        <w:spacing w:line="240" w:lineRule="auto"/>
        <w:rPr>
          <w:rFonts w:cs="Arial"/>
          <w:szCs w:val="22"/>
        </w:rPr>
      </w:pPr>
    </w:p>
    <w:p w:rsidR="004E576A" w:rsidRPr="005F15DA" w:rsidRDefault="009F318D" w:rsidP="005759BE">
      <w:pPr>
        <w:pStyle w:val="berschrift3"/>
        <w:rPr>
          <w:lang w:val="de-CH"/>
        </w:rPr>
      </w:pPr>
      <w:bookmarkStart w:id="156" w:name="_Toc432175676"/>
      <w:r w:rsidRPr="005F15DA">
        <w:rPr>
          <w:lang w:val="de-CH"/>
        </w:rPr>
        <w:t>A.</w:t>
      </w:r>
      <w:r w:rsidRPr="005F15DA">
        <w:rPr>
          <w:lang w:val="de-CH"/>
        </w:rPr>
        <w:tab/>
      </w:r>
      <w:r w:rsidR="004E576A" w:rsidRPr="005F15DA">
        <w:rPr>
          <w:lang w:val="de-CH"/>
        </w:rPr>
        <w:t>Allgemeine Bestimmungen (Art. 793 -823 ZGB)</w:t>
      </w:r>
      <w:bookmarkEnd w:id="156"/>
    </w:p>
    <w:p w:rsidR="004E576A" w:rsidRPr="005F15DA" w:rsidRDefault="004E576A" w:rsidP="008851FF">
      <w:pPr>
        <w:spacing w:line="240" w:lineRule="auto"/>
        <w:jc w:val="both"/>
        <w:rPr>
          <w:rFonts w:cs="Arial"/>
          <w:szCs w:val="22"/>
        </w:rPr>
      </w:pPr>
    </w:p>
    <w:p w:rsidR="004E576A" w:rsidRPr="005F15DA" w:rsidRDefault="00DD7C09" w:rsidP="005B0708">
      <w:pPr>
        <w:pStyle w:val="berschrift4"/>
      </w:pPr>
      <w:r w:rsidRPr="005F15DA">
        <w:t>1.</w:t>
      </w:r>
      <w:r w:rsidRPr="005F15DA">
        <w:tab/>
        <w:t>Arten</w:t>
      </w:r>
    </w:p>
    <w:p w:rsidR="00B771A4" w:rsidRPr="005F15DA" w:rsidRDefault="00DD7C09" w:rsidP="008851FF">
      <w:pPr>
        <w:tabs>
          <w:tab w:val="left" w:pos="426"/>
        </w:tabs>
        <w:spacing w:line="240" w:lineRule="auto"/>
        <w:ind w:left="426" w:hanging="426"/>
        <w:jc w:val="both"/>
        <w:rPr>
          <w:rFonts w:cs="Arial"/>
          <w:szCs w:val="22"/>
        </w:rPr>
      </w:pPr>
      <w:r w:rsidRPr="005F15DA">
        <w:rPr>
          <w:rFonts w:cs="Arial"/>
          <w:szCs w:val="22"/>
        </w:rPr>
        <w:tab/>
        <w:t xml:space="preserve">Seit dem 1.1.2012 gibt es nur noch die </w:t>
      </w:r>
    </w:p>
    <w:p w:rsidR="00B771A4" w:rsidRPr="005F15DA" w:rsidRDefault="00DD7C09" w:rsidP="009D34F3">
      <w:pPr>
        <w:pStyle w:val="Listenabsatz"/>
        <w:numPr>
          <w:ilvl w:val="0"/>
          <w:numId w:val="14"/>
        </w:numPr>
        <w:tabs>
          <w:tab w:val="left" w:pos="426"/>
        </w:tabs>
        <w:spacing w:line="240" w:lineRule="auto"/>
        <w:ind w:left="851" w:hanging="425"/>
        <w:jc w:val="both"/>
        <w:rPr>
          <w:rFonts w:cs="Arial"/>
          <w:szCs w:val="22"/>
        </w:rPr>
      </w:pPr>
      <w:r w:rsidRPr="005F15DA">
        <w:rPr>
          <w:rFonts w:cs="Arial"/>
          <w:szCs w:val="22"/>
        </w:rPr>
        <w:t xml:space="preserve">Grundpfandverschreibung und den </w:t>
      </w:r>
    </w:p>
    <w:p w:rsidR="00B771A4" w:rsidRPr="005F15DA" w:rsidRDefault="00DD7C09" w:rsidP="009D34F3">
      <w:pPr>
        <w:pStyle w:val="Listenabsatz"/>
        <w:numPr>
          <w:ilvl w:val="0"/>
          <w:numId w:val="14"/>
        </w:numPr>
        <w:tabs>
          <w:tab w:val="left" w:pos="426"/>
        </w:tabs>
        <w:spacing w:line="240" w:lineRule="auto"/>
        <w:ind w:left="851" w:hanging="425"/>
        <w:jc w:val="both"/>
        <w:rPr>
          <w:rFonts w:cs="Arial"/>
          <w:szCs w:val="22"/>
        </w:rPr>
      </w:pPr>
      <w:r w:rsidRPr="005F15DA">
        <w:rPr>
          <w:rFonts w:cs="Arial"/>
          <w:szCs w:val="22"/>
        </w:rPr>
        <w:t xml:space="preserve">Schuldbrief </w:t>
      </w:r>
    </w:p>
    <w:p w:rsidR="00B771A4" w:rsidRPr="005F15DA" w:rsidRDefault="00B771A4" w:rsidP="008851FF">
      <w:pPr>
        <w:tabs>
          <w:tab w:val="left" w:pos="426"/>
        </w:tabs>
        <w:spacing w:line="240" w:lineRule="auto"/>
        <w:ind w:left="426" w:hanging="426"/>
        <w:jc w:val="both"/>
        <w:rPr>
          <w:rFonts w:cs="Arial"/>
          <w:szCs w:val="22"/>
        </w:rPr>
      </w:pPr>
      <w:r w:rsidRPr="005F15DA">
        <w:rPr>
          <w:rFonts w:cs="Arial"/>
          <w:szCs w:val="22"/>
        </w:rPr>
        <w:tab/>
      </w:r>
      <w:r w:rsidR="00DD7C09" w:rsidRPr="005F15DA">
        <w:rPr>
          <w:rFonts w:cs="Arial"/>
          <w:szCs w:val="22"/>
        </w:rPr>
        <w:t>(die Gült gibt es nicht mehr).</w:t>
      </w:r>
      <w:r w:rsidR="00460F0B" w:rsidRPr="005F15DA">
        <w:rPr>
          <w:rFonts w:cs="Arial"/>
          <w:szCs w:val="22"/>
        </w:rPr>
        <w:t xml:space="preserve"> </w:t>
      </w:r>
    </w:p>
    <w:p w:rsidR="00DD7C09" w:rsidRPr="005F15DA" w:rsidRDefault="00B771A4" w:rsidP="008851FF">
      <w:pPr>
        <w:tabs>
          <w:tab w:val="left" w:pos="426"/>
        </w:tabs>
        <w:spacing w:line="240" w:lineRule="auto"/>
        <w:ind w:left="426" w:hanging="426"/>
        <w:jc w:val="both"/>
        <w:rPr>
          <w:rFonts w:cs="Arial"/>
          <w:szCs w:val="22"/>
        </w:rPr>
      </w:pPr>
      <w:r w:rsidRPr="005F15DA">
        <w:rPr>
          <w:rFonts w:cs="Arial"/>
          <w:szCs w:val="22"/>
        </w:rPr>
        <w:tab/>
      </w:r>
      <w:r w:rsidR="00460F0B" w:rsidRPr="005F15DA">
        <w:rPr>
          <w:rFonts w:cs="Arial"/>
          <w:szCs w:val="22"/>
        </w:rPr>
        <w:t xml:space="preserve">Beides sind </w:t>
      </w:r>
      <w:r w:rsidR="00460F0B" w:rsidRPr="00C0637F">
        <w:rPr>
          <w:rFonts w:cs="Arial"/>
          <w:b/>
          <w:szCs w:val="22"/>
        </w:rPr>
        <w:t>vertragliche Grundpfandrechte</w:t>
      </w:r>
      <w:r w:rsidR="00460F0B" w:rsidRPr="005F15DA">
        <w:rPr>
          <w:rFonts w:cs="Arial"/>
          <w:szCs w:val="22"/>
        </w:rPr>
        <w:t>.</w:t>
      </w:r>
    </w:p>
    <w:p w:rsidR="00460F0B" w:rsidRPr="005F15DA" w:rsidRDefault="00460F0B" w:rsidP="008851FF">
      <w:pPr>
        <w:tabs>
          <w:tab w:val="left" w:pos="426"/>
        </w:tabs>
        <w:spacing w:line="240" w:lineRule="auto"/>
        <w:ind w:left="426" w:hanging="426"/>
        <w:jc w:val="both"/>
        <w:rPr>
          <w:rFonts w:cs="Arial"/>
          <w:szCs w:val="22"/>
        </w:rPr>
      </w:pPr>
    </w:p>
    <w:p w:rsidR="00460F0B" w:rsidRPr="005F15DA" w:rsidRDefault="00460F0B" w:rsidP="008851FF">
      <w:pPr>
        <w:tabs>
          <w:tab w:val="left" w:pos="426"/>
        </w:tabs>
        <w:spacing w:line="240" w:lineRule="auto"/>
        <w:ind w:left="426" w:hanging="426"/>
        <w:jc w:val="both"/>
        <w:rPr>
          <w:rFonts w:cs="Arial"/>
          <w:szCs w:val="22"/>
        </w:rPr>
      </w:pPr>
      <w:r w:rsidRPr="005F15DA">
        <w:rPr>
          <w:rFonts w:cs="Arial"/>
          <w:szCs w:val="22"/>
        </w:rPr>
        <w:tab/>
        <w:t xml:space="preserve">Neben den vertraglichen Grundpfandrechten gibt es auch noch </w:t>
      </w:r>
      <w:r w:rsidRPr="00C0637F">
        <w:rPr>
          <w:rFonts w:cs="Arial"/>
          <w:b/>
          <w:szCs w:val="22"/>
        </w:rPr>
        <w:t>gesetzliche Grun</w:t>
      </w:r>
      <w:r w:rsidRPr="00C0637F">
        <w:rPr>
          <w:rFonts w:cs="Arial"/>
          <w:b/>
          <w:szCs w:val="22"/>
        </w:rPr>
        <w:t>d</w:t>
      </w:r>
      <w:r w:rsidRPr="00C0637F">
        <w:rPr>
          <w:rFonts w:cs="Arial"/>
          <w:b/>
          <w:szCs w:val="22"/>
        </w:rPr>
        <w:t>pfandrechte</w:t>
      </w:r>
      <w:r w:rsidR="00A54235" w:rsidRPr="005F15DA">
        <w:rPr>
          <w:rFonts w:cs="Arial"/>
          <w:szCs w:val="22"/>
        </w:rPr>
        <w:t>, zum Beispiel:</w:t>
      </w:r>
    </w:p>
    <w:p w:rsidR="00154FD8" w:rsidRPr="005F15DA" w:rsidRDefault="00460F0B" w:rsidP="009D34F3">
      <w:pPr>
        <w:pStyle w:val="Listenabsatz"/>
        <w:numPr>
          <w:ilvl w:val="0"/>
          <w:numId w:val="15"/>
        </w:numPr>
        <w:tabs>
          <w:tab w:val="left" w:pos="426"/>
          <w:tab w:val="left" w:pos="851"/>
        </w:tabs>
        <w:spacing w:line="240" w:lineRule="auto"/>
        <w:ind w:left="851" w:hanging="491"/>
        <w:jc w:val="both"/>
        <w:rPr>
          <w:rFonts w:cs="Arial"/>
          <w:szCs w:val="22"/>
        </w:rPr>
      </w:pPr>
      <w:r w:rsidRPr="005F15DA">
        <w:rPr>
          <w:rFonts w:cs="Arial"/>
          <w:szCs w:val="22"/>
        </w:rPr>
        <w:t>Verkäuferpfandrecht</w:t>
      </w:r>
      <w:r w:rsidR="00345AAB" w:rsidRPr="005F15DA">
        <w:rPr>
          <w:rFonts w:cs="Arial"/>
          <w:szCs w:val="22"/>
        </w:rPr>
        <w:t xml:space="preserve"> </w:t>
      </w:r>
      <w:r w:rsidR="00154FD8" w:rsidRPr="005F15DA">
        <w:rPr>
          <w:rFonts w:cs="Arial"/>
          <w:szCs w:val="22"/>
        </w:rPr>
        <w:t>(Art. 837 ZGB)</w:t>
      </w:r>
      <w:r w:rsidR="000B43BA" w:rsidRPr="005F15DA">
        <w:rPr>
          <w:rFonts w:cs="Arial"/>
          <w:szCs w:val="22"/>
        </w:rPr>
        <w:t xml:space="preserve"> </w:t>
      </w:r>
    </w:p>
    <w:p w:rsidR="00A54235" w:rsidRPr="005F15DA" w:rsidRDefault="00A54235" w:rsidP="009D34F3">
      <w:pPr>
        <w:pStyle w:val="Listenabsatz"/>
        <w:numPr>
          <w:ilvl w:val="0"/>
          <w:numId w:val="15"/>
        </w:numPr>
        <w:tabs>
          <w:tab w:val="left" w:pos="426"/>
          <w:tab w:val="left" w:pos="851"/>
        </w:tabs>
        <w:spacing w:line="240" w:lineRule="auto"/>
        <w:ind w:left="851" w:hanging="491"/>
        <w:jc w:val="both"/>
        <w:rPr>
          <w:rFonts w:cs="Arial"/>
          <w:szCs w:val="22"/>
        </w:rPr>
      </w:pPr>
      <w:r w:rsidRPr="005F15DA">
        <w:rPr>
          <w:rFonts w:cs="Arial"/>
          <w:szCs w:val="22"/>
        </w:rPr>
        <w:t>Pfandrecht der Miterben und Gemeinder aus Teilung (Art. 837 ZGB)</w:t>
      </w:r>
    </w:p>
    <w:p w:rsidR="00A54235" w:rsidRPr="005F15DA" w:rsidRDefault="00A54235" w:rsidP="009D34F3">
      <w:pPr>
        <w:pStyle w:val="Listenabsatz"/>
        <w:numPr>
          <w:ilvl w:val="0"/>
          <w:numId w:val="15"/>
        </w:numPr>
        <w:tabs>
          <w:tab w:val="left" w:pos="426"/>
          <w:tab w:val="left" w:pos="851"/>
        </w:tabs>
        <w:spacing w:line="240" w:lineRule="auto"/>
        <w:ind w:left="851" w:hanging="491"/>
        <w:jc w:val="both"/>
        <w:rPr>
          <w:rFonts w:cs="Arial"/>
          <w:szCs w:val="22"/>
        </w:rPr>
      </w:pPr>
      <w:r w:rsidRPr="005F15DA">
        <w:rPr>
          <w:rFonts w:cs="Arial"/>
          <w:szCs w:val="22"/>
        </w:rPr>
        <w:t>Bauhandwerkerpfandrecht (Art. 837 ZGB)</w:t>
      </w:r>
      <w:r w:rsidR="000B43BA" w:rsidRPr="005F15DA">
        <w:rPr>
          <w:rFonts w:cs="Arial"/>
          <w:szCs w:val="22"/>
        </w:rPr>
        <w:t xml:space="preserve"> </w:t>
      </w:r>
    </w:p>
    <w:p w:rsidR="00460F0B" w:rsidRPr="005F15DA" w:rsidRDefault="00345AAB" w:rsidP="009D34F3">
      <w:pPr>
        <w:pStyle w:val="Listenabsatz"/>
        <w:numPr>
          <w:ilvl w:val="0"/>
          <w:numId w:val="15"/>
        </w:numPr>
        <w:tabs>
          <w:tab w:val="left" w:pos="426"/>
          <w:tab w:val="left" w:pos="851"/>
        </w:tabs>
        <w:spacing w:line="240" w:lineRule="auto"/>
        <w:ind w:left="851" w:hanging="491"/>
        <w:jc w:val="both"/>
        <w:rPr>
          <w:rFonts w:cs="Arial"/>
          <w:szCs w:val="22"/>
        </w:rPr>
      </w:pPr>
      <w:r w:rsidRPr="005F15DA">
        <w:rPr>
          <w:rFonts w:cs="Arial"/>
          <w:szCs w:val="22"/>
        </w:rPr>
        <w:t>Pfandrecht der Stockwerkeigentümergemeinschaft für ni</w:t>
      </w:r>
      <w:r w:rsidR="00D40B35" w:rsidRPr="005F15DA">
        <w:rPr>
          <w:rFonts w:cs="Arial"/>
          <w:szCs w:val="22"/>
        </w:rPr>
        <w:t>cht bezahlte Beiträge (Art. 712</w:t>
      </w:r>
      <w:r w:rsidRPr="005F15DA">
        <w:rPr>
          <w:rFonts w:cs="Arial"/>
          <w:szCs w:val="22"/>
        </w:rPr>
        <w:t>i ZGB)</w:t>
      </w:r>
    </w:p>
    <w:p w:rsidR="00B771A4" w:rsidRPr="005F15DA" w:rsidRDefault="00B771A4" w:rsidP="009D34F3">
      <w:pPr>
        <w:pStyle w:val="Listenabsatz"/>
        <w:numPr>
          <w:ilvl w:val="0"/>
          <w:numId w:val="15"/>
        </w:numPr>
        <w:tabs>
          <w:tab w:val="left" w:pos="426"/>
          <w:tab w:val="left" w:pos="851"/>
        </w:tabs>
        <w:spacing w:line="240" w:lineRule="auto"/>
        <w:ind w:left="851" w:hanging="491"/>
        <w:jc w:val="both"/>
        <w:rPr>
          <w:rFonts w:cs="Arial"/>
          <w:szCs w:val="22"/>
        </w:rPr>
      </w:pPr>
      <w:r w:rsidRPr="005F15DA">
        <w:rPr>
          <w:rFonts w:cs="Arial"/>
          <w:szCs w:val="22"/>
        </w:rPr>
        <w:t>Pfandrecht zur Sicherung des Baurechtszinses beim Baurecht (Art. 779</w:t>
      </w:r>
      <w:r w:rsidR="00D40B35" w:rsidRPr="005F15DA">
        <w:rPr>
          <w:rFonts w:cs="Arial"/>
          <w:szCs w:val="22"/>
        </w:rPr>
        <w:t>i</w:t>
      </w:r>
      <w:r w:rsidRPr="005F15DA">
        <w:rPr>
          <w:rFonts w:cs="Arial"/>
          <w:szCs w:val="22"/>
        </w:rPr>
        <w:t xml:space="preserve"> ZGB)</w:t>
      </w:r>
    </w:p>
    <w:p w:rsidR="00B771A4" w:rsidRPr="005F15DA" w:rsidRDefault="00B771A4" w:rsidP="009D34F3">
      <w:pPr>
        <w:pStyle w:val="Listenabsatz"/>
        <w:numPr>
          <w:ilvl w:val="0"/>
          <w:numId w:val="15"/>
        </w:numPr>
        <w:tabs>
          <w:tab w:val="left" w:pos="426"/>
          <w:tab w:val="left" w:pos="851"/>
        </w:tabs>
        <w:spacing w:line="240" w:lineRule="auto"/>
        <w:ind w:left="851" w:hanging="491"/>
        <w:jc w:val="both"/>
        <w:rPr>
          <w:rFonts w:cs="Arial"/>
          <w:szCs w:val="22"/>
        </w:rPr>
      </w:pPr>
      <w:r w:rsidRPr="005F15DA">
        <w:rPr>
          <w:rFonts w:cs="Arial"/>
          <w:szCs w:val="22"/>
        </w:rPr>
        <w:t xml:space="preserve">Pfandrecht zur Sicherung der Heimfallsentschädigung </w:t>
      </w:r>
      <w:r w:rsidR="00D40B35" w:rsidRPr="005F15DA">
        <w:rPr>
          <w:rFonts w:cs="Arial"/>
          <w:szCs w:val="22"/>
        </w:rPr>
        <w:t>des Bauberechtigten und für die Entschädigung des Baurechtspfandgläubigers (Art. 779d</w:t>
      </w:r>
      <w:r w:rsidRPr="005F15DA">
        <w:rPr>
          <w:rFonts w:cs="Arial"/>
          <w:szCs w:val="22"/>
        </w:rPr>
        <w:t xml:space="preserve"> ZGB)</w:t>
      </w:r>
    </w:p>
    <w:p w:rsidR="004D79F0" w:rsidRPr="005F15DA" w:rsidRDefault="00B771A4" w:rsidP="009D34F3">
      <w:pPr>
        <w:pStyle w:val="Listenabsatz"/>
        <w:numPr>
          <w:ilvl w:val="0"/>
          <w:numId w:val="15"/>
        </w:numPr>
        <w:tabs>
          <w:tab w:val="left" w:pos="426"/>
          <w:tab w:val="left" w:pos="851"/>
        </w:tabs>
        <w:spacing w:line="240" w:lineRule="auto"/>
        <w:ind w:left="851" w:hanging="491"/>
        <w:jc w:val="both"/>
        <w:rPr>
          <w:rFonts w:cs="Arial"/>
          <w:szCs w:val="22"/>
        </w:rPr>
      </w:pPr>
      <w:r w:rsidRPr="005F15DA">
        <w:rPr>
          <w:rFonts w:cs="Arial"/>
          <w:szCs w:val="22"/>
        </w:rPr>
        <w:t xml:space="preserve">Pfandrecht </w:t>
      </w:r>
      <w:r w:rsidR="004D79F0" w:rsidRPr="005F15DA">
        <w:rPr>
          <w:rFonts w:cs="Arial"/>
          <w:szCs w:val="22"/>
        </w:rPr>
        <w:t xml:space="preserve">des </w:t>
      </w:r>
      <w:r w:rsidR="007A17D1" w:rsidRPr="005F15DA">
        <w:rPr>
          <w:rFonts w:cs="Arial"/>
          <w:szCs w:val="22"/>
        </w:rPr>
        <w:t>Grundpfandg</w:t>
      </w:r>
      <w:r w:rsidR="004D79F0" w:rsidRPr="005F15DA">
        <w:rPr>
          <w:rFonts w:cs="Arial"/>
          <w:szCs w:val="22"/>
        </w:rPr>
        <w:t xml:space="preserve">läubigers für Vorkehren </w:t>
      </w:r>
      <w:r w:rsidR="00D40B35" w:rsidRPr="005F15DA">
        <w:rPr>
          <w:rFonts w:cs="Arial"/>
          <w:szCs w:val="22"/>
        </w:rPr>
        <w:t>zur Beseitigung oder Abwehr der Wertverminderung</w:t>
      </w:r>
      <w:r w:rsidR="004D79F0" w:rsidRPr="005F15DA">
        <w:rPr>
          <w:rFonts w:cs="Arial"/>
          <w:szCs w:val="22"/>
        </w:rPr>
        <w:t>(Art. 808 Abs. 3 ZGB)</w:t>
      </w:r>
    </w:p>
    <w:p w:rsidR="004D79F0" w:rsidRPr="005F15DA" w:rsidRDefault="00B771A4" w:rsidP="009D34F3">
      <w:pPr>
        <w:pStyle w:val="Listenabsatz"/>
        <w:numPr>
          <w:ilvl w:val="0"/>
          <w:numId w:val="15"/>
        </w:numPr>
        <w:tabs>
          <w:tab w:val="left" w:pos="426"/>
          <w:tab w:val="left" w:pos="851"/>
        </w:tabs>
        <w:spacing w:line="240" w:lineRule="auto"/>
        <w:ind w:left="851" w:hanging="491"/>
        <w:jc w:val="both"/>
        <w:rPr>
          <w:rFonts w:cs="Arial"/>
          <w:szCs w:val="22"/>
        </w:rPr>
      </w:pPr>
      <w:r w:rsidRPr="005F15DA">
        <w:rPr>
          <w:rFonts w:cs="Arial"/>
          <w:szCs w:val="22"/>
        </w:rPr>
        <w:t xml:space="preserve">Pfandrecht </w:t>
      </w:r>
      <w:r w:rsidR="007A17D1" w:rsidRPr="005F15DA">
        <w:rPr>
          <w:rFonts w:cs="Arial"/>
          <w:szCs w:val="22"/>
        </w:rPr>
        <w:t xml:space="preserve">des </w:t>
      </w:r>
      <w:r w:rsidR="00D40B35" w:rsidRPr="005F15DA">
        <w:rPr>
          <w:rFonts w:cs="Arial"/>
          <w:szCs w:val="22"/>
        </w:rPr>
        <w:t>P</w:t>
      </w:r>
      <w:r w:rsidR="007A17D1" w:rsidRPr="005F15DA">
        <w:rPr>
          <w:rFonts w:cs="Arial"/>
          <w:szCs w:val="22"/>
        </w:rPr>
        <w:t xml:space="preserve">fandgläubigers </w:t>
      </w:r>
      <w:r w:rsidR="00D40B35" w:rsidRPr="005F15DA">
        <w:rPr>
          <w:rFonts w:cs="Arial"/>
          <w:szCs w:val="22"/>
        </w:rPr>
        <w:t xml:space="preserve">zur Sicherung der Auslagen, die für die Erhaltung der Pfandsache notwendig waren </w:t>
      </w:r>
      <w:r w:rsidR="007A17D1" w:rsidRPr="005F15DA">
        <w:rPr>
          <w:rFonts w:cs="Arial"/>
          <w:szCs w:val="22"/>
        </w:rPr>
        <w:t>(Art. 819 ZGB)</w:t>
      </w:r>
    </w:p>
    <w:p w:rsidR="00460F0B" w:rsidRPr="005F15DA" w:rsidRDefault="00460F0B" w:rsidP="008851FF">
      <w:pPr>
        <w:tabs>
          <w:tab w:val="left" w:pos="426"/>
        </w:tabs>
        <w:spacing w:line="240" w:lineRule="auto"/>
        <w:jc w:val="both"/>
        <w:rPr>
          <w:rFonts w:cs="Arial"/>
          <w:szCs w:val="22"/>
        </w:rPr>
      </w:pPr>
    </w:p>
    <w:p w:rsidR="00460F0B" w:rsidRPr="005F15DA" w:rsidRDefault="00460F0B" w:rsidP="008851FF">
      <w:pPr>
        <w:tabs>
          <w:tab w:val="left" w:pos="426"/>
        </w:tabs>
        <w:spacing w:line="240" w:lineRule="auto"/>
        <w:jc w:val="both"/>
        <w:rPr>
          <w:rFonts w:cs="Arial"/>
          <w:szCs w:val="22"/>
        </w:rPr>
      </w:pPr>
    </w:p>
    <w:p w:rsidR="00DD7C09" w:rsidRPr="005F15DA" w:rsidRDefault="009263DA" w:rsidP="005B0708">
      <w:pPr>
        <w:pStyle w:val="berschrift4"/>
      </w:pPr>
      <w:r w:rsidRPr="005F15DA">
        <w:t>2.</w:t>
      </w:r>
      <w:r w:rsidRPr="005F15DA">
        <w:tab/>
        <w:t>Forderungsbetrag</w:t>
      </w:r>
    </w:p>
    <w:p w:rsidR="009263DA" w:rsidRPr="005F15DA" w:rsidRDefault="009263DA" w:rsidP="008851FF">
      <w:pPr>
        <w:tabs>
          <w:tab w:val="left" w:pos="426"/>
        </w:tabs>
        <w:spacing w:line="240" w:lineRule="auto"/>
        <w:ind w:left="426" w:hanging="426"/>
        <w:jc w:val="both"/>
        <w:rPr>
          <w:rFonts w:cs="Arial"/>
          <w:szCs w:val="22"/>
        </w:rPr>
      </w:pPr>
      <w:r w:rsidRPr="005F15DA">
        <w:rPr>
          <w:rFonts w:cs="Arial"/>
          <w:szCs w:val="22"/>
        </w:rPr>
        <w:tab/>
        <w:t>Bei der Errichtung ist der Betrag der Forderung in Schweizer Franken anzugeben</w:t>
      </w:r>
      <w:r w:rsidR="00460F0B" w:rsidRPr="005F15DA">
        <w:rPr>
          <w:rFonts w:cs="Arial"/>
          <w:szCs w:val="22"/>
        </w:rPr>
        <w:t xml:space="preserve"> (Art. 794 Abs. 1 ZGB)</w:t>
      </w:r>
      <w:r w:rsidRPr="005F15DA">
        <w:rPr>
          <w:rFonts w:cs="Arial"/>
          <w:szCs w:val="22"/>
        </w:rPr>
        <w:t xml:space="preserve"> (Kapitalhypothek); in diesem Falle haftet das belastete Grundstück für die effektive Schuld bis höchstens zum angegebenen Schuldbetrag, zuzüglich Kosten der Betreibung und Verzugszinse, zuzüglich drei verfallene Jahreszinse und den laufenden Zins (Art. 818 ZGB).</w:t>
      </w:r>
    </w:p>
    <w:p w:rsidR="00460F0B" w:rsidRPr="005F15DA" w:rsidRDefault="00460F0B" w:rsidP="008851FF">
      <w:pPr>
        <w:tabs>
          <w:tab w:val="left" w:pos="426"/>
        </w:tabs>
        <w:spacing w:line="240" w:lineRule="auto"/>
        <w:ind w:left="426" w:hanging="426"/>
        <w:jc w:val="both"/>
        <w:rPr>
          <w:rFonts w:cs="Arial"/>
          <w:szCs w:val="22"/>
        </w:rPr>
      </w:pPr>
    </w:p>
    <w:p w:rsidR="009263DA" w:rsidRPr="005F15DA" w:rsidRDefault="009263DA" w:rsidP="008851FF">
      <w:pPr>
        <w:tabs>
          <w:tab w:val="left" w:pos="426"/>
        </w:tabs>
        <w:spacing w:line="240" w:lineRule="auto"/>
        <w:ind w:left="426" w:hanging="426"/>
        <w:jc w:val="both"/>
        <w:rPr>
          <w:rFonts w:cs="Arial"/>
          <w:szCs w:val="22"/>
        </w:rPr>
      </w:pPr>
      <w:r w:rsidRPr="005F15DA">
        <w:rPr>
          <w:rFonts w:cs="Arial"/>
          <w:szCs w:val="22"/>
        </w:rPr>
        <w:tab/>
        <w:t>Ist der Forderungsbetrag unbestimmt, ist der Höchstbetrag, bis zu welchem das Grun</w:t>
      </w:r>
      <w:r w:rsidRPr="005F15DA">
        <w:rPr>
          <w:rFonts w:cs="Arial"/>
          <w:szCs w:val="22"/>
        </w:rPr>
        <w:t>d</w:t>
      </w:r>
      <w:r w:rsidRPr="005F15DA">
        <w:rPr>
          <w:rFonts w:cs="Arial"/>
          <w:szCs w:val="22"/>
        </w:rPr>
        <w:t>stück haftet, anzugeben (Maximalhypothek); in diesem Falle haftet das belastete Grun</w:t>
      </w:r>
      <w:r w:rsidRPr="005F15DA">
        <w:rPr>
          <w:rFonts w:cs="Arial"/>
          <w:szCs w:val="22"/>
        </w:rPr>
        <w:t>d</w:t>
      </w:r>
      <w:r w:rsidRPr="005F15DA">
        <w:rPr>
          <w:rFonts w:cs="Arial"/>
          <w:szCs w:val="22"/>
        </w:rPr>
        <w:t>stück für alle Ansprüche des Gläubigers bis zum angegebenen Höchstbetrag (Kapital, Betreibungskosten, Verzugszinse, verfallene Jahreszinse, laufender Zins) (Art. 794 Abs. 2 ZGB).</w:t>
      </w:r>
    </w:p>
    <w:p w:rsidR="00DE2D3D" w:rsidRPr="005F15DA" w:rsidRDefault="00DE2D3D" w:rsidP="008851FF">
      <w:pPr>
        <w:tabs>
          <w:tab w:val="left" w:pos="426"/>
        </w:tabs>
        <w:spacing w:line="240" w:lineRule="auto"/>
        <w:jc w:val="both"/>
        <w:rPr>
          <w:rFonts w:cs="Arial"/>
          <w:szCs w:val="22"/>
        </w:rPr>
      </w:pPr>
    </w:p>
    <w:p w:rsidR="00460F0B" w:rsidRPr="005F15DA" w:rsidRDefault="00460F0B" w:rsidP="008851FF">
      <w:pPr>
        <w:tabs>
          <w:tab w:val="left" w:pos="426"/>
        </w:tabs>
        <w:spacing w:line="240" w:lineRule="auto"/>
        <w:jc w:val="both"/>
        <w:rPr>
          <w:rFonts w:cs="Arial"/>
          <w:szCs w:val="22"/>
        </w:rPr>
      </w:pPr>
    </w:p>
    <w:p w:rsidR="00460F0B" w:rsidRPr="005F15DA" w:rsidRDefault="00460F0B" w:rsidP="005B0708">
      <w:pPr>
        <w:pStyle w:val="berschrift4"/>
      </w:pPr>
      <w:r w:rsidRPr="005F15DA">
        <w:t>3.</w:t>
      </w:r>
      <w:r w:rsidRPr="005F15DA">
        <w:tab/>
        <w:t>Grundstück</w:t>
      </w:r>
    </w:p>
    <w:p w:rsidR="00460F0B" w:rsidRPr="005F15DA" w:rsidRDefault="00460F0B" w:rsidP="008851FF">
      <w:pPr>
        <w:tabs>
          <w:tab w:val="left" w:pos="426"/>
        </w:tabs>
        <w:spacing w:line="240" w:lineRule="auto"/>
        <w:ind w:left="426" w:hanging="426"/>
        <w:jc w:val="both"/>
        <w:rPr>
          <w:rFonts w:cs="Arial"/>
          <w:szCs w:val="22"/>
        </w:rPr>
      </w:pPr>
      <w:r w:rsidRPr="005F15DA">
        <w:rPr>
          <w:rFonts w:cs="Arial"/>
          <w:szCs w:val="22"/>
        </w:rPr>
        <w:tab/>
        <w:t>Grundpfandrechte können nur auf Grundstücken errichtet werden, welche ins Grundbuch aufgenommen sind. Das zu belastende Grundstück ist genau anzugeben. Nach bern</w:t>
      </w:r>
      <w:r w:rsidRPr="005F15DA">
        <w:rPr>
          <w:rFonts w:cs="Arial"/>
          <w:szCs w:val="22"/>
        </w:rPr>
        <w:t>i</w:t>
      </w:r>
      <w:r w:rsidRPr="005F15DA">
        <w:rPr>
          <w:rFonts w:cs="Arial"/>
          <w:szCs w:val="22"/>
        </w:rPr>
        <w:t>scher Praxis genügt die Bezeichnung des Grundstückes; auf die vollständige Grun</w:t>
      </w:r>
      <w:r w:rsidRPr="005F15DA">
        <w:rPr>
          <w:rFonts w:cs="Arial"/>
          <w:szCs w:val="22"/>
        </w:rPr>
        <w:t>d</w:t>
      </w:r>
      <w:r w:rsidRPr="005F15DA">
        <w:rPr>
          <w:rFonts w:cs="Arial"/>
          <w:szCs w:val="22"/>
        </w:rPr>
        <w:t>stückbeschreibung kann verzichtet werden.</w:t>
      </w:r>
    </w:p>
    <w:p w:rsidR="00460F0B" w:rsidRPr="005F15DA" w:rsidRDefault="00460F0B" w:rsidP="008851FF">
      <w:pPr>
        <w:tabs>
          <w:tab w:val="left" w:pos="426"/>
        </w:tabs>
        <w:spacing w:line="240" w:lineRule="auto"/>
        <w:jc w:val="both"/>
        <w:rPr>
          <w:rFonts w:cs="Arial"/>
          <w:szCs w:val="22"/>
        </w:rPr>
      </w:pPr>
    </w:p>
    <w:p w:rsidR="00460F0B" w:rsidRPr="005F15DA" w:rsidRDefault="00460F0B" w:rsidP="008851FF">
      <w:pPr>
        <w:tabs>
          <w:tab w:val="left" w:pos="426"/>
        </w:tabs>
        <w:spacing w:line="240" w:lineRule="auto"/>
        <w:ind w:left="426" w:hanging="426"/>
        <w:jc w:val="both"/>
        <w:rPr>
          <w:rFonts w:cs="Arial"/>
          <w:szCs w:val="22"/>
        </w:rPr>
      </w:pPr>
      <w:r w:rsidRPr="005F15DA">
        <w:rPr>
          <w:rFonts w:cs="Arial"/>
          <w:szCs w:val="22"/>
        </w:rPr>
        <w:tab/>
        <w:t>Ein Grundpfandrecht kann als Gesamt-Grundpfandrecht errichtet werden, wenn alle zu belastenden Grundstücke dem gleichen Eigentümer gehören (Art. 798 ZGB).</w:t>
      </w:r>
    </w:p>
    <w:p w:rsidR="00460F0B" w:rsidRPr="005F15DA" w:rsidRDefault="00460F0B" w:rsidP="008851FF">
      <w:pPr>
        <w:tabs>
          <w:tab w:val="left" w:pos="426"/>
        </w:tabs>
        <w:spacing w:line="240" w:lineRule="auto"/>
        <w:jc w:val="both"/>
        <w:rPr>
          <w:rFonts w:cs="Arial"/>
          <w:szCs w:val="22"/>
        </w:rPr>
      </w:pPr>
    </w:p>
    <w:p w:rsidR="00460F0B" w:rsidRDefault="00460F0B" w:rsidP="008851FF">
      <w:pPr>
        <w:tabs>
          <w:tab w:val="left" w:pos="426"/>
        </w:tabs>
        <w:spacing w:line="240" w:lineRule="auto"/>
        <w:ind w:left="426" w:hanging="426"/>
        <w:jc w:val="both"/>
        <w:rPr>
          <w:rFonts w:cs="Arial"/>
          <w:szCs w:val="22"/>
        </w:rPr>
      </w:pPr>
      <w:r w:rsidRPr="005F15DA">
        <w:rPr>
          <w:rFonts w:cs="Arial"/>
          <w:szCs w:val="22"/>
        </w:rPr>
        <w:lastRenderedPageBreak/>
        <w:tab/>
        <w:t>Für landwirtschaftliche Grundstücke ist das BGBB zu beachten, wonach Grundpfandrec</w:t>
      </w:r>
      <w:r w:rsidRPr="005F15DA">
        <w:rPr>
          <w:rFonts w:cs="Arial"/>
          <w:szCs w:val="22"/>
        </w:rPr>
        <w:t>h</w:t>
      </w:r>
      <w:r w:rsidRPr="005F15DA">
        <w:rPr>
          <w:rFonts w:cs="Arial"/>
          <w:szCs w:val="22"/>
        </w:rPr>
        <w:t xml:space="preserve">te nur bis zum 1,35-fachen </w:t>
      </w:r>
      <w:r w:rsidR="008C1D44" w:rsidRPr="005F15DA">
        <w:rPr>
          <w:rFonts w:cs="Arial"/>
          <w:szCs w:val="22"/>
        </w:rPr>
        <w:t xml:space="preserve">des Ertragswertes des Grundstückes </w:t>
      </w:r>
      <w:r w:rsidRPr="005F15DA">
        <w:rPr>
          <w:rFonts w:cs="Arial"/>
          <w:szCs w:val="22"/>
        </w:rPr>
        <w:t>belastet werden dürfen.</w:t>
      </w:r>
    </w:p>
    <w:p w:rsidR="00C0637F" w:rsidRDefault="00C0637F" w:rsidP="008851FF">
      <w:pPr>
        <w:tabs>
          <w:tab w:val="left" w:pos="426"/>
        </w:tabs>
        <w:spacing w:line="240" w:lineRule="auto"/>
        <w:ind w:left="426" w:hanging="426"/>
        <w:jc w:val="both"/>
        <w:rPr>
          <w:rFonts w:cs="Arial"/>
          <w:szCs w:val="22"/>
        </w:rPr>
      </w:pPr>
    </w:p>
    <w:p w:rsidR="00C0637F" w:rsidRPr="005F15DA" w:rsidRDefault="00C0637F" w:rsidP="008851FF">
      <w:pPr>
        <w:tabs>
          <w:tab w:val="left" w:pos="426"/>
        </w:tabs>
        <w:spacing w:line="240" w:lineRule="auto"/>
        <w:ind w:left="426" w:hanging="426"/>
        <w:jc w:val="both"/>
        <w:rPr>
          <w:rFonts w:cs="Arial"/>
          <w:szCs w:val="22"/>
        </w:rPr>
      </w:pPr>
    </w:p>
    <w:p w:rsidR="00460F0B" w:rsidRPr="005F15DA" w:rsidRDefault="00460F0B" w:rsidP="005B0708">
      <w:pPr>
        <w:pStyle w:val="berschrift4"/>
      </w:pPr>
      <w:r w:rsidRPr="005F15DA">
        <w:t>4.</w:t>
      </w:r>
      <w:r w:rsidRPr="005F15DA">
        <w:tab/>
        <w:t>Errichtung und Untergang</w:t>
      </w:r>
    </w:p>
    <w:p w:rsidR="00460F0B" w:rsidRPr="005F15DA" w:rsidRDefault="00460F0B" w:rsidP="008851FF">
      <w:pPr>
        <w:tabs>
          <w:tab w:val="left" w:pos="426"/>
        </w:tabs>
        <w:spacing w:line="240" w:lineRule="auto"/>
        <w:ind w:left="426" w:hanging="426"/>
        <w:jc w:val="both"/>
        <w:rPr>
          <w:rFonts w:cs="Arial"/>
          <w:szCs w:val="22"/>
        </w:rPr>
      </w:pPr>
      <w:r w:rsidRPr="005F15DA">
        <w:rPr>
          <w:rFonts w:cs="Arial"/>
          <w:szCs w:val="22"/>
        </w:rPr>
        <w:tab/>
      </w:r>
      <w:r w:rsidR="00A34C6E" w:rsidRPr="005F15DA">
        <w:rPr>
          <w:rFonts w:cs="Arial"/>
          <w:szCs w:val="22"/>
        </w:rPr>
        <w:t>Das Grundpfandrecht entsteht erst mit der Eintragung im Grundbuch. Der Vertrag zur Errichtung eines Grundpfandrechtes muss öffentlich beurkundet werden.</w:t>
      </w:r>
    </w:p>
    <w:p w:rsidR="00A34C6E" w:rsidRPr="005F15DA" w:rsidRDefault="00A34C6E" w:rsidP="008851FF">
      <w:pPr>
        <w:tabs>
          <w:tab w:val="left" w:pos="426"/>
        </w:tabs>
        <w:spacing w:line="240" w:lineRule="auto"/>
        <w:jc w:val="both"/>
        <w:rPr>
          <w:rFonts w:cs="Arial"/>
          <w:szCs w:val="22"/>
        </w:rPr>
      </w:pPr>
    </w:p>
    <w:p w:rsidR="00A34C6E" w:rsidRPr="005F15DA" w:rsidRDefault="00A34C6E" w:rsidP="008851FF">
      <w:pPr>
        <w:tabs>
          <w:tab w:val="left" w:pos="426"/>
        </w:tabs>
        <w:spacing w:line="240" w:lineRule="auto"/>
        <w:ind w:left="426" w:hanging="426"/>
        <w:jc w:val="both"/>
        <w:rPr>
          <w:rFonts w:cs="Arial"/>
          <w:szCs w:val="22"/>
        </w:rPr>
      </w:pPr>
      <w:r w:rsidRPr="005F15DA">
        <w:rPr>
          <w:rFonts w:cs="Arial"/>
          <w:szCs w:val="22"/>
        </w:rPr>
        <w:tab/>
        <w:t>Wenn ein Grundstück im Miteigentum steht, kann jeder Eigentümer seinen Miteigentums-Anteil verpfänden. Wenn ein Grundstück im Gesamteigentum steht, können nur alle E</w:t>
      </w:r>
      <w:r w:rsidRPr="005F15DA">
        <w:rPr>
          <w:rFonts w:cs="Arial"/>
          <w:szCs w:val="22"/>
        </w:rPr>
        <w:t>i</w:t>
      </w:r>
      <w:r w:rsidRPr="005F15DA">
        <w:rPr>
          <w:rFonts w:cs="Arial"/>
          <w:szCs w:val="22"/>
        </w:rPr>
        <w:t>gentümer zusammen (als Gemeinschaft) das Grundstück verpfänden (einfache Gesel</w:t>
      </w:r>
      <w:r w:rsidRPr="005F15DA">
        <w:rPr>
          <w:rFonts w:cs="Arial"/>
          <w:szCs w:val="22"/>
        </w:rPr>
        <w:t>l</w:t>
      </w:r>
      <w:r w:rsidRPr="005F15DA">
        <w:rPr>
          <w:rFonts w:cs="Arial"/>
          <w:szCs w:val="22"/>
        </w:rPr>
        <w:t>schaft, Erbengemeinschaft usw.).</w:t>
      </w:r>
    </w:p>
    <w:p w:rsidR="00A34C6E" w:rsidRPr="005F15DA" w:rsidRDefault="00A34C6E" w:rsidP="008851FF">
      <w:pPr>
        <w:tabs>
          <w:tab w:val="left" w:pos="426"/>
        </w:tabs>
        <w:spacing w:line="240" w:lineRule="auto"/>
        <w:jc w:val="both"/>
        <w:rPr>
          <w:rFonts w:cs="Arial"/>
          <w:szCs w:val="22"/>
        </w:rPr>
      </w:pPr>
    </w:p>
    <w:p w:rsidR="00A34C6E" w:rsidRPr="005F15DA" w:rsidRDefault="00A34C6E" w:rsidP="008851FF">
      <w:pPr>
        <w:tabs>
          <w:tab w:val="left" w:pos="426"/>
        </w:tabs>
        <w:spacing w:line="240" w:lineRule="auto"/>
        <w:ind w:left="426" w:hanging="426"/>
        <w:jc w:val="both"/>
        <w:rPr>
          <w:rFonts w:cs="Arial"/>
          <w:szCs w:val="22"/>
        </w:rPr>
      </w:pPr>
      <w:r w:rsidRPr="005F15DA">
        <w:rPr>
          <w:rFonts w:cs="Arial"/>
          <w:szCs w:val="22"/>
        </w:rPr>
        <w:tab/>
        <w:t>Das Grundpfand geht erst mit der Löschung des Eintrages im Grundbuch oder dem vol</w:t>
      </w:r>
      <w:r w:rsidRPr="005F15DA">
        <w:rPr>
          <w:rFonts w:cs="Arial"/>
          <w:szCs w:val="22"/>
        </w:rPr>
        <w:t>l</w:t>
      </w:r>
      <w:r w:rsidRPr="005F15DA">
        <w:rPr>
          <w:rFonts w:cs="Arial"/>
          <w:szCs w:val="22"/>
        </w:rPr>
        <w:t>ständigen Untergang des belasteten Grundstückes unter.</w:t>
      </w:r>
    </w:p>
    <w:p w:rsidR="00A34C6E" w:rsidRPr="005F15DA" w:rsidRDefault="00A34C6E" w:rsidP="008851FF">
      <w:pPr>
        <w:tabs>
          <w:tab w:val="left" w:pos="426"/>
        </w:tabs>
        <w:spacing w:line="240" w:lineRule="auto"/>
        <w:ind w:left="426" w:hanging="426"/>
        <w:jc w:val="both"/>
        <w:rPr>
          <w:rFonts w:cs="Arial"/>
          <w:szCs w:val="22"/>
        </w:rPr>
      </w:pPr>
    </w:p>
    <w:p w:rsidR="00A34C6E" w:rsidRPr="005F15DA" w:rsidRDefault="00A34C6E" w:rsidP="008851FF">
      <w:pPr>
        <w:tabs>
          <w:tab w:val="left" w:pos="426"/>
        </w:tabs>
        <w:spacing w:line="240" w:lineRule="auto"/>
        <w:ind w:left="426" w:hanging="426"/>
        <w:jc w:val="both"/>
        <w:rPr>
          <w:rFonts w:cs="Arial"/>
          <w:szCs w:val="22"/>
        </w:rPr>
      </w:pPr>
      <w:r w:rsidRPr="005F15DA">
        <w:rPr>
          <w:rFonts w:cs="Arial"/>
          <w:szCs w:val="22"/>
        </w:rPr>
        <w:tab/>
        <w:t>Bezüglich der speziellen Bestimmungen bei der Güterzusammenlegung wird auf die Art. 802 - 804 ZGB verwiesen.</w:t>
      </w:r>
    </w:p>
    <w:p w:rsidR="00460F0B" w:rsidRPr="005F15DA" w:rsidRDefault="00460F0B" w:rsidP="008851FF">
      <w:pPr>
        <w:tabs>
          <w:tab w:val="left" w:pos="426"/>
        </w:tabs>
        <w:spacing w:line="240" w:lineRule="auto"/>
        <w:jc w:val="both"/>
        <w:rPr>
          <w:rFonts w:cs="Arial"/>
          <w:szCs w:val="22"/>
        </w:rPr>
      </w:pPr>
    </w:p>
    <w:p w:rsidR="00A34C6E" w:rsidRPr="005F15DA" w:rsidRDefault="00A34C6E" w:rsidP="008851FF">
      <w:pPr>
        <w:tabs>
          <w:tab w:val="left" w:pos="426"/>
        </w:tabs>
        <w:spacing w:line="240" w:lineRule="auto"/>
        <w:jc w:val="both"/>
        <w:rPr>
          <w:rFonts w:cs="Arial"/>
          <w:szCs w:val="22"/>
        </w:rPr>
      </w:pPr>
    </w:p>
    <w:p w:rsidR="00A34C6E" w:rsidRPr="005F15DA" w:rsidRDefault="00A34C6E" w:rsidP="005B0708">
      <w:pPr>
        <w:pStyle w:val="berschrift4"/>
      </w:pPr>
      <w:r w:rsidRPr="005F15DA">
        <w:t>5.</w:t>
      </w:r>
      <w:r w:rsidRPr="005F15DA">
        <w:tab/>
        <w:t>Wirkung</w:t>
      </w:r>
    </w:p>
    <w:p w:rsidR="00A34C6E" w:rsidRPr="005F15DA" w:rsidRDefault="00A34C6E" w:rsidP="008851FF">
      <w:pPr>
        <w:tabs>
          <w:tab w:val="left" w:pos="426"/>
        </w:tabs>
        <w:spacing w:line="240" w:lineRule="auto"/>
        <w:ind w:left="426" w:hanging="426"/>
        <w:jc w:val="both"/>
        <w:rPr>
          <w:rFonts w:cs="Arial"/>
          <w:szCs w:val="22"/>
        </w:rPr>
      </w:pPr>
      <w:r w:rsidRPr="005F15DA">
        <w:rPr>
          <w:rFonts w:cs="Arial"/>
          <w:szCs w:val="22"/>
        </w:rPr>
        <w:tab/>
      </w:r>
      <w:r w:rsidR="004B7DF3" w:rsidRPr="005F15DA">
        <w:rPr>
          <w:rFonts w:cs="Arial"/>
          <w:szCs w:val="22"/>
        </w:rPr>
        <w:t>Die Pfandhaft umfasst das gesamte Grundstück inkl. alle Bestandteile und Zugehör, also den Boden, die darauf stehenden Gebäude und Anlagen (aber ohne Fahrnisbauten), die weiteren Bestandteile (Pflanzen</w:t>
      </w:r>
      <w:r w:rsidR="004D79F0" w:rsidRPr="005F15DA">
        <w:rPr>
          <w:rFonts w:cs="Arial"/>
          <w:szCs w:val="22"/>
        </w:rPr>
        <w:t xml:space="preserve"> usw.) sowie die im Grundbuch angemerkte Zugehör (z.B. Maschinen, Mobiliar usw.).</w:t>
      </w:r>
    </w:p>
    <w:p w:rsidR="004D79F0" w:rsidRPr="005F15DA" w:rsidRDefault="004D79F0" w:rsidP="008851FF">
      <w:pPr>
        <w:tabs>
          <w:tab w:val="left" w:pos="426"/>
        </w:tabs>
        <w:spacing w:line="240" w:lineRule="auto"/>
        <w:jc w:val="both"/>
        <w:rPr>
          <w:rFonts w:cs="Arial"/>
          <w:szCs w:val="22"/>
        </w:rPr>
      </w:pPr>
    </w:p>
    <w:p w:rsidR="004D79F0" w:rsidRPr="005F15DA" w:rsidRDefault="004D79F0" w:rsidP="008851FF">
      <w:pPr>
        <w:tabs>
          <w:tab w:val="left" w:pos="426"/>
        </w:tabs>
        <w:spacing w:line="240" w:lineRule="auto"/>
        <w:ind w:left="426" w:hanging="426"/>
        <w:jc w:val="both"/>
        <w:rPr>
          <w:rFonts w:cs="Arial"/>
          <w:szCs w:val="22"/>
        </w:rPr>
      </w:pPr>
      <w:r w:rsidRPr="005F15DA">
        <w:rPr>
          <w:rFonts w:cs="Arial"/>
          <w:szCs w:val="22"/>
        </w:rPr>
        <w:tab/>
        <w:t xml:space="preserve">Wenn das Grundstück vermietet oder verpachtet ist, erstreckt sich die Pfandhaft auch auf die Miet- oder Pachtzinse, welche seit der Betreibung oder Konkurseröffnung angefallen sind. </w:t>
      </w:r>
    </w:p>
    <w:p w:rsidR="004D79F0" w:rsidRPr="005F15DA" w:rsidRDefault="004D79F0" w:rsidP="008851FF">
      <w:pPr>
        <w:tabs>
          <w:tab w:val="left" w:pos="426"/>
        </w:tabs>
        <w:spacing w:line="240" w:lineRule="auto"/>
        <w:jc w:val="both"/>
        <w:rPr>
          <w:rFonts w:cs="Arial"/>
          <w:szCs w:val="22"/>
        </w:rPr>
      </w:pPr>
    </w:p>
    <w:p w:rsidR="004D79F0" w:rsidRPr="005F15DA" w:rsidRDefault="004D79F0" w:rsidP="008851FF">
      <w:pPr>
        <w:tabs>
          <w:tab w:val="left" w:pos="426"/>
        </w:tabs>
        <w:spacing w:line="240" w:lineRule="auto"/>
        <w:jc w:val="both"/>
        <w:rPr>
          <w:rFonts w:cs="Arial"/>
          <w:szCs w:val="22"/>
        </w:rPr>
      </w:pPr>
      <w:r w:rsidRPr="005F15DA">
        <w:rPr>
          <w:rFonts w:cs="Arial"/>
          <w:szCs w:val="22"/>
        </w:rPr>
        <w:tab/>
        <w:t>Grundpfandgesicherte Forderungen können nicht verjähren (Art. 807 ZGB).</w:t>
      </w:r>
    </w:p>
    <w:p w:rsidR="004D79F0" w:rsidRPr="005F15DA" w:rsidRDefault="004D79F0" w:rsidP="008851FF">
      <w:pPr>
        <w:tabs>
          <w:tab w:val="left" w:pos="426"/>
        </w:tabs>
        <w:spacing w:line="240" w:lineRule="auto"/>
        <w:jc w:val="both"/>
        <w:rPr>
          <w:rFonts w:cs="Arial"/>
          <w:szCs w:val="22"/>
        </w:rPr>
      </w:pPr>
    </w:p>
    <w:p w:rsidR="004D79F0" w:rsidRPr="005F15DA" w:rsidRDefault="004D79F0" w:rsidP="008851FF">
      <w:pPr>
        <w:tabs>
          <w:tab w:val="left" w:pos="426"/>
        </w:tabs>
        <w:spacing w:line="240" w:lineRule="auto"/>
        <w:ind w:left="426" w:hanging="426"/>
        <w:jc w:val="both"/>
        <w:rPr>
          <w:rFonts w:cs="Arial"/>
          <w:szCs w:val="22"/>
        </w:rPr>
      </w:pPr>
      <w:r w:rsidRPr="005F15DA">
        <w:rPr>
          <w:rFonts w:cs="Arial"/>
          <w:szCs w:val="22"/>
        </w:rPr>
        <w:tab/>
        <w:t>Wenn der Grundeigentümer den Wert des Grundstückes vermindert, kann der Gläubiger durch das Gericht jede weitere Wertverminderung untersagen lassen. Wenn der Gläub</w:t>
      </w:r>
      <w:r w:rsidRPr="005F15DA">
        <w:rPr>
          <w:rFonts w:cs="Arial"/>
          <w:szCs w:val="22"/>
        </w:rPr>
        <w:t>i</w:t>
      </w:r>
      <w:r w:rsidRPr="005F15DA">
        <w:rPr>
          <w:rFonts w:cs="Arial"/>
          <w:szCs w:val="22"/>
        </w:rPr>
        <w:t xml:space="preserve">ger die Vorkehren zur Abwendung von Wertverminderungen selber vornimmt, haftet ihm das Grundstück; er hat diesbezüglich ein gesetzliches Grundpfandrecht, welches innert 4 Monaten seit Abschluss der Arbeiten </w:t>
      </w:r>
      <w:r w:rsidR="0054038E" w:rsidRPr="005F15DA">
        <w:rPr>
          <w:rFonts w:cs="Arial"/>
          <w:szCs w:val="22"/>
        </w:rPr>
        <w:t>im Grundbuch eingetragen werden sollte, damit es dingliche Wirkung erhält (Art. 808 ZGB).</w:t>
      </w:r>
    </w:p>
    <w:p w:rsidR="0054038E" w:rsidRPr="005F15DA" w:rsidRDefault="0054038E" w:rsidP="008851FF">
      <w:pPr>
        <w:tabs>
          <w:tab w:val="left" w:pos="426"/>
        </w:tabs>
        <w:spacing w:line="240" w:lineRule="auto"/>
        <w:ind w:left="426" w:hanging="426"/>
        <w:jc w:val="both"/>
        <w:rPr>
          <w:rFonts w:cs="Arial"/>
          <w:szCs w:val="22"/>
        </w:rPr>
      </w:pPr>
    </w:p>
    <w:p w:rsidR="0054038E" w:rsidRPr="005F15DA" w:rsidRDefault="0054038E" w:rsidP="008851FF">
      <w:pPr>
        <w:tabs>
          <w:tab w:val="left" w:pos="426"/>
        </w:tabs>
        <w:spacing w:line="240" w:lineRule="auto"/>
        <w:ind w:left="426" w:hanging="426"/>
        <w:jc w:val="both"/>
        <w:rPr>
          <w:rFonts w:cs="Arial"/>
          <w:szCs w:val="22"/>
        </w:rPr>
      </w:pPr>
      <w:r w:rsidRPr="005F15DA">
        <w:rPr>
          <w:rFonts w:cs="Arial"/>
          <w:szCs w:val="22"/>
        </w:rPr>
        <w:tab/>
        <w:t xml:space="preserve">Nach erfolgter Wertverminderung des Grundpfandes kann der Gläubiger entweder die </w:t>
      </w:r>
    </w:p>
    <w:p w:rsidR="0054038E" w:rsidRPr="005F15DA" w:rsidRDefault="0054038E" w:rsidP="008851FF">
      <w:pPr>
        <w:tabs>
          <w:tab w:val="left" w:pos="426"/>
          <w:tab w:val="left" w:pos="709"/>
        </w:tabs>
        <w:spacing w:line="240" w:lineRule="auto"/>
        <w:ind w:left="426" w:hanging="426"/>
        <w:jc w:val="both"/>
        <w:rPr>
          <w:rFonts w:cs="Arial"/>
          <w:szCs w:val="22"/>
        </w:rPr>
      </w:pPr>
      <w:r w:rsidRPr="005F15DA">
        <w:rPr>
          <w:rFonts w:cs="Arial"/>
          <w:szCs w:val="22"/>
        </w:rPr>
        <w:tab/>
        <w:t>-</w:t>
      </w:r>
      <w:r w:rsidRPr="005F15DA">
        <w:rPr>
          <w:rFonts w:cs="Arial"/>
          <w:szCs w:val="22"/>
        </w:rPr>
        <w:tab/>
        <w:t>Sicherung seiner Ansprüche oder</w:t>
      </w:r>
    </w:p>
    <w:p w:rsidR="0054038E" w:rsidRPr="005F15DA" w:rsidRDefault="0054038E" w:rsidP="008851FF">
      <w:pPr>
        <w:tabs>
          <w:tab w:val="left" w:pos="426"/>
          <w:tab w:val="left" w:pos="709"/>
        </w:tabs>
        <w:spacing w:line="240" w:lineRule="auto"/>
        <w:ind w:left="426" w:hanging="426"/>
        <w:jc w:val="both"/>
        <w:rPr>
          <w:rFonts w:cs="Arial"/>
          <w:szCs w:val="22"/>
        </w:rPr>
      </w:pPr>
      <w:r w:rsidRPr="005F15DA">
        <w:rPr>
          <w:rFonts w:cs="Arial"/>
          <w:szCs w:val="22"/>
        </w:rPr>
        <w:tab/>
        <w:t>-</w:t>
      </w:r>
      <w:r w:rsidRPr="005F15DA">
        <w:rPr>
          <w:rFonts w:cs="Arial"/>
          <w:szCs w:val="22"/>
        </w:rPr>
        <w:tab/>
        <w:t>die Wiederherstellung des früheren Zustandes oder</w:t>
      </w:r>
    </w:p>
    <w:p w:rsidR="0054038E" w:rsidRPr="005F15DA" w:rsidRDefault="0054038E" w:rsidP="008851FF">
      <w:pPr>
        <w:tabs>
          <w:tab w:val="left" w:pos="426"/>
          <w:tab w:val="left" w:pos="709"/>
        </w:tabs>
        <w:spacing w:line="240" w:lineRule="auto"/>
        <w:ind w:left="426" w:hanging="426"/>
        <w:jc w:val="both"/>
        <w:rPr>
          <w:rFonts w:cs="Arial"/>
          <w:szCs w:val="22"/>
        </w:rPr>
      </w:pPr>
      <w:r w:rsidRPr="005F15DA">
        <w:rPr>
          <w:rFonts w:cs="Arial"/>
          <w:szCs w:val="22"/>
        </w:rPr>
        <w:tab/>
        <w:t>-</w:t>
      </w:r>
      <w:r w:rsidRPr="005F15DA">
        <w:rPr>
          <w:rFonts w:cs="Arial"/>
          <w:szCs w:val="22"/>
        </w:rPr>
        <w:tab/>
        <w:t>die teilweise Abzahlung der Schuld</w:t>
      </w:r>
    </w:p>
    <w:p w:rsidR="0054038E" w:rsidRPr="005F15DA" w:rsidRDefault="0054038E" w:rsidP="008851FF">
      <w:pPr>
        <w:tabs>
          <w:tab w:val="left" w:pos="426"/>
          <w:tab w:val="left" w:pos="709"/>
        </w:tabs>
        <w:spacing w:line="240" w:lineRule="auto"/>
        <w:ind w:left="426" w:hanging="426"/>
        <w:jc w:val="both"/>
        <w:rPr>
          <w:rFonts w:cs="Arial"/>
          <w:szCs w:val="22"/>
        </w:rPr>
      </w:pPr>
      <w:r w:rsidRPr="005F15DA">
        <w:rPr>
          <w:rFonts w:cs="Arial"/>
          <w:szCs w:val="22"/>
        </w:rPr>
        <w:tab/>
        <w:t>verlangen (Art. 809 ZGB). Wenn von einem Grundstück ein Teil abgetrennt und veräu</w:t>
      </w:r>
      <w:r w:rsidRPr="005F15DA">
        <w:rPr>
          <w:rFonts w:cs="Arial"/>
          <w:szCs w:val="22"/>
        </w:rPr>
        <w:t>s</w:t>
      </w:r>
      <w:r w:rsidRPr="005F15DA">
        <w:rPr>
          <w:rFonts w:cs="Arial"/>
          <w:szCs w:val="22"/>
        </w:rPr>
        <w:t>sert wird, kann der Gläubiger unter den Voraussetzungen von Art. 811 ZGB die verhäl</w:t>
      </w:r>
      <w:r w:rsidRPr="005F15DA">
        <w:rPr>
          <w:rFonts w:cs="Arial"/>
          <w:szCs w:val="22"/>
        </w:rPr>
        <w:t>t</w:t>
      </w:r>
      <w:r w:rsidRPr="005F15DA">
        <w:rPr>
          <w:rFonts w:cs="Arial"/>
          <w:szCs w:val="22"/>
        </w:rPr>
        <w:t>nismässige Abzahlung der Schuld verlangen.</w:t>
      </w:r>
    </w:p>
    <w:p w:rsidR="001911C3" w:rsidRDefault="001911C3" w:rsidP="008851FF">
      <w:pPr>
        <w:tabs>
          <w:tab w:val="left" w:pos="426"/>
          <w:tab w:val="left" w:pos="709"/>
        </w:tabs>
        <w:spacing w:line="240" w:lineRule="auto"/>
        <w:ind w:left="426" w:hanging="426"/>
        <w:jc w:val="both"/>
        <w:rPr>
          <w:rFonts w:cs="Arial"/>
          <w:szCs w:val="22"/>
        </w:rPr>
      </w:pPr>
    </w:p>
    <w:p w:rsidR="00C0637F" w:rsidRPr="005F15DA" w:rsidRDefault="00C0637F" w:rsidP="008851FF">
      <w:pPr>
        <w:tabs>
          <w:tab w:val="left" w:pos="426"/>
          <w:tab w:val="left" w:pos="709"/>
        </w:tabs>
        <w:spacing w:line="240" w:lineRule="auto"/>
        <w:ind w:left="426" w:hanging="426"/>
        <w:jc w:val="both"/>
        <w:rPr>
          <w:rFonts w:cs="Arial"/>
          <w:szCs w:val="22"/>
        </w:rPr>
      </w:pPr>
    </w:p>
    <w:p w:rsidR="00747920" w:rsidRPr="005F15DA" w:rsidRDefault="00747920" w:rsidP="005B0708">
      <w:pPr>
        <w:pStyle w:val="berschrift4"/>
      </w:pPr>
      <w:r w:rsidRPr="005F15DA">
        <w:t>6.</w:t>
      </w:r>
      <w:r w:rsidRPr="005F15DA">
        <w:tab/>
        <w:t>Rangverhältnis</w:t>
      </w:r>
      <w:r w:rsidR="00AD2132" w:rsidRPr="005F15DA">
        <w:t>, Pfandstelle</w:t>
      </w:r>
    </w:p>
    <w:p w:rsidR="00747920" w:rsidRPr="005F15DA" w:rsidRDefault="00747920" w:rsidP="008851FF">
      <w:pPr>
        <w:tabs>
          <w:tab w:val="left" w:pos="426"/>
          <w:tab w:val="left" w:pos="709"/>
        </w:tabs>
        <w:spacing w:line="240" w:lineRule="auto"/>
        <w:ind w:left="426" w:hanging="426"/>
        <w:jc w:val="both"/>
        <w:rPr>
          <w:rFonts w:cs="Arial"/>
          <w:szCs w:val="22"/>
        </w:rPr>
      </w:pPr>
      <w:r w:rsidRPr="005F15DA">
        <w:rPr>
          <w:rFonts w:cs="Arial"/>
          <w:szCs w:val="22"/>
        </w:rPr>
        <w:tab/>
        <w:t>Die Grundpfandrechte, Dienstbarkeiten</w:t>
      </w:r>
      <w:r w:rsidR="00FD5228" w:rsidRPr="005F15DA">
        <w:rPr>
          <w:rFonts w:cs="Arial"/>
          <w:szCs w:val="22"/>
        </w:rPr>
        <w:t>,</w:t>
      </w:r>
      <w:r w:rsidRPr="005F15DA">
        <w:rPr>
          <w:rFonts w:cs="Arial"/>
          <w:szCs w:val="22"/>
        </w:rPr>
        <w:t xml:space="preserve"> Grundlasten </w:t>
      </w:r>
      <w:r w:rsidR="00FD5228" w:rsidRPr="005F15DA">
        <w:rPr>
          <w:rFonts w:cs="Arial"/>
          <w:szCs w:val="22"/>
        </w:rPr>
        <w:t xml:space="preserve">und Vormerkungen </w:t>
      </w:r>
      <w:r w:rsidRPr="005F15DA">
        <w:rPr>
          <w:rFonts w:cs="Arial"/>
          <w:szCs w:val="22"/>
        </w:rPr>
        <w:t>haben untere</w:t>
      </w:r>
      <w:r w:rsidRPr="005F15DA">
        <w:rPr>
          <w:rFonts w:cs="Arial"/>
          <w:szCs w:val="22"/>
        </w:rPr>
        <w:t>i</w:t>
      </w:r>
      <w:r w:rsidRPr="005F15DA">
        <w:rPr>
          <w:rFonts w:cs="Arial"/>
          <w:szCs w:val="22"/>
        </w:rPr>
        <w:t>nander ein Rangverhältnis und zwar entsprechend ihres Alters</w:t>
      </w:r>
      <w:r w:rsidR="005E1954" w:rsidRPr="005F15DA">
        <w:rPr>
          <w:rFonts w:cs="Arial"/>
          <w:szCs w:val="22"/>
        </w:rPr>
        <w:t xml:space="preserve"> (</w:t>
      </w:r>
      <w:r w:rsidR="003463FE" w:rsidRPr="005F15DA">
        <w:rPr>
          <w:rFonts w:cs="Arial"/>
          <w:szCs w:val="22"/>
        </w:rPr>
        <w:t>Alters-Priorität</w:t>
      </w:r>
      <w:r w:rsidR="005E1954" w:rsidRPr="005F15DA">
        <w:rPr>
          <w:rFonts w:cs="Arial"/>
          <w:szCs w:val="22"/>
        </w:rPr>
        <w:t>)</w:t>
      </w:r>
      <w:r w:rsidRPr="005F15DA">
        <w:rPr>
          <w:rFonts w:cs="Arial"/>
          <w:szCs w:val="22"/>
        </w:rPr>
        <w:t xml:space="preserve">. </w:t>
      </w:r>
      <w:r w:rsidR="005E1954" w:rsidRPr="005F15DA">
        <w:rPr>
          <w:rFonts w:cs="Arial"/>
          <w:szCs w:val="22"/>
        </w:rPr>
        <w:t>Zusät</w:t>
      </w:r>
      <w:r w:rsidR="005E1954" w:rsidRPr="005F15DA">
        <w:rPr>
          <w:rFonts w:cs="Arial"/>
          <w:szCs w:val="22"/>
        </w:rPr>
        <w:t>z</w:t>
      </w:r>
      <w:r w:rsidR="005E1954" w:rsidRPr="005F15DA">
        <w:rPr>
          <w:rFonts w:cs="Arial"/>
          <w:szCs w:val="22"/>
        </w:rPr>
        <w:t xml:space="preserve">lich haben die Grundpfandrechte untereinander ein Rangverhältnis entsprechend ihrer Pfandstelle (Rangpriorität). </w:t>
      </w:r>
      <w:r w:rsidRPr="005F15DA">
        <w:rPr>
          <w:rFonts w:cs="Arial"/>
          <w:szCs w:val="22"/>
        </w:rPr>
        <w:t>Stellen sie sich einen Schubladenstock vor; in der 1. Schu</w:t>
      </w:r>
      <w:r w:rsidRPr="005F15DA">
        <w:rPr>
          <w:rFonts w:cs="Arial"/>
          <w:szCs w:val="22"/>
        </w:rPr>
        <w:t>b</w:t>
      </w:r>
      <w:r w:rsidRPr="005F15DA">
        <w:rPr>
          <w:rFonts w:cs="Arial"/>
          <w:szCs w:val="22"/>
        </w:rPr>
        <w:lastRenderedPageBreak/>
        <w:t xml:space="preserve">lade (zuoberst) ist das älteste dieser Kategorien, in der 2. Schublade das zweitälteste usw. </w:t>
      </w:r>
    </w:p>
    <w:p w:rsidR="00747920" w:rsidRPr="005F15DA" w:rsidRDefault="00747920" w:rsidP="008851FF">
      <w:pPr>
        <w:tabs>
          <w:tab w:val="left" w:pos="426"/>
          <w:tab w:val="left" w:pos="709"/>
        </w:tabs>
        <w:spacing w:line="240" w:lineRule="auto"/>
        <w:ind w:left="426" w:hanging="426"/>
        <w:jc w:val="both"/>
        <w:rPr>
          <w:rFonts w:cs="Arial"/>
          <w:szCs w:val="22"/>
        </w:rPr>
      </w:pPr>
    </w:p>
    <w:p w:rsidR="00D36078" w:rsidRPr="005F15DA" w:rsidRDefault="00747920" w:rsidP="008851FF">
      <w:pPr>
        <w:tabs>
          <w:tab w:val="left" w:pos="426"/>
          <w:tab w:val="left" w:pos="709"/>
        </w:tabs>
        <w:spacing w:line="240" w:lineRule="auto"/>
        <w:ind w:left="426" w:hanging="426"/>
        <w:jc w:val="both"/>
        <w:rPr>
          <w:rFonts w:cs="Arial"/>
          <w:szCs w:val="22"/>
        </w:rPr>
      </w:pPr>
      <w:r w:rsidRPr="005F15DA">
        <w:rPr>
          <w:rFonts w:cs="Arial"/>
          <w:szCs w:val="22"/>
        </w:rPr>
        <w:tab/>
        <w:t xml:space="preserve">Beispiel: Dienstbarkeit Wohnrecht </w:t>
      </w:r>
      <w:r w:rsidR="00D7448B" w:rsidRPr="005F15DA">
        <w:rPr>
          <w:rFonts w:cs="Arial"/>
          <w:szCs w:val="22"/>
        </w:rPr>
        <w:t xml:space="preserve">aus dem Jahr </w:t>
      </w:r>
      <w:r w:rsidR="00FA24C7" w:rsidRPr="005F15DA">
        <w:rPr>
          <w:rFonts w:cs="Arial"/>
          <w:szCs w:val="22"/>
        </w:rPr>
        <w:t>2000, Schuldbrief Fr. 2</w:t>
      </w:r>
      <w:r w:rsidRPr="005F15DA">
        <w:rPr>
          <w:rFonts w:cs="Arial"/>
          <w:szCs w:val="22"/>
        </w:rPr>
        <w:t xml:space="preserve">00'000.— </w:t>
      </w:r>
      <w:r w:rsidR="00D7448B" w:rsidRPr="005F15DA">
        <w:rPr>
          <w:rFonts w:cs="Arial"/>
          <w:szCs w:val="22"/>
        </w:rPr>
        <w:t xml:space="preserve">aus dem Jahr </w:t>
      </w:r>
      <w:r w:rsidRPr="005F15DA">
        <w:rPr>
          <w:rFonts w:cs="Arial"/>
          <w:szCs w:val="22"/>
        </w:rPr>
        <w:t>2010. Die Dienstbarkeit geht also dem Schu</w:t>
      </w:r>
      <w:r w:rsidR="00D36078" w:rsidRPr="005F15DA">
        <w:rPr>
          <w:rFonts w:cs="Arial"/>
          <w:szCs w:val="22"/>
        </w:rPr>
        <w:t xml:space="preserve">ldbrief vor und mindert </w:t>
      </w:r>
      <w:r w:rsidR="00D7448B" w:rsidRPr="005F15DA">
        <w:rPr>
          <w:rFonts w:cs="Arial"/>
          <w:szCs w:val="22"/>
        </w:rPr>
        <w:t>normale</w:t>
      </w:r>
      <w:r w:rsidR="00D7448B" w:rsidRPr="005F15DA">
        <w:rPr>
          <w:rFonts w:cs="Arial"/>
          <w:szCs w:val="22"/>
        </w:rPr>
        <w:t>r</w:t>
      </w:r>
      <w:r w:rsidR="00D7448B" w:rsidRPr="005F15DA">
        <w:rPr>
          <w:rFonts w:cs="Arial"/>
          <w:szCs w:val="22"/>
        </w:rPr>
        <w:t xml:space="preserve">weise </w:t>
      </w:r>
      <w:r w:rsidR="00D36078" w:rsidRPr="005F15DA">
        <w:rPr>
          <w:rFonts w:cs="Arial"/>
          <w:szCs w:val="22"/>
        </w:rPr>
        <w:t>den Wert des Grundstückes, weil der Wohnberechtigte in seiner Wohnung bleiben darf, auch wenn ein neuer Eigentümer das Grundstück erwirbt.</w:t>
      </w:r>
    </w:p>
    <w:p w:rsidR="00FD5228" w:rsidRPr="005F15DA" w:rsidRDefault="00FD5228" w:rsidP="008851FF">
      <w:pPr>
        <w:tabs>
          <w:tab w:val="left" w:pos="426"/>
          <w:tab w:val="left" w:pos="709"/>
        </w:tabs>
        <w:spacing w:line="240" w:lineRule="auto"/>
        <w:ind w:left="426" w:hanging="426"/>
        <w:jc w:val="both"/>
        <w:rPr>
          <w:rFonts w:cs="Arial"/>
          <w:szCs w:val="22"/>
        </w:rPr>
      </w:pPr>
    </w:p>
    <w:p w:rsidR="00FD5228" w:rsidRPr="005F15DA" w:rsidRDefault="00FD5228" w:rsidP="008851FF">
      <w:pPr>
        <w:tabs>
          <w:tab w:val="left" w:pos="426"/>
          <w:tab w:val="left" w:pos="709"/>
        </w:tabs>
        <w:spacing w:line="240" w:lineRule="auto"/>
        <w:ind w:left="426" w:hanging="426"/>
        <w:jc w:val="both"/>
        <w:rPr>
          <w:rFonts w:cs="Arial"/>
          <w:szCs w:val="22"/>
        </w:rPr>
      </w:pPr>
      <w:r w:rsidRPr="005F15DA">
        <w:rPr>
          <w:rFonts w:cs="Arial"/>
          <w:szCs w:val="22"/>
        </w:rPr>
        <w:tab/>
        <w:t>Wenn auf einem Grundstück bereits eine Dienstbarkeit, Grundlast oder Vormerkung ei</w:t>
      </w:r>
      <w:r w:rsidRPr="005F15DA">
        <w:rPr>
          <w:rFonts w:cs="Arial"/>
          <w:szCs w:val="22"/>
        </w:rPr>
        <w:t>n</w:t>
      </w:r>
      <w:r w:rsidRPr="005F15DA">
        <w:rPr>
          <w:rFonts w:cs="Arial"/>
          <w:szCs w:val="22"/>
        </w:rPr>
        <w:t>getragen ist, welche den Wert des Grundstückes mindert, wird der Grundpfandgläubiger immer den Nachgang dieser Last gegenüber dem neuen Grundpfandrecht verlangen, d.h. der Wohnberechtigte muss den Nachgang gegenüber dem Schuldbrief geben (1. Schublade = Schuldbrief, 2. Schublade = Wohnrecht).</w:t>
      </w:r>
    </w:p>
    <w:p w:rsidR="00FD5228" w:rsidRPr="005F15DA" w:rsidRDefault="00FD5228" w:rsidP="008851FF">
      <w:pPr>
        <w:tabs>
          <w:tab w:val="left" w:pos="426"/>
          <w:tab w:val="left" w:pos="709"/>
        </w:tabs>
        <w:spacing w:line="240" w:lineRule="auto"/>
        <w:ind w:left="426" w:hanging="426"/>
        <w:jc w:val="both"/>
        <w:rPr>
          <w:rFonts w:cs="Arial"/>
          <w:szCs w:val="22"/>
        </w:rPr>
      </w:pPr>
    </w:p>
    <w:p w:rsidR="00FD5228" w:rsidRPr="005F15DA" w:rsidRDefault="00FD5228" w:rsidP="008851FF">
      <w:pPr>
        <w:tabs>
          <w:tab w:val="left" w:pos="426"/>
          <w:tab w:val="left" w:pos="709"/>
        </w:tabs>
        <w:spacing w:line="240" w:lineRule="auto"/>
        <w:ind w:left="426" w:hanging="426"/>
        <w:jc w:val="both"/>
        <w:rPr>
          <w:rFonts w:cs="Arial"/>
          <w:szCs w:val="22"/>
        </w:rPr>
      </w:pPr>
      <w:r w:rsidRPr="005F15DA">
        <w:rPr>
          <w:rFonts w:cs="Arial"/>
          <w:szCs w:val="22"/>
        </w:rPr>
        <w:tab/>
        <w:t xml:space="preserve">Wenn nach der Errichtung eines Grundpfandrechtes eine Dienstbarkeit oder Grundlast auf einem Grundstück eingetragen wird, ohne dass der Grundpfandgläubiger zustimmt, muss die nachgehende Belastung gelöscht werden, wenn der Grundpfandgläubiger bei der Pfandverwertung keine volle Deckung erhält (Art. 812 ZGB). </w:t>
      </w:r>
      <w:r w:rsidR="005E1954" w:rsidRPr="005F15DA">
        <w:rPr>
          <w:rFonts w:cs="Arial"/>
          <w:szCs w:val="22"/>
        </w:rPr>
        <w:t>Die nachgehende Dienstbarkeit kann nicht mehr ausgeübt werden, der Berechtigte wird aber aus dem allfä</w:t>
      </w:r>
      <w:r w:rsidR="005E1954" w:rsidRPr="005F15DA">
        <w:rPr>
          <w:rFonts w:cs="Arial"/>
          <w:szCs w:val="22"/>
        </w:rPr>
        <w:t>l</w:t>
      </w:r>
      <w:r w:rsidR="005E1954" w:rsidRPr="005F15DA">
        <w:rPr>
          <w:rFonts w:cs="Arial"/>
          <w:szCs w:val="22"/>
        </w:rPr>
        <w:t>ligen Erlös-Überschuss abgefunden (das Wohnrecht geht unter, der Berechtigte erhält e</w:t>
      </w:r>
      <w:r w:rsidR="005E1954" w:rsidRPr="005F15DA">
        <w:rPr>
          <w:rFonts w:cs="Arial"/>
          <w:szCs w:val="22"/>
        </w:rPr>
        <w:t>i</w:t>
      </w:r>
      <w:r w:rsidR="005E1954" w:rsidRPr="005F15DA">
        <w:rPr>
          <w:rFonts w:cs="Arial"/>
          <w:szCs w:val="22"/>
        </w:rPr>
        <w:t>ne (Teil-)Entschädigung in Geld).</w:t>
      </w:r>
    </w:p>
    <w:p w:rsidR="00AD2132" w:rsidRPr="005F15DA" w:rsidRDefault="00AD2132" w:rsidP="008851FF">
      <w:pPr>
        <w:tabs>
          <w:tab w:val="left" w:pos="426"/>
          <w:tab w:val="left" w:pos="709"/>
        </w:tabs>
        <w:spacing w:line="240" w:lineRule="auto"/>
        <w:ind w:left="426" w:hanging="426"/>
        <w:jc w:val="both"/>
        <w:rPr>
          <w:rFonts w:cs="Arial"/>
          <w:szCs w:val="22"/>
        </w:rPr>
      </w:pPr>
    </w:p>
    <w:p w:rsidR="00AD2132" w:rsidRPr="005F15DA" w:rsidRDefault="00AD2132" w:rsidP="008851FF">
      <w:pPr>
        <w:tabs>
          <w:tab w:val="left" w:pos="426"/>
          <w:tab w:val="left" w:pos="709"/>
        </w:tabs>
        <w:spacing w:line="240" w:lineRule="auto"/>
        <w:ind w:left="426" w:hanging="426"/>
        <w:jc w:val="both"/>
        <w:rPr>
          <w:rFonts w:cs="Arial"/>
          <w:szCs w:val="22"/>
        </w:rPr>
      </w:pPr>
      <w:r w:rsidRPr="005F15DA">
        <w:rPr>
          <w:rFonts w:cs="Arial"/>
          <w:szCs w:val="22"/>
        </w:rPr>
        <w:tab/>
        <w:t>Auch die Grundpfandrechte untereinander haben ein Rangverhältnis; man spricht hier von der Pfandstelle.</w:t>
      </w:r>
      <w:r w:rsidR="00FA24C7" w:rsidRPr="005F15DA">
        <w:rPr>
          <w:rFonts w:cs="Arial"/>
          <w:szCs w:val="22"/>
        </w:rPr>
        <w:t xml:space="preserve"> Bezogen auf das vorstehende Beispiel: im Jahr 2012 wird ein neuer Schuldbrief für Fr. 50'000</w:t>
      </w:r>
      <w:proofErr w:type="gramStart"/>
      <w:r w:rsidR="00FA24C7" w:rsidRPr="005F15DA">
        <w:rPr>
          <w:rFonts w:cs="Arial"/>
          <w:szCs w:val="22"/>
        </w:rPr>
        <w:t>.—</w:t>
      </w:r>
      <w:proofErr w:type="gramEnd"/>
      <w:r w:rsidR="00FA24C7" w:rsidRPr="005F15DA">
        <w:rPr>
          <w:rFonts w:cs="Arial"/>
          <w:szCs w:val="22"/>
        </w:rPr>
        <w:t xml:space="preserve"> </w:t>
      </w:r>
      <w:r w:rsidR="007D2ED9" w:rsidRPr="005F15DA">
        <w:rPr>
          <w:rFonts w:cs="Arial"/>
          <w:szCs w:val="22"/>
        </w:rPr>
        <w:t xml:space="preserve">errichtet; weil der 1. Rang bereits besetzt ist, muss der neue Schuldbrief </w:t>
      </w:r>
      <w:r w:rsidR="00FA24C7" w:rsidRPr="005F15DA">
        <w:rPr>
          <w:rFonts w:cs="Arial"/>
          <w:szCs w:val="22"/>
        </w:rPr>
        <w:t>im 2. Rang errichtet</w:t>
      </w:r>
      <w:r w:rsidR="007D2ED9" w:rsidRPr="005F15DA">
        <w:rPr>
          <w:rFonts w:cs="Arial"/>
          <w:szCs w:val="22"/>
        </w:rPr>
        <w:t xml:space="preserve"> werden</w:t>
      </w:r>
      <w:r w:rsidR="00FA24C7" w:rsidRPr="005F15DA">
        <w:rPr>
          <w:rFonts w:cs="Arial"/>
          <w:szCs w:val="22"/>
        </w:rPr>
        <w:t xml:space="preserve">. </w:t>
      </w:r>
    </w:p>
    <w:p w:rsidR="00FA24C7" w:rsidRPr="005F15DA" w:rsidRDefault="00FA24C7" w:rsidP="008851FF">
      <w:pPr>
        <w:tabs>
          <w:tab w:val="left" w:pos="426"/>
          <w:tab w:val="left" w:pos="709"/>
        </w:tabs>
        <w:spacing w:line="240" w:lineRule="auto"/>
        <w:ind w:left="426" w:hanging="426"/>
        <w:jc w:val="both"/>
        <w:rPr>
          <w:rFonts w:cs="Arial"/>
          <w:szCs w:val="22"/>
        </w:rPr>
      </w:pPr>
    </w:p>
    <w:p w:rsidR="00FA24C7" w:rsidRPr="005F15DA" w:rsidRDefault="00FA24C7" w:rsidP="008851FF">
      <w:pPr>
        <w:tabs>
          <w:tab w:val="left" w:pos="426"/>
          <w:tab w:val="left" w:pos="709"/>
        </w:tabs>
        <w:spacing w:line="240" w:lineRule="auto"/>
        <w:ind w:left="426" w:hanging="426"/>
        <w:jc w:val="both"/>
        <w:rPr>
          <w:rFonts w:cs="Arial"/>
          <w:szCs w:val="22"/>
        </w:rPr>
      </w:pPr>
      <w:r w:rsidRPr="005F15DA">
        <w:rPr>
          <w:rFonts w:cs="Arial"/>
          <w:szCs w:val="22"/>
        </w:rPr>
        <w:tab/>
        <w:t>Neue Grundpfandrechte werden normalerweise im nächsten freien Rang eingetragen</w:t>
      </w:r>
      <w:r w:rsidR="007F6819" w:rsidRPr="005F15DA">
        <w:rPr>
          <w:rFonts w:cs="Arial"/>
          <w:szCs w:val="22"/>
        </w:rPr>
        <w:t xml:space="preserve"> (Art. 813 - 815 ZGB).</w:t>
      </w:r>
      <w:r w:rsidRPr="005F15DA">
        <w:rPr>
          <w:rFonts w:cs="Arial"/>
          <w:szCs w:val="22"/>
        </w:rPr>
        <w:t xml:space="preserve"> Es ist </w:t>
      </w:r>
      <w:r w:rsidR="007F6819" w:rsidRPr="005F15DA">
        <w:rPr>
          <w:rFonts w:cs="Arial"/>
          <w:szCs w:val="22"/>
        </w:rPr>
        <w:t xml:space="preserve">aber </w:t>
      </w:r>
      <w:r w:rsidRPr="005F15DA">
        <w:rPr>
          <w:rFonts w:cs="Arial"/>
          <w:szCs w:val="22"/>
        </w:rPr>
        <w:t>möglich, bei der Begründung eines Grundpfandrechtes eine oder mehrere Pfandstellen offen zu lassen, allerdings muss der Vorgang (Betrag um welchen ein Pfandrecht in der leeren Pfandstelle eingetragen werden darf) festgelegt werden. Der Schuldbrief aus dem Jahr 2012 könnte also im 3. Rang eingetragen werden, wobei der Vorgang der 2. Pfandstelle auf Fr. 100'000</w:t>
      </w:r>
      <w:proofErr w:type="gramStart"/>
      <w:r w:rsidRPr="005F15DA">
        <w:rPr>
          <w:rFonts w:cs="Arial"/>
          <w:szCs w:val="22"/>
        </w:rPr>
        <w:t>.—</w:t>
      </w:r>
      <w:proofErr w:type="gramEnd"/>
      <w:r w:rsidRPr="005F15DA">
        <w:rPr>
          <w:rFonts w:cs="Arial"/>
          <w:szCs w:val="22"/>
        </w:rPr>
        <w:t xml:space="preserve"> festgelegt wird</w:t>
      </w:r>
      <w:r w:rsidR="007F6819" w:rsidRPr="005F15DA">
        <w:rPr>
          <w:rFonts w:cs="Arial"/>
          <w:szCs w:val="22"/>
        </w:rPr>
        <w:t xml:space="preserve"> (eventuell müsste auch der Höchstzinsfuss des Vorganges festgelegt werden). Im Jahr 2015 könnte dann im 2. Rang ein Fr. 100'000</w:t>
      </w:r>
      <w:proofErr w:type="gramStart"/>
      <w:r w:rsidR="007F6819" w:rsidRPr="005F15DA">
        <w:rPr>
          <w:rFonts w:cs="Arial"/>
          <w:szCs w:val="22"/>
        </w:rPr>
        <w:t>.—</w:t>
      </w:r>
      <w:proofErr w:type="gramEnd"/>
      <w:r w:rsidR="007F6819" w:rsidRPr="005F15DA">
        <w:rPr>
          <w:rFonts w:cs="Arial"/>
          <w:szCs w:val="22"/>
        </w:rPr>
        <w:t xml:space="preserve"> Schuldbrief eingetragen werden, ohne dass der Gläubiger des Schuldbriefes im 3. Rang zustimmen muss. </w:t>
      </w:r>
      <w:r w:rsidR="007A17D1" w:rsidRPr="005F15DA">
        <w:rPr>
          <w:rFonts w:cs="Arial"/>
          <w:szCs w:val="22"/>
        </w:rPr>
        <w:t>Zudem ist es möglich, dass mehrere Grundpfandrechte im gleichen Rang eingetragen werden; man spricht hier von der Ran</w:t>
      </w:r>
      <w:r w:rsidR="007A17D1" w:rsidRPr="005F15DA">
        <w:rPr>
          <w:rFonts w:cs="Arial"/>
          <w:szCs w:val="22"/>
        </w:rPr>
        <w:t>g</w:t>
      </w:r>
      <w:r w:rsidR="007A17D1" w:rsidRPr="005F15DA">
        <w:rPr>
          <w:rFonts w:cs="Arial"/>
          <w:szCs w:val="22"/>
        </w:rPr>
        <w:t>konkurrenz.</w:t>
      </w:r>
    </w:p>
    <w:p w:rsidR="007F6819" w:rsidRPr="005F15DA" w:rsidRDefault="007F6819" w:rsidP="008851FF">
      <w:pPr>
        <w:tabs>
          <w:tab w:val="left" w:pos="426"/>
          <w:tab w:val="left" w:pos="709"/>
        </w:tabs>
        <w:spacing w:line="240" w:lineRule="auto"/>
        <w:ind w:left="426" w:hanging="426"/>
        <w:jc w:val="both"/>
        <w:rPr>
          <w:rFonts w:cs="Arial"/>
          <w:szCs w:val="22"/>
        </w:rPr>
      </w:pPr>
    </w:p>
    <w:p w:rsidR="007F6819" w:rsidRPr="005F15DA" w:rsidRDefault="007F6819" w:rsidP="008851FF">
      <w:pPr>
        <w:tabs>
          <w:tab w:val="left" w:pos="426"/>
          <w:tab w:val="left" w:pos="709"/>
        </w:tabs>
        <w:spacing w:line="240" w:lineRule="auto"/>
        <w:ind w:left="426" w:hanging="426"/>
        <w:jc w:val="both"/>
        <w:rPr>
          <w:rFonts w:cs="Arial"/>
          <w:szCs w:val="22"/>
        </w:rPr>
      </w:pPr>
      <w:r w:rsidRPr="005F15DA">
        <w:rPr>
          <w:rFonts w:cs="Arial"/>
          <w:szCs w:val="22"/>
        </w:rPr>
        <w:tab/>
        <w:t>Wenn ein im Rang vorgehendes Grundpfandrecht gelöscht wird, rücken die nachgehe</w:t>
      </w:r>
      <w:r w:rsidRPr="005F15DA">
        <w:rPr>
          <w:rFonts w:cs="Arial"/>
          <w:szCs w:val="22"/>
        </w:rPr>
        <w:t>n</w:t>
      </w:r>
      <w:r w:rsidRPr="005F15DA">
        <w:rPr>
          <w:rFonts w:cs="Arial"/>
          <w:szCs w:val="22"/>
        </w:rPr>
        <w:t>den Grundpfandrechte nicht automatisch nach und es entstehen leere Pfandstellen. In diesen leeren Pfandstellen dürfen neue Grundpfandrechte errichtet werden, welche aber die Rechte der nachgehenden Gläubiger nicht verschlechtern dürfen. Durch die Vorme</w:t>
      </w:r>
      <w:r w:rsidRPr="005F15DA">
        <w:rPr>
          <w:rFonts w:cs="Arial"/>
          <w:szCs w:val="22"/>
        </w:rPr>
        <w:t>r</w:t>
      </w:r>
      <w:r w:rsidRPr="005F15DA">
        <w:rPr>
          <w:rFonts w:cs="Arial"/>
          <w:szCs w:val="22"/>
        </w:rPr>
        <w:t>kung eines "Nachrückungsrechtes" kann die Entstehung einer leeren Pfandstelle verhi</w:t>
      </w:r>
      <w:r w:rsidRPr="005F15DA">
        <w:rPr>
          <w:rFonts w:cs="Arial"/>
          <w:szCs w:val="22"/>
        </w:rPr>
        <w:t>n</w:t>
      </w:r>
      <w:r w:rsidRPr="005F15DA">
        <w:rPr>
          <w:rFonts w:cs="Arial"/>
          <w:szCs w:val="22"/>
        </w:rPr>
        <w:t xml:space="preserve">dert werden. </w:t>
      </w:r>
      <w:r w:rsidR="007A17D1" w:rsidRPr="005F15DA">
        <w:rPr>
          <w:rFonts w:cs="Arial"/>
          <w:szCs w:val="22"/>
        </w:rPr>
        <w:t>Im Kanton Bern ist der Verzicht auf eine leere Pfandstelle üblich und bereits auf dem Löschungsformular vermerkt.</w:t>
      </w:r>
    </w:p>
    <w:p w:rsidR="007A17D1" w:rsidRPr="005F15DA" w:rsidRDefault="007A17D1" w:rsidP="008851FF">
      <w:pPr>
        <w:tabs>
          <w:tab w:val="left" w:pos="426"/>
          <w:tab w:val="left" w:pos="709"/>
        </w:tabs>
        <w:spacing w:line="240" w:lineRule="auto"/>
        <w:ind w:left="426" w:hanging="426"/>
        <w:jc w:val="both"/>
        <w:rPr>
          <w:rFonts w:cs="Arial"/>
          <w:szCs w:val="22"/>
        </w:rPr>
      </w:pPr>
    </w:p>
    <w:p w:rsidR="007A17D1" w:rsidRPr="005F15DA" w:rsidRDefault="007A17D1" w:rsidP="008851FF">
      <w:pPr>
        <w:tabs>
          <w:tab w:val="left" w:pos="426"/>
          <w:tab w:val="left" w:pos="709"/>
        </w:tabs>
        <w:spacing w:line="240" w:lineRule="auto"/>
        <w:ind w:left="426" w:hanging="426"/>
        <w:jc w:val="both"/>
        <w:rPr>
          <w:rFonts w:cs="Arial"/>
          <w:szCs w:val="22"/>
        </w:rPr>
      </w:pPr>
    </w:p>
    <w:p w:rsidR="007A17D1" w:rsidRPr="005F15DA" w:rsidRDefault="007A17D1" w:rsidP="005B0708">
      <w:pPr>
        <w:pStyle w:val="berschrift4"/>
      </w:pPr>
      <w:r w:rsidRPr="005F15DA">
        <w:t>7.</w:t>
      </w:r>
      <w:r w:rsidRPr="005F15DA">
        <w:tab/>
        <w:t>Befriedigung aus dem Pfand</w:t>
      </w:r>
    </w:p>
    <w:p w:rsidR="00DE2D3D" w:rsidRPr="005F15DA" w:rsidRDefault="007A17D1" w:rsidP="008851FF">
      <w:pPr>
        <w:tabs>
          <w:tab w:val="left" w:pos="426"/>
        </w:tabs>
        <w:spacing w:line="240" w:lineRule="auto"/>
        <w:ind w:left="426" w:hanging="426"/>
        <w:jc w:val="both"/>
        <w:rPr>
          <w:rFonts w:cs="Arial"/>
          <w:szCs w:val="22"/>
        </w:rPr>
      </w:pPr>
      <w:r w:rsidRPr="005F15DA">
        <w:rPr>
          <w:rFonts w:cs="Arial"/>
          <w:szCs w:val="22"/>
        </w:rPr>
        <w:tab/>
        <w:t>Wenn eine grundpfandgesicherte Forderung (Kapital und/oder Zinse) nicht bezahlt wird, kann der Gläubiger die Grundpfandverwertung beim Betreibungs- und Konkursamt oder den freihändigen Verkauf verlangen.</w:t>
      </w:r>
    </w:p>
    <w:p w:rsidR="007A17D1" w:rsidRPr="005F15DA" w:rsidRDefault="007A17D1" w:rsidP="008851FF">
      <w:pPr>
        <w:tabs>
          <w:tab w:val="left" w:pos="426"/>
        </w:tabs>
        <w:spacing w:line="240" w:lineRule="auto"/>
        <w:jc w:val="both"/>
        <w:rPr>
          <w:rFonts w:cs="Arial"/>
          <w:szCs w:val="22"/>
        </w:rPr>
      </w:pPr>
    </w:p>
    <w:p w:rsidR="00EE198B" w:rsidRPr="005F15DA" w:rsidRDefault="007A17D1" w:rsidP="008851FF">
      <w:pPr>
        <w:tabs>
          <w:tab w:val="left" w:pos="426"/>
        </w:tabs>
        <w:spacing w:line="240" w:lineRule="auto"/>
        <w:ind w:left="426" w:hanging="426"/>
        <w:jc w:val="both"/>
        <w:rPr>
          <w:rFonts w:cs="Arial"/>
          <w:szCs w:val="22"/>
        </w:rPr>
      </w:pPr>
      <w:r w:rsidRPr="005F15DA">
        <w:rPr>
          <w:rFonts w:cs="Arial"/>
          <w:szCs w:val="22"/>
        </w:rPr>
        <w:lastRenderedPageBreak/>
        <w:tab/>
        <w:t>Der Erlös aus der Versteigerung oder dem Verkauf des Grundstückes wird unter die Grundpfandgläu</w:t>
      </w:r>
      <w:r w:rsidR="00EE198B" w:rsidRPr="005F15DA">
        <w:rPr>
          <w:rFonts w:cs="Arial"/>
          <w:szCs w:val="22"/>
        </w:rPr>
        <w:t>biger nach ihrem Rang verteilt (Art. 817 ZGB).</w:t>
      </w:r>
      <w:r w:rsidR="00E84738" w:rsidRPr="005F15DA">
        <w:rPr>
          <w:rFonts w:cs="Arial"/>
          <w:szCs w:val="22"/>
        </w:rPr>
        <w:t xml:space="preserve"> Als erste erhalten die Gläubiger im 1. Rang ihr Geld; der allfällige Rest (Überschuss) geht an die Gläubiger im 2. Rang; </w:t>
      </w:r>
      <w:r w:rsidR="00D36E6C" w:rsidRPr="005F15DA">
        <w:rPr>
          <w:rFonts w:cs="Arial"/>
          <w:szCs w:val="22"/>
        </w:rPr>
        <w:t>ein allfällig weiter vorhandener</w:t>
      </w:r>
      <w:r w:rsidR="00E84738" w:rsidRPr="005F15DA">
        <w:rPr>
          <w:rFonts w:cs="Arial"/>
          <w:szCs w:val="22"/>
        </w:rPr>
        <w:t xml:space="preserve"> Rest (Überschuss) geht an die Gläubiger im 3. Rang usw. Wenn alle Grundpfandgläubiger volle Deckung für ihre Forderungen erhalten haben, geht der noch vorhandene Rest aus dem Steigerungserlös an die weiteren Glä</w:t>
      </w:r>
      <w:r w:rsidR="00E84738" w:rsidRPr="005F15DA">
        <w:rPr>
          <w:rFonts w:cs="Arial"/>
          <w:szCs w:val="22"/>
        </w:rPr>
        <w:t>u</w:t>
      </w:r>
      <w:r w:rsidR="00E84738" w:rsidRPr="005F15DA">
        <w:rPr>
          <w:rFonts w:cs="Arial"/>
          <w:szCs w:val="22"/>
        </w:rPr>
        <w:t>biger (2. und 3. Klasse nach SchKG).</w:t>
      </w:r>
    </w:p>
    <w:p w:rsidR="00E84738" w:rsidRPr="005F15DA" w:rsidRDefault="00E84738" w:rsidP="008851FF">
      <w:pPr>
        <w:tabs>
          <w:tab w:val="left" w:pos="426"/>
        </w:tabs>
        <w:spacing w:line="240" w:lineRule="auto"/>
        <w:ind w:left="426" w:hanging="426"/>
        <w:jc w:val="both"/>
        <w:rPr>
          <w:rFonts w:cs="Arial"/>
          <w:szCs w:val="22"/>
        </w:rPr>
      </w:pPr>
    </w:p>
    <w:p w:rsidR="007A17D1" w:rsidRPr="005F15DA" w:rsidRDefault="00EE198B" w:rsidP="008851FF">
      <w:pPr>
        <w:tabs>
          <w:tab w:val="left" w:pos="426"/>
        </w:tabs>
        <w:spacing w:line="240" w:lineRule="auto"/>
        <w:jc w:val="both"/>
        <w:rPr>
          <w:rFonts w:cs="Arial"/>
          <w:szCs w:val="22"/>
        </w:rPr>
      </w:pPr>
      <w:r w:rsidRPr="005F15DA">
        <w:rPr>
          <w:rFonts w:cs="Arial"/>
          <w:szCs w:val="22"/>
        </w:rPr>
        <w:tab/>
      </w:r>
      <w:r w:rsidR="007A17D1" w:rsidRPr="00C0637F">
        <w:rPr>
          <w:rFonts w:cs="Arial"/>
          <w:szCs w:val="22"/>
          <w:u w:val="single"/>
        </w:rPr>
        <w:t>Beispiel</w:t>
      </w:r>
      <w:r w:rsidR="00E84738" w:rsidRPr="00C0637F">
        <w:rPr>
          <w:rFonts w:cs="Arial"/>
          <w:szCs w:val="22"/>
          <w:u w:val="single"/>
        </w:rPr>
        <w:t xml:space="preserve"> 1</w:t>
      </w:r>
      <w:r w:rsidR="007A17D1" w:rsidRPr="005F15DA">
        <w:rPr>
          <w:rFonts w:cs="Arial"/>
          <w:szCs w:val="22"/>
        </w:rPr>
        <w:t>:</w:t>
      </w:r>
    </w:p>
    <w:p w:rsidR="007A17D1" w:rsidRPr="005F15DA" w:rsidRDefault="007A17D1" w:rsidP="008851FF">
      <w:pPr>
        <w:tabs>
          <w:tab w:val="left" w:pos="426"/>
        </w:tabs>
        <w:spacing w:line="240" w:lineRule="auto"/>
        <w:jc w:val="both"/>
        <w:rPr>
          <w:rFonts w:cs="Arial"/>
          <w:szCs w:val="22"/>
        </w:rPr>
      </w:pPr>
      <w:r w:rsidRPr="005F15DA">
        <w:rPr>
          <w:rFonts w:cs="Arial"/>
          <w:szCs w:val="22"/>
        </w:rPr>
        <w:tab/>
        <w:t>1. Rang: Fr. 200'000.— Schuldbrief,</w:t>
      </w:r>
    </w:p>
    <w:p w:rsidR="007A17D1" w:rsidRPr="005F15DA" w:rsidRDefault="007A17D1" w:rsidP="008851FF">
      <w:pPr>
        <w:tabs>
          <w:tab w:val="left" w:pos="426"/>
        </w:tabs>
        <w:spacing w:line="240" w:lineRule="auto"/>
        <w:jc w:val="both"/>
        <w:rPr>
          <w:rFonts w:cs="Arial"/>
          <w:szCs w:val="22"/>
        </w:rPr>
      </w:pPr>
      <w:r w:rsidRPr="005F15DA">
        <w:rPr>
          <w:rFonts w:cs="Arial"/>
          <w:szCs w:val="22"/>
        </w:rPr>
        <w:tab/>
        <w:t>2. Rang: Fr. 50'000.— Schuldbrief,</w:t>
      </w:r>
    </w:p>
    <w:p w:rsidR="007A17D1" w:rsidRPr="005F15DA" w:rsidRDefault="007A17D1" w:rsidP="008851FF">
      <w:pPr>
        <w:tabs>
          <w:tab w:val="left" w:pos="426"/>
        </w:tabs>
        <w:spacing w:line="240" w:lineRule="auto"/>
        <w:jc w:val="both"/>
        <w:rPr>
          <w:rFonts w:cs="Arial"/>
          <w:szCs w:val="22"/>
        </w:rPr>
      </w:pPr>
      <w:r w:rsidRPr="005F15DA">
        <w:rPr>
          <w:rFonts w:cs="Arial"/>
          <w:szCs w:val="22"/>
        </w:rPr>
        <w:tab/>
        <w:t>2. Rang: Fr. 50'000.— Schuldbrief,</w:t>
      </w:r>
    </w:p>
    <w:p w:rsidR="007A17D1" w:rsidRPr="005F15DA" w:rsidRDefault="007A17D1" w:rsidP="008851FF">
      <w:pPr>
        <w:tabs>
          <w:tab w:val="left" w:pos="426"/>
        </w:tabs>
        <w:spacing w:line="240" w:lineRule="auto"/>
        <w:jc w:val="both"/>
        <w:rPr>
          <w:rFonts w:cs="Arial"/>
          <w:szCs w:val="22"/>
        </w:rPr>
      </w:pPr>
      <w:r w:rsidRPr="005F15DA">
        <w:rPr>
          <w:rFonts w:cs="Arial"/>
          <w:szCs w:val="22"/>
        </w:rPr>
        <w:tab/>
        <w:t>3. Rang: Fr. 50'000.— Schuldbrief,</w:t>
      </w:r>
    </w:p>
    <w:p w:rsidR="007A17D1" w:rsidRPr="005F15DA" w:rsidRDefault="007A17D1" w:rsidP="008851FF">
      <w:pPr>
        <w:tabs>
          <w:tab w:val="left" w:pos="426"/>
        </w:tabs>
        <w:spacing w:line="240" w:lineRule="auto"/>
        <w:jc w:val="both"/>
        <w:rPr>
          <w:rFonts w:cs="Arial"/>
          <w:szCs w:val="22"/>
        </w:rPr>
      </w:pPr>
      <w:r w:rsidRPr="005F15DA">
        <w:rPr>
          <w:rFonts w:cs="Arial"/>
          <w:szCs w:val="22"/>
        </w:rPr>
        <w:tab/>
        <w:t>Erlös Fr. 280'000</w:t>
      </w:r>
      <w:proofErr w:type="gramStart"/>
      <w:r w:rsidRPr="005F15DA">
        <w:rPr>
          <w:rFonts w:cs="Arial"/>
          <w:szCs w:val="22"/>
        </w:rPr>
        <w:t>.—</w:t>
      </w:r>
      <w:proofErr w:type="gramEnd"/>
      <w:r w:rsidR="00EE198B" w:rsidRPr="005F15DA">
        <w:rPr>
          <w:rFonts w:cs="Arial"/>
          <w:szCs w:val="22"/>
        </w:rPr>
        <w:t>.</w:t>
      </w:r>
    </w:p>
    <w:p w:rsidR="00EE198B" w:rsidRPr="005F15DA" w:rsidRDefault="00EE198B" w:rsidP="008851FF">
      <w:pPr>
        <w:tabs>
          <w:tab w:val="left" w:pos="426"/>
        </w:tabs>
        <w:spacing w:line="240" w:lineRule="auto"/>
        <w:jc w:val="both"/>
        <w:rPr>
          <w:rFonts w:cs="Arial"/>
          <w:szCs w:val="22"/>
        </w:rPr>
      </w:pPr>
      <w:r w:rsidRPr="005F15DA">
        <w:rPr>
          <w:rFonts w:cs="Arial"/>
          <w:szCs w:val="22"/>
        </w:rPr>
        <w:tab/>
        <w:t>Verteilung:</w:t>
      </w:r>
    </w:p>
    <w:p w:rsidR="00EE198B" w:rsidRPr="005F15DA" w:rsidRDefault="007D2ED9" w:rsidP="00E84738">
      <w:pPr>
        <w:tabs>
          <w:tab w:val="left" w:pos="426"/>
          <w:tab w:val="left" w:pos="1418"/>
        </w:tabs>
        <w:spacing w:line="240" w:lineRule="auto"/>
        <w:ind w:left="1418" w:hanging="1843"/>
        <w:jc w:val="both"/>
        <w:rPr>
          <w:rFonts w:cs="Arial"/>
          <w:szCs w:val="22"/>
        </w:rPr>
      </w:pPr>
      <w:r w:rsidRPr="005F15DA">
        <w:rPr>
          <w:rFonts w:cs="Arial"/>
          <w:szCs w:val="22"/>
        </w:rPr>
        <w:tab/>
        <w:t xml:space="preserve">1. </w:t>
      </w:r>
      <w:r w:rsidR="00E84738" w:rsidRPr="005F15DA">
        <w:rPr>
          <w:rFonts w:cs="Arial"/>
          <w:szCs w:val="22"/>
        </w:rPr>
        <w:t>Rang:</w:t>
      </w:r>
      <w:r w:rsidR="00E84738" w:rsidRPr="005F15DA">
        <w:rPr>
          <w:rFonts w:cs="Arial"/>
          <w:szCs w:val="22"/>
        </w:rPr>
        <w:tab/>
      </w:r>
      <w:r w:rsidRPr="005F15DA">
        <w:rPr>
          <w:rFonts w:cs="Arial"/>
          <w:szCs w:val="22"/>
        </w:rPr>
        <w:t xml:space="preserve">Fr. 200'000.— (Annahme: Fr. 200'000.—  entsprechen dem Totalbetrag von </w:t>
      </w:r>
      <w:r w:rsidR="00EE198B" w:rsidRPr="005F15DA">
        <w:rPr>
          <w:rFonts w:cs="Arial"/>
          <w:szCs w:val="22"/>
        </w:rPr>
        <w:t>Kapi</w:t>
      </w:r>
      <w:r w:rsidRPr="005F15DA">
        <w:rPr>
          <w:rFonts w:cs="Arial"/>
          <w:szCs w:val="22"/>
        </w:rPr>
        <w:t>tal, Zinsen, Betreibungskosten, Verzugszinsen)</w:t>
      </w:r>
      <w:r w:rsidR="00EE198B" w:rsidRPr="005F15DA">
        <w:rPr>
          <w:rFonts w:cs="Arial"/>
          <w:szCs w:val="22"/>
        </w:rPr>
        <w:t>; falls aber das Kapital inkl. Zinse und Betreibungskosten höher als Fr. 200'000.— ist, erhält der Gläubiger im 1. Rang volle Deckung also mehr als Fr. 200'000.—;</w:t>
      </w:r>
    </w:p>
    <w:p w:rsidR="00EE198B" w:rsidRPr="005F15DA" w:rsidRDefault="00E84738" w:rsidP="00E84738">
      <w:pPr>
        <w:tabs>
          <w:tab w:val="left" w:pos="426"/>
          <w:tab w:val="left" w:pos="1418"/>
        </w:tabs>
        <w:spacing w:line="240" w:lineRule="auto"/>
        <w:ind w:left="1418" w:hanging="1843"/>
        <w:jc w:val="both"/>
        <w:rPr>
          <w:rFonts w:cs="Arial"/>
          <w:szCs w:val="22"/>
        </w:rPr>
      </w:pPr>
      <w:r w:rsidRPr="005F15DA">
        <w:rPr>
          <w:rFonts w:cs="Arial"/>
          <w:szCs w:val="22"/>
        </w:rPr>
        <w:tab/>
        <w:t>2. Rang:</w:t>
      </w:r>
      <w:r w:rsidRPr="005F15DA">
        <w:rPr>
          <w:rFonts w:cs="Arial"/>
          <w:szCs w:val="22"/>
        </w:rPr>
        <w:tab/>
      </w:r>
      <w:r w:rsidR="00EE198B" w:rsidRPr="005F15DA">
        <w:rPr>
          <w:rFonts w:cs="Arial"/>
          <w:szCs w:val="22"/>
        </w:rPr>
        <w:t>Fr. 40'000.— (80% von Fr. 50'000.—),</w:t>
      </w:r>
    </w:p>
    <w:p w:rsidR="00EE198B" w:rsidRPr="005F15DA" w:rsidRDefault="00E84738" w:rsidP="00E84738">
      <w:pPr>
        <w:tabs>
          <w:tab w:val="left" w:pos="426"/>
          <w:tab w:val="left" w:pos="1418"/>
        </w:tabs>
        <w:spacing w:line="240" w:lineRule="auto"/>
        <w:ind w:left="1418" w:hanging="1843"/>
        <w:jc w:val="both"/>
        <w:rPr>
          <w:rFonts w:cs="Arial"/>
          <w:szCs w:val="22"/>
        </w:rPr>
      </w:pPr>
      <w:r w:rsidRPr="005F15DA">
        <w:rPr>
          <w:rFonts w:cs="Arial"/>
          <w:szCs w:val="22"/>
        </w:rPr>
        <w:tab/>
        <w:t>2. Rang:</w:t>
      </w:r>
      <w:r w:rsidRPr="005F15DA">
        <w:rPr>
          <w:rFonts w:cs="Arial"/>
          <w:szCs w:val="22"/>
        </w:rPr>
        <w:tab/>
      </w:r>
      <w:r w:rsidR="00EE198B" w:rsidRPr="005F15DA">
        <w:rPr>
          <w:rFonts w:cs="Arial"/>
          <w:szCs w:val="22"/>
        </w:rPr>
        <w:t>Fr. 40'000.—(80% von Fr. 50'000.—),</w:t>
      </w:r>
    </w:p>
    <w:p w:rsidR="00EE198B" w:rsidRPr="005F15DA" w:rsidRDefault="00E84738" w:rsidP="00E84738">
      <w:pPr>
        <w:tabs>
          <w:tab w:val="left" w:pos="426"/>
          <w:tab w:val="left" w:pos="1418"/>
        </w:tabs>
        <w:spacing w:line="240" w:lineRule="auto"/>
        <w:ind w:left="1418" w:hanging="1843"/>
        <w:jc w:val="both"/>
        <w:rPr>
          <w:rFonts w:cs="Arial"/>
          <w:szCs w:val="22"/>
        </w:rPr>
      </w:pPr>
      <w:r w:rsidRPr="005F15DA">
        <w:rPr>
          <w:rFonts w:cs="Arial"/>
          <w:szCs w:val="22"/>
        </w:rPr>
        <w:tab/>
        <w:t>3. Rang:</w:t>
      </w:r>
      <w:r w:rsidRPr="005F15DA">
        <w:rPr>
          <w:rFonts w:cs="Arial"/>
          <w:szCs w:val="22"/>
        </w:rPr>
        <w:tab/>
      </w:r>
      <w:r w:rsidR="00EE198B" w:rsidRPr="005F15DA">
        <w:rPr>
          <w:rFonts w:cs="Arial"/>
          <w:szCs w:val="22"/>
        </w:rPr>
        <w:t>Fr. 0</w:t>
      </w:r>
      <w:proofErr w:type="gramStart"/>
      <w:r w:rsidR="00EE198B" w:rsidRPr="005F15DA">
        <w:rPr>
          <w:rFonts w:cs="Arial"/>
          <w:szCs w:val="22"/>
        </w:rPr>
        <w:t>.—</w:t>
      </w:r>
      <w:proofErr w:type="gramEnd"/>
      <w:r w:rsidR="00EE198B" w:rsidRPr="005F15DA">
        <w:rPr>
          <w:rFonts w:cs="Arial"/>
          <w:szCs w:val="22"/>
        </w:rPr>
        <w:t xml:space="preserve"> (in den vorgehenden Rängen bestehen Forderungen von total Fr. 300'000.—, der Erlös beträgt Fr. 280'000.—, es resultiert bereits im Vorgang ein Verlust).</w:t>
      </w:r>
    </w:p>
    <w:p w:rsidR="007A17D1" w:rsidRPr="005F15DA" w:rsidRDefault="007A17D1" w:rsidP="008851FF">
      <w:pPr>
        <w:tabs>
          <w:tab w:val="left" w:pos="426"/>
        </w:tabs>
        <w:spacing w:line="240" w:lineRule="auto"/>
        <w:jc w:val="both"/>
        <w:rPr>
          <w:rFonts w:cs="Arial"/>
          <w:szCs w:val="22"/>
        </w:rPr>
      </w:pPr>
    </w:p>
    <w:p w:rsidR="00E84738" w:rsidRPr="005F15DA" w:rsidRDefault="00E84738" w:rsidP="00E84738">
      <w:pPr>
        <w:tabs>
          <w:tab w:val="left" w:pos="426"/>
        </w:tabs>
        <w:spacing w:line="240" w:lineRule="auto"/>
        <w:jc w:val="both"/>
        <w:rPr>
          <w:rFonts w:cs="Arial"/>
          <w:szCs w:val="22"/>
        </w:rPr>
      </w:pPr>
      <w:r w:rsidRPr="005F15DA">
        <w:rPr>
          <w:rFonts w:cs="Arial"/>
          <w:szCs w:val="22"/>
        </w:rPr>
        <w:tab/>
      </w:r>
      <w:r w:rsidRPr="00C0637F">
        <w:rPr>
          <w:rFonts w:cs="Arial"/>
          <w:szCs w:val="22"/>
          <w:u w:val="single"/>
        </w:rPr>
        <w:t>Beispiel 2</w:t>
      </w:r>
      <w:r w:rsidRPr="005F15DA">
        <w:rPr>
          <w:rFonts w:cs="Arial"/>
          <w:szCs w:val="22"/>
        </w:rPr>
        <w:t>:</w:t>
      </w:r>
    </w:p>
    <w:p w:rsidR="00E84738" w:rsidRPr="005F15DA" w:rsidRDefault="00E84738" w:rsidP="00E84738">
      <w:pPr>
        <w:tabs>
          <w:tab w:val="left" w:pos="426"/>
        </w:tabs>
        <w:spacing w:line="240" w:lineRule="auto"/>
        <w:jc w:val="both"/>
        <w:rPr>
          <w:rFonts w:cs="Arial"/>
          <w:szCs w:val="22"/>
        </w:rPr>
      </w:pPr>
      <w:r w:rsidRPr="005F15DA">
        <w:rPr>
          <w:rFonts w:cs="Arial"/>
          <w:szCs w:val="22"/>
        </w:rPr>
        <w:tab/>
        <w:t>1. Rang: Fr. 200'000.— Schuldbrief,</w:t>
      </w:r>
    </w:p>
    <w:p w:rsidR="00E84738" w:rsidRPr="005F15DA" w:rsidRDefault="00E84738" w:rsidP="00E84738">
      <w:pPr>
        <w:tabs>
          <w:tab w:val="left" w:pos="426"/>
        </w:tabs>
        <w:spacing w:line="240" w:lineRule="auto"/>
        <w:jc w:val="both"/>
        <w:rPr>
          <w:rFonts w:cs="Arial"/>
          <w:szCs w:val="22"/>
        </w:rPr>
      </w:pPr>
      <w:r w:rsidRPr="005F15DA">
        <w:rPr>
          <w:rFonts w:cs="Arial"/>
          <w:szCs w:val="22"/>
        </w:rPr>
        <w:tab/>
        <w:t>2. Rang: Fr. 50'000.— Schuldbrief,</w:t>
      </w:r>
    </w:p>
    <w:p w:rsidR="00E84738" w:rsidRPr="005F15DA" w:rsidRDefault="00E84738" w:rsidP="00E84738">
      <w:pPr>
        <w:tabs>
          <w:tab w:val="left" w:pos="426"/>
        </w:tabs>
        <w:spacing w:line="240" w:lineRule="auto"/>
        <w:jc w:val="both"/>
        <w:rPr>
          <w:rFonts w:cs="Arial"/>
          <w:szCs w:val="22"/>
        </w:rPr>
      </w:pPr>
      <w:r w:rsidRPr="005F15DA">
        <w:rPr>
          <w:rFonts w:cs="Arial"/>
          <w:szCs w:val="22"/>
        </w:rPr>
        <w:tab/>
        <w:t>2. Rang: Fr. 50'000.— Schuldbrief,</w:t>
      </w:r>
    </w:p>
    <w:p w:rsidR="00E84738" w:rsidRPr="005F15DA" w:rsidRDefault="00E84738" w:rsidP="00E84738">
      <w:pPr>
        <w:tabs>
          <w:tab w:val="left" w:pos="426"/>
        </w:tabs>
        <w:spacing w:line="240" w:lineRule="auto"/>
        <w:jc w:val="both"/>
        <w:rPr>
          <w:rFonts w:cs="Arial"/>
          <w:szCs w:val="22"/>
        </w:rPr>
      </w:pPr>
      <w:r w:rsidRPr="005F15DA">
        <w:rPr>
          <w:rFonts w:cs="Arial"/>
          <w:szCs w:val="22"/>
        </w:rPr>
        <w:tab/>
        <w:t>3. Rang: Fr. 50'000.— Schuldbrief,</w:t>
      </w:r>
    </w:p>
    <w:p w:rsidR="00E84738" w:rsidRPr="005F15DA" w:rsidRDefault="00E84738" w:rsidP="00E84738">
      <w:pPr>
        <w:tabs>
          <w:tab w:val="left" w:pos="426"/>
        </w:tabs>
        <w:spacing w:line="240" w:lineRule="auto"/>
        <w:jc w:val="both"/>
        <w:rPr>
          <w:rFonts w:cs="Arial"/>
          <w:szCs w:val="22"/>
        </w:rPr>
      </w:pPr>
      <w:r w:rsidRPr="005F15DA">
        <w:rPr>
          <w:rFonts w:cs="Arial"/>
          <w:szCs w:val="22"/>
        </w:rPr>
        <w:tab/>
        <w:t>Erlös Fr. 150'000</w:t>
      </w:r>
      <w:proofErr w:type="gramStart"/>
      <w:r w:rsidRPr="005F15DA">
        <w:rPr>
          <w:rFonts w:cs="Arial"/>
          <w:szCs w:val="22"/>
        </w:rPr>
        <w:t>.—</w:t>
      </w:r>
      <w:proofErr w:type="gramEnd"/>
    </w:p>
    <w:p w:rsidR="00E84738" w:rsidRPr="005F15DA" w:rsidRDefault="00E84738" w:rsidP="00E84738">
      <w:pPr>
        <w:tabs>
          <w:tab w:val="left" w:pos="426"/>
        </w:tabs>
        <w:spacing w:line="240" w:lineRule="auto"/>
        <w:jc w:val="both"/>
        <w:rPr>
          <w:rFonts w:cs="Arial"/>
          <w:szCs w:val="22"/>
        </w:rPr>
      </w:pPr>
      <w:r w:rsidRPr="005F15DA">
        <w:rPr>
          <w:rFonts w:cs="Arial"/>
          <w:szCs w:val="22"/>
        </w:rPr>
        <w:tab/>
        <w:t>Verteilung:</w:t>
      </w:r>
    </w:p>
    <w:p w:rsidR="00E84738" w:rsidRPr="005F15DA" w:rsidRDefault="00E84738" w:rsidP="00E84738">
      <w:pPr>
        <w:tabs>
          <w:tab w:val="left" w:pos="426"/>
          <w:tab w:val="left" w:pos="1418"/>
        </w:tabs>
        <w:spacing w:line="240" w:lineRule="auto"/>
        <w:ind w:left="1418" w:hanging="1843"/>
        <w:jc w:val="both"/>
        <w:rPr>
          <w:rFonts w:cs="Arial"/>
          <w:szCs w:val="22"/>
        </w:rPr>
      </w:pPr>
      <w:r w:rsidRPr="005F15DA">
        <w:rPr>
          <w:rFonts w:cs="Arial"/>
          <w:szCs w:val="22"/>
        </w:rPr>
        <w:tab/>
        <w:t>1. Rang:</w:t>
      </w:r>
      <w:r w:rsidRPr="005F15DA">
        <w:rPr>
          <w:rFonts w:cs="Arial"/>
          <w:szCs w:val="22"/>
        </w:rPr>
        <w:tab/>
        <w:t>Fr. 150'000.— (es stehen nur Fr. 150'000.— aus dem Steigerungserlös zur Verfügung)</w:t>
      </w:r>
    </w:p>
    <w:p w:rsidR="00E84738" w:rsidRPr="005F15DA" w:rsidRDefault="00E84738" w:rsidP="00E84738">
      <w:pPr>
        <w:tabs>
          <w:tab w:val="left" w:pos="426"/>
          <w:tab w:val="left" w:pos="1418"/>
        </w:tabs>
        <w:spacing w:line="240" w:lineRule="auto"/>
        <w:ind w:left="1418" w:hanging="1843"/>
        <w:jc w:val="both"/>
        <w:rPr>
          <w:rFonts w:cs="Arial"/>
          <w:szCs w:val="22"/>
        </w:rPr>
      </w:pPr>
      <w:r w:rsidRPr="005F15DA">
        <w:rPr>
          <w:rFonts w:cs="Arial"/>
          <w:szCs w:val="22"/>
        </w:rPr>
        <w:tab/>
        <w:t>2. Rang:</w:t>
      </w:r>
      <w:r w:rsidRPr="005F15DA">
        <w:rPr>
          <w:rFonts w:cs="Arial"/>
          <w:szCs w:val="22"/>
        </w:rPr>
        <w:tab/>
        <w:t>Fr. 0.—</w:t>
      </w:r>
    </w:p>
    <w:p w:rsidR="00E84738" w:rsidRPr="005F15DA" w:rsidRDefault="00E84738" w:rsidP="00E84738">
      <w:pPr>
        <w:tabs>
          <w:tab w:val="left" w:pos="426"/>
          <w:tab w:val="left" w:pos="1418"/>
        </w:tabs>
        <w:spacing w:line="240" w:lineRule="auto"/>
        <w:ind w:left="1418" w:hanging="1843"/>
        <w:jc w:val="both"/>
        <w:rPr>
          <w:rFonts w:cs="Arial"/>
          <w:szCs w:val="22"/>
        </w:rPr>
      </w:pPr>
      <w:r w:rsidRPr="005F15DA">
        <w:rPr>
          <w:rFonts w:cs="Arial"/>
          <w:szCs w:val="22"/>
        </w:rPr>
        <w:tab/>
        <w:t>2. Rang:</w:t>
      </w:r>
      <w:r w:rsidRPr="005F15DA">
        <w:rPr>
          <w:rFonts w:cs="Arial"/>
          <w:szCs w:val="22"/>
        </w:rPr>
        <w:tab/>
        <w:t>Fr. 0.—</w:t>
      </w:r>
    </w:p>
    <w:p w:rsidR="00E84738" w:rsidRPr="005F15DA" w:rsidRDefault="00E84738" w:rsidP="00E84738">
      <w:pPr>
        <w:tabs>
          <w:tab w:val="left" w:pos="426"/>
          <w:tab w:val="left" w:pos="1418"/>
        </w:tabs>
        <w:spacing w:line="240" w:lineRule="auto"/>
        <w:ind w:left="1418" w:hanging="1843"/>
        <w:jc w:val="both"/>
        <w:rPr>
          <w:rFonts w:cs="Arial"/>
          <w:szCs w:val="22"/>
        </w:rPr>
      </w:pPr>
      <w:r w:rsidRPr="005F15DA">
        <w:rPr>
          <w:rFonts w:cs="Arial"/>
          <w:szCs w:val="22"/>
        </w:rPr>
        <w:tab/>
        <w:t>3. Rang:</w:t>
      </w:r>
      <w:r w:rsidRPr="005F15DA">
        <w:rPr>
          <w:rFonts w:cs="Arial"/>
          <w:szCs w:val="22"/>
        </w:rPr>
        <w:tab/>
        <w:t>Fr. 0.—</w:t>
      </w:r>
    </w:p>
    <w:p w:rsidR="00E84738" w:rsidRPr="005F15DA" w:rsidRDefault="00E84738" w:rsidP="008851FF">
      <w:pPr>
        <w:tabs>
          <w:tab w:val="left" w:pos="426"/>
        </w:tabs>
        <w:spacing w:line="240" w:lineRule="auto"/>
        <w:jc w:val="both"/>
        <w:rPr>
          <w:rFonts w:cs="Arial"/>
          <w:szCs w:val="22"/>
        </w:rPr>
      </w:pPr>
    </w:p>
    <w:p w:rsidR="00EE198B" w:rsidRPr="005F15DA" w:rsidRDefault="00EE198B" w:rsidP="008851FF">
      <w:pPr>
        <w:tabs>
          <w:tab w:val="left" w:pos="426"/>
        </w:tabs>
        <w:spacing w:line="240" w:lineRule="auto"/>
        <w:jc w:val="both"/>
        <w:rPr>
          <w:rFonts w:cs="Arial"/>
          <w:szCs w:val="22"/>
        </w:rPr>
      </w:pPr>
      <w:r w:rsidRPr="005F15DA">
        <w:rPr>
          <w:rFonts w:cs="Arial"/>
          <w:szCs w:val="22"/>
        </w:rPr>
        <w:tab/>
        <w:t xml:space="preserve">Das Grundpfandrecht bietet </w:t>
      </w:r>
      <w:r w:rsidRPr="00C0637F">
        <w:rPr>
          <w:rFonts w:cs="Arial"/>
          <w:szCs w:val="22"/>
          <w:u w:val="single"/>
        </w:rPr>
        <w:t>dem Gläubiger Sicherheit für</w:t>
      </w:r>
      <w:r w:rsidR="00F23677" w:rsidRPr="005F15DA">
        <w:rPr>
          <w:rFonts w:cs="Arial"/>
          <w:szCs w:val="22"/>
        </w:rPr>
        <w:t xml:space="preserve"> (Art. 818 ZGB)</w:t>
      </w:r>
      <w:r w:rsidRPr="005F15DA">
        <w:rPr>
          <w:rFonts w:cs="Arial"/>
          <w:szCs w:val="22"/>
        </w:rPr>
        <w:t>:</w:t>
      </w:r>
    </w:p>
    <w:p w:rsidR="00EE198B" w:rsidRPr="005F15DA" w:rsidRDefault="00EE198B" w:rsidP="008851FF">
      <w:pPr>
        <w:tabs>
          <w:tab w:val="left" w:pos="426"/>
          <w:tab w:val="left" w:pos="709"/>
        </w:tabs>
        <w:spacing w:line="240" w:lineRule="auto"/>
        <w:ind w:left="709" w:hanging="709"/>
        <w:jc w:val="both"/>
        <w:rPr>
          <w:rFonts w:cs="Arial"/>
          <w:szCs w:val="22"/>
        </w:rPr>
      </w:pPr>
      <w:r w:rsidRPr="005F15DA">
        <w:rPr>
          <w:rFonts w:cs="Arial"/>
          <w:szCs w:val="22"/>
        </w:rPr>
        <w:tab/>
        <w:t>-</w:t>
      </w:r>
      <w:r w:rsidRPr="005F15DA">
        <w:rPr>
          <w:rFonts w:cs="Arial"/>
          <w:szCs w:val="22"/>
        </w:rPr>
        <w:tab/>
        <w:t>die Kapitalforderung (die effektive Schuld und nicht der Betrag des Grundpfandrec</w:t>
      </w:r>
      <w:r w:rsidRPr="005F15DA">
        <w:rPr>
          <w:rFonts w:cs="Arial"/>
          <w:szCs w:val="22"/>
        </w:rPr>
        <w:t>h</w:t>
      </w:r>
      <w:r w:rsidRPr="005F15DA">
        <w:rPr>
          <w:rFonts w:cs="Arial"/>
          <w:szCs w:val="22"/>
        </w:rPr>
        <w:t>tes),</w:t>
      </w:r>
    </w:p>
    <w:p w:rsidR="00EE198B" w:rsidRPr="005F15DA" w:rsidRDefault="00EE198B" w:rsidP="008851FF">
      <w:pPr>
        <w:tabs>
          <w:tab w:val="left" w:pos="426"/>
          <w:tab w:val="left" w:pos="709"/>
        </w:tabs>
        <w:spacing w:line="240" w:lineRule="auto"/>
        <w:jc w:val="both"/>
        <w:rPr>
          <w:rFonts w:cs="Arial"/>
          <w:szCs w:val="22"/>
        </w:rPr>
      </w:pPr>
      <w:r w:rsidRPr="005F15DA">
        <w:rPr>
          <w:rFonts w:cs="Arial"/>
          <w:szCs w:val="22"/>
        </w:rPr>
        <w:tab/>
        <w:t>-</w:t>
      </w:r>
      <w:r w:rsidRPr="005F15DA">
        <w:rPr>
          <w:rFonts w:cs="Arial"/>
          <w:szCs w:val="22"/>
        </w:rPr>
        <w:tab/>
        <w:t>die Kosten der Betreibung und die Verzugszinse,</w:t>
      </w:r>
    </w:p>
    <w:p w:rsidR="00EE198B" w:rsidRPr="005F15DA" w:rsidRDefault="00EE198B" w:rsidP="008851FF">
      <w:pPr>
        <w:tabs>
          <w:tab w:val="left" w:pos="426"/>
          <w:tab w:val="left" w:pos="709"/>
        </w:tabs>
        <w:spacing w:line="240" w:lineRule="auto"/>
        <w:ind w:left="709" w:hanging="709"/>
        <w:jc w:val="both"/>
        <w:rPr>
          <w:rFonts w:cs="Arial"/>
          <w:szCs w:val="22"/>
        </w:rPr>
      </w:pPr>
      <w:r w:rsidRPr="005F15DA">
        <w:rPr>
          <w:rFonts w:cs="Arial"/>
          <w:szCs w:val="22"/>
        </w:rPr>
        <w:tab/>
        <w:t>-</w:t>
      </w:r>
      <w:r w:rsidRPr="005F15DA">
        <w:rPr>
          <w:rFonts w:cs="Arial"/>
          <w:szCs w:val="22"/>
        </w:rPr>
        <w:tab/>
        <w:t>für drei zur Zeit der Konkurseröffnung oder des Pfandverwertungsbegehrens verfall</w:t>
      </w:r>
      <w:r w:rsidRPr="005F15DA">
        <w:rPr>
          <w:rFonts w:cs="Arial"/>
          <w:szCs w:val="22"/>
        </w:rPr>
        <w:t>e</w:t>
      </w:r>
      <w:r w:rsidRPr="005F15DA">
        <w:rPr>
          <w:rFonts w:cs="Arial"/>
          <w:szCs w:val="22"/>
        </w:rPr>
        <w:t xml:space="preserve">ne Jahreszinse und den seit dem letzten Zinstag laufenden </w:t>
      </w:r>
      <w:r w:rsidR="00F23677" w:rsidRPr="005F15DA">
        <w:rPr>
          <w:rFonts w:cs="Arial"/>
          <w:szCs w:val="22"/>
        </w:rPr>
        <w:t>Zins (beim Schuldbrief sind nur die tatsächlich geschuldeten Zinse gesichert).</w:t>
      </w:r>
    </w:p>
    <w:p w:rsidR="007A17D1" w:rsidRPr="005F15DA" w:rsidRDefault="007A17D1" w:rsidP="008851FF">
      <w:pPr>
        <w:tabs>
          <w:tab w:val="left" w:pos="426"/>
        </w:tabs>
        <w:spacing w:line="240" w:lineRule="auto"/>
        <w:jc w:val="both"/>
        <w:rPr>
          <w:rFonts w:cs="Arial"/>
          <w:szCs w:val="22"/>
        </w:rPr>
      </w:pPr>
    </w:p>
    <w:p w:rsidR="00F23677" w:rsidRPr="005F15DA" w:rsidRDefault="00F23677" w:rsidP="008851FF">
      <w:pPr>
        <w:tabs>
          <w:tab w:val="left" w:pos="426"/>
        </w:tabs>
        <w:spacing w:line="240" w:lineRule="auto"/>
        <w:ind w:left="426" w:hanging="426"/>
        <w:jc w:val="both"/>
        <w:rPr>
          <w:rFonts w:cs="Arial"/>
          <w:szCs w:val="22"/>
        </w:rPr>
      </w:pPr>
      <w:r w:rsidRPr="005F15DA">
        <w:rPr>
          <w:rFonts w:cs="Arial"/>
          <w:szCs w:val="22"/>
        </w:rPr>
        <w:tab/>
        <w:t>Wenn der Grundpfandgläubiger zur Erhaltung des Grundstückes für den Eigentümer Au</w:t>
      </w:r>
      <w:r w:rsidRPr="005F15DA">
        <w:rPr>
          <w:rFonts w:cs="Arial"/>
          <w:szCs w:val="22"/>
        </w:rPr>
        <w:t>s</w:t>
      </w:r>
      <w:r w:rsidRPr="005F15DA">
        <w:rPr>
          <w:rFonts w:cs="Arial"/>
          <w:szCs w:val="22"/>
        </w:rPr>
        <w:t>lagen bezahlt hat (z.B. Versicherungsprämien), hat er ein gesetzliches Pfandrecht am Grundstück (Art. 819 ZGB).</w:t>
      </w:r>
    </w:p>
    <w:p w:rsidR="00F23677" w:rsidRPr="005F15DA" w:rsidRDefault="00F23677" w:rsidP="008851FF">
      <w:pPr>
        <w:tabs>
          <w:tab w:val="left" w:pos="426"/>
        </w:tabs>
        <w:spacing w:line="240" w:lineRule="auto"/>
        <w:jc w:val="both"/>
        <w:rPr>
          <w:rFonts w:cs="Arial"/>
          <w:szCs w:val="22"/>
        </w:rPr>
      </w:pPr>
    </w:p>
    <w:p w:rsidR="00F23677" w:rsidRPr="005F15DA" w:rsidRDefault="00F23677" w:rsidP="008851FF">
      <w:pPr>
        <w:tabs>
          <w:tab w:val="left" w:pos="426"/>
        </w:tabs>
        <w:spacing w:line="240" w:lineRule="auto"/>
        <w:jc w:val="both"/>
        <w:rPr>
          <w:rFonts w:cs="Arial"/>
          <w:szCs w:val="22"/>
        </w:rPr>
      </w:pPr>
    </w:p>
    <w:p w:rsidR="00F23677" w:rsidRPr="005F15DA" w:rsidRDefault="00F23677" w:rsidP="005B0708">
      <w:pPr>
        <w:pStyle w:val="berschrift4"/>
      </w:pPr>
      <w:r w:rsidRPr="005F15DA">
        <w:t>8.</w:t>
      </w:r>
      <w:r w:rsidRPr="005F15DA">
        <w:tab/>
        <w:t>Pfandrecht bei Bodenverbesserungen</w:t>
      </w:r>
    </w:p>
    <w:p w:rsidR="00F23677" w:rsidRPr="005F15DA" w:rsidRDefault="00F23677" w:rsidP="008851FF">
      <w:pPr>
        <w:tabs>
          <w:tab w:val="left" w:pos="426"/>
        </w:tabs>
        <w:spacing w:line="240" w:lineRule="auto"/>
        <w:jc w:val="both"/>
        <w:rPr>
          <w:rFonts w:cs="Arial"/>
          <w:szCs w:val="22"/>
        </w:rPr>
      </w:pPr>
      <w:r w:rsidRPr="005F15DA">
        <w:rPr>
          <w:rFonts w:cs="Arial"/>
          <w:szCs w:val="22"/>
        </w:rPr>
        <w:tab/>
        <w:t>Siehe Art. 820 und 821 ZGB.</w:t>
      </w:r>
    </w:p>
    <w:p w:rsidR="00F23677" w:rsidRPr="005F15DA" w:rsidRDefault="00F23677" w:rsidP="008851FF">
      <w:pPr>
        <w:tabs>
          <w:tab w:val="left" w:pos="426"/>
        </w:tabs>
        <w:spacing w:line="240" w:lineRule="auto"/>
        <w:jc w:val="both"/>
        <w:rPr>
          <w:rFonts w:cs="Arial"/>
          <w:szCs w:val="22"/>
        </w:rPr>
      </w:pPr>
    </w:p>
    <w:p w:rsidR="00F23677" w:rsidRPr="005F15DA" w:rsidRDefault="00F23677" w:rsidP="005B0708">
      <w:pPr>
        <w:pStyle w:val="berschrift4"/>
      </w:pPr>
      <w:r w:rsidRPr="005F15DA">
        <w:lastRenderedPageBreak/>
        <w:t>9.</w:t>
      </w:r>
      <w:r w:rsidRPr="005F15DA">
        <w:tab/>
        <w:t>Anspruch auf die Versicherungssumme</w:t>
      </w:r>
    </w:p>
    <w:p w:rsidR="00F23677" w:rsidRPr="005F15DA" w:rsidRDefault="00F23677" w:rsidP="008851FF">
      <w:pPr>
        <w:tabs>
          <w:tab w:val="left" w:pos="426"/>
        </w:tabs>
        <w:spacing w:line="240" w:lineRule="auto"/>
        <w:ind w:left="426" w:hanging="426"/>
        <w:jc w:val="both"/>
        <w:rPr>
          <w:rFonts w:cs="Arial"/>
          <w:szCs w:val="22"/>
        </w:rPr>
      </w:pPr>
      <w:r w:rsidRPr="005F15DA">
        <w:rPr>
          <w:rFonts w:cs="Arial"/>
          <w:szCs w:val="22"/>
        </w:rPr>
        <w:tab/>
        <w:t>Eine fällig gewordene Versicherungssumme darf nur mit Zustimmung aller Grundpfan</w:t>
      </w:r>
      <w:r w:rsidRPr="005F15DA">
        <w:rPr>
          <w:rFonts w:cs="Arial"/>
          <w:szCs w:val="22"/>
        </w:rPr>
        <w:t>d</w:t>
      </w:r>
      <w:r w:rsidRPr="005F15DA">
        <w:rPr>
          <w:rFonts w:cs="Arial"/>
          <w:szCs w:val="22"/>
        </w:rPr>
        <w:t>gläubiger an den Eigentümer des versicherten Grundstückes ausbezahlt werden. Zur Wiederherstellung des Grundstückes muss sie dem Grundeigentümer herausgegeben werden, wobei der Grundeigentümer die Versicherungssumme sicherstellen muss.</w:t>
      </w:r>
    </w:p>
    <w:p w:rsidR="00F23677" w:rsidRPr="005F15DA" w:rsidRDefault="00F23677" w:rsidP="008851FF">
      <w:pPr>
        <w:tabs>
          <w:tab w:val="left" w:pos="426"/>
        </w:tabs>
        <w:spacing w:line="240" w:lineRule="auto"/>
        <w:jc w:val="both"/>
        <w:rPr>
          <w:rFonts w:cs="Arial"/>
          <w:szCs w:val="22"/>
        </w:rPr>
      </w:pPr>
    </w:p>
    <w:p w:rsidR="00F23677" w:rsidRPr="005F15DA" w:rsidRDefault="00F23677" w:rsidP="008851FF">
      <w:pPr>
        <w:tabs>
          <w:tab w:val="left" w:pos="426"/>
        </w:tabs>
        <w:spacing w:line="240" w:lineRule="auto"/>
        <w:jc w:val="both"/>
        <w:rPr>
          <w:rFonts w:cs="Arial"/>
          <w:szCs w:val="22"/>
        </w:rPr>
      </w:pPr>
    </w:p>
    <w:p w:rsidR="00F23677" w:rsidRPr="005F15DA" w:rsidRDefault="00F23677" w:rsidP="005B0708">
      <w:pPr>
        <w:pStyle w:val="berschrift4"/>
      </w:pPr>
      <w:r w:rsidRPr="005F15DA">
        <w:t>10.</w:t>
      </w:r>
      <w:r w:rsidRPr="005F15DA">
        <w:tab/>
        <w:t>Unauffindbarer Gläubiger</w:t>
      </w:r>
    </w:p>
    <w:p w:rsidR="00F23677" w:rsidRPr="005F15DA" w:rsidRDefault="00F23677" w:rsidP="008851FF">
      <w:pPr>
        <w:tabs>
          <w:tab w:val="left" w:pos="426"/>
        </w:tabs>
        <w:spacing w:line="240" w:lineRule="auto"/>
        <w:ind w:left="426" w:hanging="426"/>
        <w:jc w:val="both"/>
        <w:rPr>
          <w:rFonts w:cs="Arial"/>
          <w:szCs w:val="22"/>
        </w:rPr>
      </w:pPr>
      <w:r w:rsidRPr="005F15DA">
        <w:rPr>
          <w:rFonts w:cs="Arial"/>
          <w:szCs w:val="22"/>
        </w:rPr>
        <w:tab/>
      </w:r>
      <w:r w:rsidR="00293FAA" w:rsidRPr="005F15DA">
        <w:rPr>
          <w:rFonts w:cs="Arial"/>
          <w:szCs w:val="22"/>
        </w:rPr>
        <w:t xml:space="preserve">Muss </w:t>
      </w:r>
      <w:r w:rsidRPr="005F15DA">
        <w:rPr>
          <w:rFonts w:cs="Arial"/>
          <w:szCs w:val="22"/>
        </w:rPr>
        <w:t xml:space="preserve">ein Grundpfandgläubiger </w:t>
      </w:r>
      <w:r w:rsidR="00293FAA" w:rsidRPr="005F15DA">
        <w:rPr>
          <w:rFonts w:cs="Arial"/>
          <w:szCs w:val="22"/>
        </w:rPr>
        <w:t xml:space="preserve">eine Handlung vornehmen und ist er </w:t>
      </w:r>
      <w:r w:rsidRPr="005F15DA">
        <w:rPr>
          <w:rFonts w:cs="Arial"/>
          <w:szCs w:val="22"/>
        </w:rPr>
        <w:t>nicht auffind</w:t>
      </w:r>
      <w:r w:rsidR="00293FAA" w:rsidRPr="005F15DA">
        <w:rPr>
          <w:rFonts w:cs="Arial"/>
          <w:szCs w:val="22"/>
        </w:rPr>
        <w:t>bar, ordnet das Gericht die notwendigen Massnahmen an.</w:t>
      </w:r>
    </w:p>
    <w:p w:rsidR="004E576A" w:rsidRPr="005F15DA" w:rsidRDefault="004E576A" w:rsidP="008851FF">
      <w:pPr>
        <w:tabs>
          <w:tab w:val="left" w:pos="426"/>
        </w:tabs>
        <w:spacing w:line="240" w:lineRule="auto"/>
        <w:jc w:val="both"/>
        <w:rPr>
          <w:rFonts w:cs="Arial"/>
          <w:szCs w:val="22"/>
        </w:rPr>
      </w:pPr>
    </w:p>
    <w:p w:rsidR="00293FAA" w:rsidRPr="005F15DA" w:rsidRDefault="00293FAA" w:rsidP="008851FF">
      <w:pPr>
        <w:tabs>
          <w:tab w:val="left" w:pos="426"/>
        </w:tabs>
        <w:spacing w:line="240" w:lineRule="auto"/>
        <w:jc w:val="both"/>
        <w:rPr>
          <w:rFonts w:cs="Arial"/>
          <w:szCs w:val="22"/>
        </w:rPr>
      </w:pPr>
    </w:p>
    <w:p w:rsidR="00293FAA" w:rsidRPr="005F15DA" w:rsidRDefault="00293FAA" w:rsidP="008851FF">
      <w:pPr>
        <w:tabs>
          <w:tab w:val="left" w:pos="426"/>
        </w:tabs>
        <w:spacing w:line="240" w:lineRule="auto"/>
        <w:jc w:val="both"/>
        <w:rPr>
          <w:rFonts w:cs="Arial"/>
          <w:szCs w:val="22"/>
        </w:rPr>
      </w:pPr>
    </w:p>
    <w:p w:rsidR="004E576A" w:rsidRPr="005F15DA" w:rsidRDefault="00DE2D3D" w:rsidP="005759BE">
      <w:pPr>
        <w:pStyle w:val="berschrift3"/>
        <w:rPr>
          <w:lang w:val="de-CH"/>
        </w:rPr>
      </w:pPr>
      <w:bookmarkStart w:id="157" w:name="_Toc432175677"/>
      <w:r w:rsidRPr="005F15DA">
        <w:rPr>
          <w:lang w:val="de-CH"/>
        </w:rPr>
        <w:t>B</w:t>
      </w:r>
      <w:r w:rsidR="009F318D" w:rsidRPr="005F15DA">
        <w:rPr>
          <w:lang w:val="de-CH"/>
        </w:rPr>
        <w:t>.</w:t>
      </w:r>
      <w:r w:rsidR="009F318D" w:rsidRPr="005F15DA">
        <w:rPr>
          <w:lang w:val="de-CH"/>
        </w:rPr>
        <w:tab/>
      </w:r>
      <w:r w:rsidRPr="005F15DA">
        <w:rPr>
          <w:lang w:val="de-CH"/>
        </w:rPr>
        <w:t xml:space="preserve">Die Grundpfandverschreibung </w:t>
      </w:r>
      <w:r w:rsidR="004E576A" w:rsidRPr="005F15DA">
        <w:rPr>
          <w:lang w:val="de-CH"/>
        </w:rPr>
        <w:t xml:space="preserve">(Art. </w:t>
      </w:r>
      <w:r w:rsidRPr="005F15DA">
        <w:rPr>
          <w:lang w:val="de-CH"/>
        </w:rPr>
        <w:t xml:space="preserve">824 – 841 </w:t>
      </w:r>
      <w:r w:rsidR="004E576A" w:rsidRPr="005F15DA">
        <w:rPr>
          <w:lang w:val="de-CH"/>
        </w:rPr>
        <w:t>ZGB)</w:t>
      </w:r>
      <w:bookmarkEnd w:id="157"/>
    </w:p>
    <w:p w:rsidR="004E576A" w:rsidRPr="005F15DA" w:rsidRDefault="004E576A" w:rsidP="008851FF">
      <w:pPr>
        <w:spacing w:line="240" w:lineRule="auto"/>
        <w:jc w:val="both"/>
        <w:rPr>
          <w:rFonts w:cs="Arial"/>
          <w:szCs w:val="22"/>
        </w:rPr>
      </w:pPr>
    </w:p>
    <w:p w:rsidR="004E576A" w:rsidRPr="005F15DA" w:rsidRDefault="007101B5" w:rsidP="008851FF">
      <w:pPr>
        <w:tabs>
          <w:tab w:val="left" w:pos="426"/>
        </w:tabs>
        <w:spacing w:line="240" w:lineRule="auto"/>
        <w:jc w:val="both"/>
        <w:rPr>
          <w:rFonts w:cs="Arial"/>
          <w:szCs w:val="22"/>
        </w:rPr>
      </w:pPr>
      <w:r w:rsidRPr="005F15DA">
        <w:rPr>
          <w:rFonts w:cs="Arial"/>
          <w:szCs w:val="22"/>
        </w:rPr>
        <w:t xml:space="preserve">Durch die Grundpfandverschreibung kann eine </w:t>
      </w:r>
      <w:r w:rsidRPr="005F15DA">
        <w:rPr>
          <w:rFonts w:cs="Arial"/>
          <w:b/>
          <w:szCs w:val="22"/>
        </w:rPr>
        <w:t>beliebige, gegenwärtige oder zukünftige oder bloss mögliche Forderung</w:t>
      </w:r>
      <w:r w:rsidRPr="005F15DA">
        <w:rPr>
          <w:rFonts w:cs="Arial"/>
          <w:szCs w:val="22"/>
        </w:rPr>
        <w:t xml:space="preserve"> pfandrechtlich sichergestellt werden. </w:t>
      </w:r>
      <w:r w:rsidR="0010172C" w:rsidRPr="005F15DA">
        <w:rPr>
          <w:rFonts w:cs="Arial"/>
          <w:szCs w:val="22"/>
        </w:rPr>
        <w:t xml:space="preserve">Die Forderung kann also bereits bestehen </w:t>
      </w:r>
      <w:r w:rsidR="00EB2DC7" w:rsidRPr="005F15DA">
        <w:rPr>
          <w:rFonts w:cs="Arial"/>
          <w:szCs w:val="22"/>
        </w:rPr>
        <w:t xml:space="preserve">(das Darlehen wurde bereits ausbezahlt) </w:t>
      </w:r>
      <w:r w:rsidR="0010172C" w:rsidRPr="005F15DA">
        <w:rPr>
          <w:rFonts w:cs="Arial"/>
          <w:szCs w:val="22"/>
        </w:rPr>
        <w:t>oder erst in der Zukunft en</w:t>
      </w:r>
      <w:r w:rsidR="0010172C" w:rsidRPr="005F15DA">
        <w:rPr>
          <w:rFonts w:cs="Arial"/>
          <w:szCs w:val="22"/>
        </w:rPr>
        <w:t>t</w:t>
      </w:r>
      <w:r w:rsidR="0010172C" w:rsidRPr="005F15DA">
        <w:rPr>
          <w:rFonts w:cs="Arial"/>
          <w:szCs w:val="22"/>
        </w:rPr>
        <w:t xml:space="preserve">stehen </w:t>
      </w:r>
      <w:r w:rsidR="00EB2DC7" w:rsidRPr="005F15DA">
        <w:rPr>
          <w:rFonts w:cs="Arial"/>
          <w:szCs w:val="22"/>
        </w:rPr>
        <w:t xml:space="preserve">(das Darlehen wird erst noch ausbezahlt werden) </w:t>
      </w:r>
      <w:r w:rsidR="0010172C" w:rsidRPr="005F15DA">
        <w:rPr>
          <w:rFonts w:cs="Arial"/>
          <w:szCs w:val="22"/>
        </w:rPr>
        <w:t>oder sogar nur vielleicht künftig en</w:t>
      </w:r>
      <w:r w:rsidR="0010172C" w:rsidRPr="005F15DA">
        <w:rPr>
          <w:rFonts w:cs="Arial"/>
          <w:szCs w:val="22"/>
        </w:rPr>
        <w:t>t</w:t>
      </w:r>
      <w:r w:rsidR="0010172C" w:rsidRPr="005F15DA">
        <w:rPr>
          <w:rFonts w:cs="Arial"/>
          <w:szCs w:val="22"/>
        </w:rPr>
        <w:t>stehen</w:t>
      </w:r>
      <w:r w:rsidR="00EB2DC7" w:rsidRPr="005F15DA">
        <w:rPr>
          <w:rFonts w:cs="Arial"/>
          <w:szCs w:val="22"/>
        </w:rPr>
        <w:t xml:space="preserve"> (der Gewinnanspruch der Miterben entsteht nur, wenn das Grundstück innert 25 Ja</w:t>
      </w:r>
      <w:r w:rsidR="00EB2DC7" w:rsidRPr="005F15DA">
        <w:rPr>
          <w:rFonts w:cs="Arial"/>
          <w:szCs w:val="22"/>
        </w:rPr>
        <w:t>h</w:t>
      </w:r>
      <w:r w:rsidR="00EB2DC7" w:rsidRPr="005F15DA">
        <w:rPr>
          <w:rFonts w:cs="Arial"/>
          <w:szCs w:val="22"/>
        </w:rPr>
        <w:t>ren verkauft wird, also vielleicht nie)</w:t>
      </w:r>
      <w:r w:rsidR="0010172C" w:rsidRPr="005F15DA">
        <w:rPr>
          <w:rFonts w:cs="Arial"/>
          <w:szCs w:val="22"/>
        </w:rPr>
        <w:t>.</w:t>
      </w:r>
    </w:p>
    <w:p w:rsidR="00EB2DC7" w:rsidRPr="005F15DA" w:rsidRDefault="00EB2DC7" w:rsidP="008851FF">
      <w:pPr>
        <w:tabs>
          <w:tab w:val="left" w:pos="426"/>
        </w:tabs>
        <w:spacing w:line="240" w:lineRule="auto"/>
        <w:jc w:val="both"/>
        <w:rPr>
          <w:rFonts w:cs="Arial"/>
          <w:szCs w:val="22"/>
        </w:rPr>
      </w:pPr>
    </w:p>
    <w:p w:rsidR="00A54235" w:rsidRPr="005F15DA" w:rsidRDefault="00EB2DC7" w:rsidP="008851FF">
      <w:pPr>
        <w:tabs>
          <w:tab w:val="left" w:pos="426"/>
        </w:tabs>
        <w:spacing w:line="240" w:lineRule="auto"/>
        <w:jc w:val="both"/>
        <w:rPr>
          <w:rFonts w:cs="Arial"/>
          <w:szCs w:val="22"/>
        </w:rPr>
      </w:pPr>
      <w:r w:rsidRPr="005F15DA">
        <w:rPr>
          <w:rFonts w:cs="Arial"/>
          <w:szCs w:val="22"/>
        </w:rPr>
        <w:t>Das verpfändete Grundstück muss nicht Eigentum des Schuldners sein. Der Vater kann sein Grundstück als Sicherheit für eine Schuld des Sohnes verpfänden; man spricht hier vom Drittpfand.</w:t>
      </w:r>
      <w:r w:rsidR="00A54235" w:rsidRPr="005F15DA">
        <w:rPr>
          <w:rFonts w:cs="Arial"/>
          <w:szCs w:val="22"/>
        </w:rPr>
        <w:t xml:space="preserve"> Wenn der Grundeigentümer nicht Schuldner der Forderung ist, kann er diese gleichwohl tilgen und wird neuer Gläubiger der Forderung. Die Kündigung der Forderung durch den Gläubiger muss an den Grundeigentümer und den Schuldner erfolgen.</w:t>
      </w:r>
    </w:p>
    <w:p w:rsidR="00EB2DC7" w:rsidRPr="005F15DA" w:rsidRDefault="00EB2DC7" w:rsidP="008851FF">
      <w:pPr>
        <w:tabs>
          <w:tab w:val="left" w:pos="426"/>
        </w:tabs>
        <w:spacing w:line="240" w:lineRule="auto"/>
        <w:jc w:val="both"/>
        <w:rPr>
          <w:rFonts w:cs="Arial"/>
          <w:szCs w:val="22"/>
        </w:rPr>
      </w:pPr>
    </w:p>
    <w:p w:rsidR="00EB2DC7" w:rsidRPr="005F15DA" w:rsidRDefault="00EB2DC7" w:rsidP="008851FF">
      <w:pPr>
        <w:tabs>
          <w:tab w:val="left" w:pos="426"/>
        </w:tabs>
        <w:spacing w:line="240" w:lineRule="auto"/>
        <w:jc w:val="both"/>
        <w:rPr>
          <w:rFonts w:cs="Arial"/>
          <w:szCs w:val="22"/>
        </w:rPr>
      </w:pPr>
      <w:r w:rsidRPr="005F15DA">
        <w:rPr>
          <w:rFonts w:cs="Arial"/>
          <w:szCs w:val="22"/>
        </w:rPr>
        <w:t xml:space="preserve">Die Grundpfandverschreibung wird immer in einer bestimmten Pfandstelle errichtet und behält diesen Rang. </w:t>
      </w:r>
    </w:p>
    <w:p w:rsidR="00EB2DC7" w:rsidRPr="005F15DA" w:rsidRDefault="00EB2DC7" w:rsidP="008851FF">
      <w:pPr>
        <w:tabs>
          <w:tab w:val="left" w:pos="426"/>
        </w:tabs>
        <w:spacing w:line="240" w:lineRule="auto"/>
        <w:jc w:val="both"/>
        <w:rPr>
          <w:rFonts w:cs="Arial"/>
          <w:szCs w:val="22"/>
        </w:rPr>
      </w:pPr>
    </w:p>
    <w:p w:rsidR="00EB2DC7" w:rsidRPr="005F15DA" w:rsidRDefault="00EB2DC7" w:rsidP="008851FF">
      <w:pPr>
        <w:tabs>
          <w:tab w:val="left" w:pos="426"/>
        </w:tabs>
        <w:spacing w:line="240" w:lineRule="auto"/>
        <w:jc w:val="both"/>
        <w:rPr>
          <w:rFonts w:cs="Arial"/>
          <w:szCs w:val="22"/>
        </w:rPr>
      </w:pPr>
      <w:r w:rsidRPr="005F15DA">
        <w:rPr>
          <w:rFonts w:cs="Arial"/>
          <w:szCs w:val="22"/>
        </w:rPr>
        <w:t xml:space="preserve">Die Grundpfandverschreibung muss nicht in Papierform ausgestellt werden. Auch wenn für die Grundpfandverschreibung ein Papier ausgestellt wird (Beglaubigter Grundbuchauszug oder Grundpfandvertrag mit Eintragungsbescheinigung des Grundbuchamtes) </w:t>
      </w:r>
      <w:r w:rsidR="00154FD8" w:rsidRPr="005F15DA">
        <w:rPr>
          <w:rFonts w:cs="Arial"/>
          <w:szCs w:val="22"/>
        </w:rPr>
        <w:t>erhält das P</w:t>
      </w:r>
      <w:r w:rsidR="00154FD8" w:rsidRPr="005F15DA">
        <w:rPr>
          <w:rFonts w:cs="Arial"/>
          <w:szCs w:val="22"/>
        </w:rPr>
        <w:t>a</w:t>
      </w:r>
      <w:r w:rsidR="00154FD8" w:rsidRPr="005F15DA">
        <w:rPr>
          <w:rFonts w:cs="Arial"/>
          <w:szCs w:val="22"/>
        </w:rPr>
        <w:t>pier lediglich die Eigenschaft eines Beweismittels, ist aber kein Wertpapier.</w:t>
      </w:r>
    </w:p>
    <w:p w:rsidR="00154FD8" w:rsidRPr="005F15DA" w:rsidRDefault="00154FD8" w:rsidP="008851FF">
      <w:pPr>
        <w:tabs>
          <w:tab w:val="left" w:pos="426"/>
        </w:tabs>
        <w:spacing w:line="240" w:lineRule="auto"/>
        <w:jc w:val="both"/>
        <w:rPr>
          <w:rFonts w:cs="Arial"/>
          <w:szCs w:val="22"/>
        </w:rPr>
      </w:pPr>
    </w:p>
    <w:p w:rsidR="00154FD8" w:rsidRPr="005F15DA" w:rsidRDefault="00154FD8" w:rsidP="008851FF">
      <w:pPr>
        <w:tabs>
          <w:tab w:val="left" w:pos="426"/>
        </w:tabs>
        <w:spacing w:line="240" w:lineRule="auto"/>
        <w:jc w:val="both"/>
        <w:rPr>
          <w:rFonts w:cs="Arial"/>
          <w:szCs w:val="22"/>
        </w:rPr>
      </w:pPr>
      <w:r w:rsidRPr="005F15DA">
        <w:rPr>
          <w:rFonts w:cs="Arial"/>
          <w:szCs w:val="22"/>
        </w:rPr>
        <w:t xml:space="preserve">Die Grundpfandverschreibung geht mit dem Untergang der Forderung und der Löschung des Grundbucheintrages unter. Ist die Forderung erloschen (die Schuld zurückbezahlt worden), ist auch die Grundpfandverschreibung untergangen und kann nicht auf einen neuen Gläubiger für eine neue Schuld übertragen werden. Zur Löschung des Eintrages im Grundbuch genügt die vom Gläubiger unterschriebene Löschungsbewilligung, der Grundpfandvertrag muss nicht vorgelegt werden. </w:t>
      </w:r>
    </w:p>
    <w:p w:rsidR="00A54235" w:rsidRPr="005F15DA" w:rsidRDefault="00A54235" w:rsidP="008851FF">
      <w:pPr>
        <w:tabs>
          <w:tab w:val="left" w:pos="426"/>
        </w:tabs>
        <w:spacing w:line="240" w:lineRule="auto"/>
        <w:jc w:val="both"/>
        <w:rPr>
          <w:rFonts w:cs="Arial"/>
          <w:szCs w:val="22"/>
        </w:rPr>
      </w:pPr>
    </w:p>
    <w:p w:rsidR="00A54235" w:rsidRPr="005F15DA" w:rsidRDefault="00EE7FA3" w:rsidP="008851FF">
      <w:pPr>
        <w:tabs>
          <w:tab w:val="left" w:pos="426"/>
        </w:tabs>
        <w:spacing w:line="240" w:lineRule="auto"/>
        <w:jc w:val="both"/>
        <w:rPr>
          <w:rFonts w:cs="Arial"/>
          <w:szCs w:val="22"/>
        </w:rPr>
      </w:pPr>
      <w:r w:rsidRPr="005F15DA">
        <w:rPr>
          <w:rFonts w:cs="Arial"/>
          <w:szCs w:val="22"/>
        </w:rPr>
        <w:t>Wenn das belastete Grundstück veräussert wird, bleibt die Haftung des Grundstückes und des Schuldners unverändert bestehen, wenn es nicht anders vereinbart wird (es entsteht ein Drittpfand). Normalerweise wird der neue Eigentümer die Schuldpflicht für die Pfandforderung übernehmen. Das Grundbuchamt muss dem Gläubiger die Schuldübernahme mitteilen. Der Gläubiger hat ab dieser Mitteilung ein Jahr Zeit, schriftlich zu erklären, dass er den bisherigen Schuldner beibehalten wolle (z.B. wenn der Gläubiger den neuen Schuldner für nicht genug kreditwürdig erachtet).</w:t>
      </w:r>
    </w:p>
    <w:p w:rsidR="00EE7FA3" w:rsidRPr="005F15DA" w:rsidRDefault="00EE7FA3" w:rsidP="008851FF">
      <w:pPr>
        <w:tabs>
          <w:tab w:val="left" w:pos="426"/>
        </w:tabs>
        <w:spacing w:line="240" w:lineRule="auto"/>
        <w:jc w:val="both"/>
        <w:rPr>
          <w:rFonts w:cs="Arial"/>
          <w:szCs w:val="22"/>
        </w:rPr>
      </w:pPr>
    </w:p>
    <w:p w:rsidR="00EE7FA3" w:rsidRPr="005F15DA" w:rsidRDefault="00EE7FA3" w:rsidP="008851FF">
      <w:pPr>
        <w:tabs>
          <w:tab w:val="left" w:pos="426"/>
        </w:tabs>
        <w:spacing w:line="240" w:lineRule="auto"/>
        <w:jc w:val="both"/>
        <w:rPr>
          <w:rFonts w:cs="Arial"/>
          <w:szCs w:val="22"/>
        </w:rPr>
      </w:pPr>
      <w:r w:rsidRPr="005F15DA">
        <w:rPr>
          <w:rFonts w:cs="Arial"/>
          <w:szCs w:val="22"/>
        </w:rPr>
        <w:t>Die Übertragung einer (bestehenden) Forderung muss nicht im Grundbuch eingetragen we</w:t>
      </w:r>
      <w:r w:rsidRPr="005F15DA">
        <w:rPr>
          <w:rFonts w:cs="Arial"/>
          <w:szCs w:val="22"/>
        </w:rPr>
        <w:t>r</w:t>
      </w:r>
      <w:r w:rsidRPr="005F15DA">
        <w:rPr>
          <w:rFonts w:cs="Arial"/>
          <w:szCs w:val="22"/>
        </w:rPr>
        <w:t>den.</w:t>
      </w:r>
    </w:p>
    <w:p w:rsidR="001122A1" w:rsidRDefault="00C03270" w:rsidP="001122A1">
      <w:pPr>
        <w:tabs>
          <w:tab w:val="left" w:pos="426"/>
        </w:tabs>
        <w:spacing w:line="240" w:lineRule="auto"/>
        <w:jc w:val="both"/>
        <w:rPr>
          <w:rFonts w:cs="Arial"/>
          <w:szCs w:val="22"/>
        </w:rPr>
      </w:pPr>
      <w:r w:rsidRPr="005F15DA">
        <w:rPr>
          <w:rFonts w:cs="Arial"/>
          <w:szCs w:val="22"/>
        </w:rPr>
        <w:lastRenderedPageBreak/>
        <w:t>Die gesetzlichen Pfandrechte der Verkäufer, Miterben und Gemeinder müssen innert drei Monaten nach Eigentumsübergang im Grundbuch eingetragen werden.</w:t>
      </w:r>
    </w:p>
    <w:p w:rsidR="00C0637F" w:rsidRPr="001122A1" w:rsidRDefault="00C0637F" w:rsidP="001122A1">
      <w:pPr>
        <w:tabs>
          <w:tab w:val="left" w:pos="426"/>
        </w:tabs>
        <w:spacing w:line="240" w:lineRule="auto"/>
        <w:jc w:val="both"/>
        <w:rPr>
          <w:rFonts w:cs="Arial"/>
          <w:szCs w:val="22"/>
        </w:rPr>
      </w:pPr>
    </w:p>
    <w:p w:rsidR="00C03270" w:rsidRPr="005F15DA" w:rsidRDefault="00C03270" w:rsidP="008851FF">
      <w:pPr>
        <w:tabs>
          <w:tab w:val="left" w:pos="426"/>
        </w:tabs>
        <w:spacing w:line="240" w:lineRule="auto"/>
        <w:jc w:val="both"/>
        <w:rPr>
          <w:rFonts w:cs="Arial"/>
          <w:szCs w:val="22"/>
        </w:rPr>
      </w:pPr>
      <w:r w:rsidRPr="005F15DA">
        <w:rPr>
          <w:rFonts w:cs="Arial"/>
          <w:szCs w:val="22"/>
        </w:rPr>
        <w:t>Das Bauhandwerkerpfandrecht muss innert vier Monaten seit Abschluss der Arbeiten im Grundbuch eintragen werden (Art. 839 ZGB, neue Frist seit 1.1.2012). Wenn mehrere Ba</w:t>
      </w:r>
      <w:r w:rsidRPr="005F15DA">
        <w:rPr>
          <w:rFonts w:cs="Arial"/>
          <w:szCs w:val="22"/>
        </w:rPr>
        <w:t>u</w:t>
      </w:r>
      <w:r w:rsidRPr="005F15DA">
        <w:rPr>
          <w:rFonts w:cs="Arial"/>
          <w:szCs w:val="22"/>
        </w:rPr>
        <w:t>handwerkerpfandrechte zeitlich versetzt im Grundbuch eingetragen wurden, stehen sie bei der Pfandverwertung im gleichen Rang in Rangkonkurrenz.</w:t>
      </w:r>
    </w:p>
    <w:p w:rsidR="00DE2D3D" w:rsidRPr="005F15DA" w:rsidRDefault="00DE2D3D" w:rsidP="008851FF">
      <w:pPr>
        <w:tabs>
          <w:tab w:val="left" w:pos="426"/>
        </w:tabs>
        <w:spacing w:line="240" w:lineRule="auto"/>
        <w:jc w:val="both"/>
        <w:rPr>
          <w:rFonts w:cs="Arial"/>
          <w:szCs w:val="22"/>
        </w:rPr>
      </w:pPr>
    </w:p>
    <w:p w:rsidR="004E576A" w:rsidRPr="005F15DA" w:rsidRDefault="004E576A" w:rsidP="008851FF">
      <w:pPr>
        <w:tabs>
          <w:tab w:val="left" w:pos="426"/>
        </w:tabs>
        <w:spacing w:line="240" w:lineRule="auto"/>
        <w:jc w:val="both"/>
        <w:rPr>
          <w:rFonts w:cs="Arial"/>
          <w:szCs w:val="22"/>
        </w:rPr>
      </w:pPr>
    </w:p>
    <w:p w:rsidR="009F318D" w:rsidRPr="005F15DA" w:rsidRDefault="009F318D" w:rsidP="008851FF">
      <w:pPr>
        <w:tabs>
          <w:tab w:val="left" w:pos="426"/>
        </w:tabs>
        <w:spacing w:line="240" w:lineRule="auto"/>
        <w:jc w:val="both"/>
        <w:rPr>
          <w:rFonts w:cs="Arial"/>
          <w:szCs w:val="22"/>
        </w:rPr>
      </w:pPr>
    </w:p>
    <w:p w:rsidR="004E576A" w:rsidRPr="005F15DA" w:rsidRDefault="00DE2D3D" w:rsidP="005759BE">
      <w:pPr>
        <w:pStyle w:val="berschrift3"/>
        <w:rPr>
          <w:lang w:val="de-CH"/>
        </w:rPr>
      </w:pPr>
      <w:bookmarkStart w:id="158" w:name="_Toc432175678"/>
      <w:r w:rsidRPr="005F15DA">
        <w:rPr>
          <w:lang w:val="de-CH"/>
        </w:rPr>
        <w:t>C</w:t>
      </w:r>
      <w:r w:rsidR="009F318D" w:rsidRPr="005F15DA">
        <w:rPr>
          <w:lang w:val="de-CH"/>
        </w:rPr>
        <w:t>.</w:t>
      </w:r>
      <w:r w:rsidR="009F318D" w:rsidRPr="005F15DA">
        <w:rPr>
          <w:lang w:val="de-CH"/>
        </w:rPr>
        <w:tab/>
      </w:r>
      <w:r w:rsidRPr="005F15DA">
        <w:rPr>
          <w:lang w:val="de-CH"/>
        </w:rPr>
        <w:t xml:space="preserve">Der Schuldbrief </w:t>
      </w:r>
      <w:r w:rsidR="004E576A" w:rsidRPr="005F15DA">
        <w:rPr>
          <w:lang w:val="de-CH"/>
        </w:rPr>
        <w:t xml:space="preserve">(Art. </w:t>
      </w:r>
      <w:r w:rsidRPr="005F15DA">
        <w:rPr>
          <w:lang w:val="de-CH"/>
        </w:rPr>
        <w:t xml:space="preserve">842 – 865 </w:t>
      </w:r>
      <w:r w:rsidR="004E576A" w:rsidRPr="005F15DA">
        <w:rPr>
          <w:lang w:val="de-CH"/>
        </w:rPr>
        <w:t>ZGB)</w:t>
      </w:r>
      <w:bookmarkEnd w:id="158"/>
    </w:p>
    <w:p w:rsidR="004E576A" w:rsidRPr="005F15DA" w:rsidRDefault="004E576A" w:rsidP="008851FF">
      <w:pPr>
        <w:spacing w:line="240" w:lineRule="auto"/>
        <w:jc w:val="both"/>
        <w:rPr>
          <w:rFonts w:cs="Arial"/>
          <w:szCs w:val="22"/>
        </w:rPr>
      </w:pPr>
    </w:p>
    <w:p w:rsidR="000645ED" w:rsidRPr="005F15DA" w:rsidRDefault="000645ED" w:rsidP="008851FF">
      <w:pPr>
        <w:spacing w:line="240" w:lineRule="auto"/>
        <w:jc w:val="both"/>
        <w:rPr>
          <w:rFonts w:cs="Arial"/>
          <w:szCs w:val="22"/>
        </w:rPr>
      </w:pPr>
      <w:r w:rsidRPr="005F15DA">
        <w:rPr>
          <w:rFonts w:cs="Arial"/>
          <w:szCs w:val="22"/>
        </w:rPr>
        <w:t xml:space="preserve">Der Schuldbrief kann </w:t>
      </w:r>
      <w:r w:rsidR="0040709A" w:rsidRPr="005F15DA">
        <w:rPr>
          <w:rFonts w:cs="Arial"/>
          <w:szCs w:val="22"/>
        </w:rPr>
        <w:t xml:space="preserve">ausgestaltet werden </w:t>
      </w:r>
      <w:r w:rsidRPr="005F15DA">
        <w:rPr>
          <w:rFonts w:cs="Arial"/>
          <w:szCs w:val="22"/>
        </w:rPr>
        <w:t xml:space="preserve">als </w:t>
      </w:r>
    </w:p>
    <w:p w:rsidR="000645ED" w:rsidRPr="005F15DA" w:rsidRDefault="000645ED" w:rsidP="009D34F3">
      <w:pPr>
        <w:pStyle w:val="Listenabsatz"/>
        <w:numPr>
          <w:ilvl w:val="0"/>
          <w:numId w:val="16"/>
        </w:numPr>
        <w:spacing w:line="240" w:lineRule="auto"/>
        <w:ind w:left="426" w:hanging="426"/>
        <w:jc w:val="both"/>
        <w:rPr>
          <w:rFonts w:cs="Arial"/>
          <w:szCs w:val="22"/>
        </w:rPr>
      </w:pPr>
      <w:r w:rsidRPr="005F15DA">
        <w:rPr>
          <w:rFonts w:cs="Arial"/>
          <w:b/>
          <w:szCs w:val="22"/>
        </w:rPr>
        <w:t>Register-Schuldbrief</w:t>
      </w:r>
      <w:r w:rsidRPr="005F15DA">
        <w:rPr>
          <w:rFonts w:cs="Arial"/>
          <w:szCs w:val="22"/>
        </w:rPr>
        <w:t xml:space="preserve"> oder als </w:t>
      </w:r>
    </w:p>
    <w:p w:rsidR="000645ED" w:rsidRPr="005F15DA" w:rsidRDefault="000645ED" w:rsidP="009D34F3">
      <w:pPr>
        <w:pStyle w:val="Listenabsatz"/>
        <w:numPr>
          <w:ilvl w:val="0"/>
          <w:numId w:val="16"/>
        </w:numPr>
        <w:spacing w:line="240" w:lineRule="auto"/>
        <w:ind w:left="426" w:hanging="426"/>
        <w:jc w:val="both"/>
        <w:rPr>
          <w:rFonts w:cs="Arial"/>
          <w:szCs w:val="22"/>
        </w:rPr>
      </w:pPr>
      <w:r w:rsidRPr="005F15DA">
        <w:rPr>
          <w:rFonts w:cs="Arial"/>
          <w:b/>
          <w:szCs w:val="22"/>
        </w:rPr>
        <w:t>Papier-Schuldbrief</w:t>
      </w:r>
      <w:r w:rsidR="0040709A" w:rsidRPr="005F15DA">
        <w:rPr>
          <w:rFonts w:cs="Arial"/>
          <w:szCs w:val="22"/>
        </w:rPr>
        <w:t xml:space="preserve">, welcher in die Unterarten </w:t>
      </w:r>
    </w:p>
    <w:p w:rsidR="0040709A" w:rsidRPr="005F15DA" w:rsidRDefault="0040709A" w:rsidP="009D34F3">
      <w:pPr>
        <w:pStyle w:val="Listenabsatz"/>
        <w:numPr>
          <w:ilvl w:val="1"/>
          <w:numId w:val="17"/>
        </w:numPr>
        <w:spacing w:line="240" w:lineRule="auto"/>
        <w:ind w:left="851" w:hanging="425"/>
        <w:jc w:val="both"/>
        <w:rPr>
          <w:rFonts w:cs="Arial"/>
          <w:szCs w:val="22"/>
        </w:rPr>
      </w:pPr>
      <w:r w:rsidRPr="005F15DA">
        <w:rPr>
          <w:rFonts w:cs="Arial"/>
          <w:szCs w:val="22"/>
        </w:rPr>
        <w:t>Namen-Papier-Schuldbrief und</w:t>
      </w:r>
    </w:p>
    <w:p w:rsidR="0040709A" w:rsidRPr="005F15DA" w:rsidRDefault="0040709A" w:rsidP="009D34F3">
      <w:pPr>
        <w:pStyle w:val="Listenabsatz"/>
        <w:numPr>
          <w:ilvl w:val="1"/>
          <w:numId w:val="17"/>
        </w:numPr>
        <w:spacing w:line="240" w:lineRule="auto"/>
        <w:ind w:left="851" w:hanging="425"/>
        <w:jc w:val="both"/>
        <w:rPr>
          <w:rFonts w:cs="Arial"/>
          <w:szCs w:val="22"/>
        </w:rPr>
      </w:pPr>
      <w:r w:rsidRPr="005F15DA">
        <w:rPr>
          <w:rFonts w:cs="Arial"/>
          <w:szCs w:val="22"/>
        </w:rPr>
        <w:t>Inhaber-Papier-Schuldbrief</w:t>
      </w:r>
    </w:p>
    <w:p w:rsidR="000645ED" w:rsidRPr="005F15DA" w:rsidRDefault="0040709A" w:rsidP="008851FF">
      <w:pPr>
        <w:spacing w:line="240" w:lineRule="auto"/>
        <w:ind w:left="426"/>
        <w:jc w:val="both"/>
        <w:rPr>
          <w:rFonts w:cs="Arial"/>
          <w:szCs w:val="22"/>
        </w:rPr>
      </w:pPr>
      <w:r w:rsidRPr="005F15DA">
        <w:rPr>
          <w:rFonts w:cs="Arial"/>
          <w:szCs w:val="22"/>
        </w:rPr>
        <w:t>aufgeteilt wird.</w:t>
      </w:r>
    </w:p>
    <w:p w:rsidR="000645ED" w:rsidRPr="005F15DA" w:rsidRDefault="000645ED" w:rsidP="008851FF">
      <w:pPr>
        <w:spacing w:line="240" w:lineRule="auto"/>
        <w:jc w:val="both"/>
        <w:rPr>
          <w:rFonts w:cs="Arial"/>
          <w:szCs w:val="22"/>
        </w:rPr>
      </w:pPr>
    </w:p>
    <w:p w:rsidR="0040709A" w:rsidRPr="005F15DA" w:rsidRDefault="00E83859" w:rsidP="008851FF">
      <w:pPr>
        <w:spacing w:line="240" w:lineRule="auto"/>
        <w:jc w:val="both"/>
        <w:rPr>
          <w:rFonts w:cs="Arial"/>
          <w:szCs w:val="22"/>
        </w:rPr>
      </w:pPr>
      <w:r w:rsidRPr="005F15DA">
        <w:rPr>
          <w:rFonts w:cs="Arial"/>
          <w:szCs w:val="22"/>
        </w:rPr>
        <w:t xml:space="preserve">Der </w:t>
      </w:r>
      <w:r w:rsidRPr="005F15DA">
        <w:rPr>
          <w:rFonts w:cs="Arial"/>
          <w:b/>
          <w:szCs w:val="22"/>
        </w:rPr>
        <w:t>Register-Schuldbrief</w:t>
      </w:r>
      <w:r w:rsidRPr="005F15DA">
        <w:rPr>
          <w:rFonts w:cs="Arial"/>
          <w:szCs w:val="22"/>
        </w:rPr>
        <w:t xml:space="preserve"> lautet immer auf den Namen des Gläubigers und wird nicht als Papier ausgestellt, sondern lediglich im Grundbuch und Register eingetragen. Der Schuldner kann nur an den im Grundbuch eingetragenen Gläubiger mit befreiender Wirkung leisten, weshalb jeder Gläubigerwechsel im Grundbuch nachgetragen werden muss.</w:t>
      </w:r>
    </w:p>
    <w:p w:rsidR="009F318D" w:rsidRPr="005F15DA" w:rsidRDefault="009F318D" w:rsidP="008851FF">
      <w:pPr>
        <w:spacing w:line="240" w:lineRule="auto"/>
        <w:jc w:val="both"/>
        <w:rPr>
          <w:rFonts w:cs="Arial"/>
          <w:szCs w:val="22"/>
        </w:rPr>
      </w:pPr>
    </w:p>
    <w:p w:rsidR="009F318D" w:rsidRPr="005F15DA" w:rsidRDefault="009F318D" w:rsidP="008851FF">
      <w:pPr>
        <w:spacing w:line="240" w:lineRule="auto"/>
        <w:jc w:val="both"/>
        <w:rPr>
          <w:rFonts w:cs="Arial"/>
          <w:szCs w:val="22"/>
        </w:rPr>
      </w:pPr>
      <w:r w:rsidRPr="005F15DA">
        <w:rPr>
          <w:rFonts w:cs="Arial"/>
          <w:szCs w:val="22"/>
        </w:rPr>
        <w:t>Der Register-Schuldbrief ist kein Wertpapier.</w:t>
      </w:r>
    </w:p>
    <w:p w:rsidR="009F318D" w:rsidRPr="005F15DA" w:rsidRDefault="009F318D" w:rsidP="008851FF">
      <w:pPr>
        <w:spacing w:line="240" w:lineRule="auto"/>
        <w:jc w:val="both"/>
        <w:rPr>
          <w:rFonts w:cs="Arial"/>
          <w:szCs w:val="22"/>
        </w:rPr>
      </w:pPr>
    </w:p>
    <w:p w:rsidR="009F318D" w:rsidRDefault="009F318D" w:rsidP="008851FF">
      <w:pPr>
        <w:spacing w:line="240" w:lineRule="auto"/>
        <w:jc w:val="both"/>
        <w:rPr>
          <w:rFonts w:cs="Arial"/>
          <w:szCs w:val="22"/>
        </w:rPr>
      </w:pPr>
      <w:r w:rsidRPr="005F15DA">
        <w:rPr>
          <w:rFonts w:cs="Arial"/>
          <w:szCs w:val="22"/>
        </w:rPr>
        <w:t>Die Übertragung des Register-Schuldbriefes erfolgt durch Eintragung des neuen Gläubigers in das Grundbuch aufgrund einer schriftlichen Erklärung des bisher</w:t>
      </w:r>
      <w:r w:rsidR="007371BD">
        <w:rPr>
          <w:rFonts w:cs="Arial"/>
          <w:szCs w:val="22"/>
        </w:rPr>
        <w:t>igen Gläubigers (Art. 858 ZGB) (siehe Formular im Anhang, Grundbuchformulare).</w:t>
      </w:r>
    </w:p>
    <w:p w:rsidR="007371BD" w:rsidRDefault="007371BD" w:rsidP="008851FF">
      <w:pPr>
        <w:spacing w:line="240" w:lineRule="auto"/>
        <w:jc w:val="both"/>
        <w:rPr>
          <w:rFonts w:cs="Arial"/>
          <w:szCs w:val="22"/>
        </w:rPr>
      </w:pPr>
    </w:p>
    <w:p w:rsidR="007371BD" w:rsidRPr="005F15DA" w:rsidRDefault="000F1D9D" w:rsidP="008851FF">
      <w:pPr>
        <w:spacing w:line="240" w:lineRule="auto"/>
        <w:jc w:val="both"/>
        <w:rPr>
          <w:rFonts w:cs="Arial"/>
          <w:szCs w:val="22"/>
        </w:rPr>
      </w:pPr>
      <w:r>
        <w:rPr>
          <w:rFonts w:cs="Arial"/>
          <w:szCs w:val="22"/>
        </w:rPr>
        <w:t xml:space="preserve">Vor dem 1.1.2012 errichtete </w:t>
      </w:r>
      <w:r w:rsidR="007371BD">
        <w:rPr>
          <w:rFonts w:cs="Arial"/>
          <w:szCs w:val="22"/>
        </w:rPr>
        <w:t>Papier-Schuldbrief</w:t>
      </w:r>
      <w:r>
        <w:rPr>
          <w:rFonts w:cs="Arial"/>
          <w:szCs w:val="22"/>
        </w:rPr>
        <w:t xml:space="preserve">e können </w:t>
      </w:r>
      <w:r w:rsidR="007371BD">
        <w:rPr>
          <w:rFonts w:cs="Arial"/>
          <w:szCs w:val="22"/>
        </w:rPr>
        <w:t>in Register-Schuldbrief</w:t>
      </w:r>
      <w:r>
        <w:rPr>
          <w:rFonts w:cs="Arial"/>
          <w:szCs w:val="22"/>
        </w:rPr>
        <w:t>e</w:t>
      </w:r>
      <w:r w:rsidR="007371BD">
        <w:rPr>
          <w:rFonts w:cs="Arial"/>
          <w:szCs w:val="22"/>
        </w:rPr>
        <w:t xml:space="preserve"> umgewa</w:t>
      </w:r>
      <w:r w:rsidR="007371BD">
        <w:rPr>
          <w:rFonts w:cs="Arial"/>
          <w:szCs w:val="22"/>
        </w:rPr>
        <w:t>n</w:t>
      </w:r>
      <w:r w:rsidR="007371BD">
        <w:rPr>
          <w:rFonts w:cs="Arial"/>
          <w:szCs w:val="22"/>
        </w:rPr>
        <w:t xml:space="preserve">delt werden (siehe Formular im Anhang, </w:t>
      </w:r>
      <w:r>
        <w:rPr>
          <w:rFonts w:cs="Arial"/>
          <w:szCs w:val="22"/>
        </w:rPr>
        <w:t>X. Grundbuchformulare). Gläubiger und Grundeige</w:t>
      </w:r>
      <w:r>
        <w:rPr>
          <w:rFonts w:cs="Arial"/>
          <w:szCs w:val="22"/>
        </w:rPr>
        <w:t>n</w:t>
      </w:r>
      <w:r>
        <w:rPr>
          <w:rFonts w:cs="Arial"/>
          <w:szCs w:val="22"/>
        </w:rPr>
        <w:t>tümer unterschreiben das Formular; eine Urkundsperson ist nicht notwendig. Weil der Gläub</w:t>
      </w:r>
      <w:r>
        <w:rPr>
          <w:rFonts w:cs="Arial"/>
          <w:szCs w:val="22"/>
        </w:rPr>
        <w:t>i</w:t>
      </w:r>
      <w:r>
        <w:rPr>
          <w:rFonts w:cs="Arial"/>
          <w:szCs w:val="22"/>
        </w:rPr>
        <w:t>ger unterschreiben muss, muss der Inhaber-Schuldbrief zuerst auf den aktuellen Gläubiger übertragen werden, so dass ein Namen-Papier-Schuldbrief entsteht.</w:t>
      </w:r>
    </w:p>
    <w:p w:rsidR="00E83859" w:rsidRPr="005F15DA" w:rsidRDefault="00E83859" w:rsidP="008851FF">
      <w:pPr>
        <w:spacing w:line="240" w:lineRule="auto"/>
        <w:jc w:val="both"/>
        <w:rPr>
          <w:rFonts w:cs="Arial"/>
          <w:szCs w:val="22"/>
        </w:rPr>
      </w:pPr>
    </w:p>
    <w:p w:rsidR="00E83859" w:rsidRPr="005F15DA" w:rsidRDefault="00E83859" w:rsidP="008851FF">
      <w:pPr>
        <w:spacing w:line="240" w:lineRule="auto"/>
        <w:jc w:val="both"/>
        <w:rPr>
          <w:rFonts w:cs="Arial"/>
          <w:szCs w:val="22"/>
        </w:rPr>
      </w:pPr>
      <w:r w:rsidRPr="005F15DA">
        <w:rPr>
          <w:rFonts w:cs="Arial"/>
          <w:szCs w:val="22"/>
        </w:rPr>
        <w:t xml:space="preserve">Der </w:t>
      </w:r>
      <w:r w:rsidRPr="005F15DA">
        <w:rPr>
          <w:rFonts w:cs="Arial"/>
          <w:b/>
          <w:szCs w:val="22"/>
        </w:rPr>
        <w:t>Papier-Schuldbrief</w:t>
      </w:r>
      <w:r w:rsidRPr="005F15DA">
        <w:rPr>
          <w:rFonts w:cs="Arial"/>
          <w:szCs w:val="22"/>
        </w:rPr>
        <w:t xml:space="preserve"> lautet entweder auf den Namen des Gläubigers oder auf den Inh</w:t>
      </w:r>
      <w:r w:rsidRPr="005F15DA">
        <w:rPr>
          <w:rFonts w:cs="Arial"/>
          <w:szCs w:val="22"/>
        </w:rPr>
        <w:t>a</w:t>
      </w:r>
      <w:r w:rsidRPr="005F15DA">
        <w:rPr>
          <w:rFonts w:cs="Arial"/>
          <w:szCs w:val="22"/>
        </w:rPr>
        <w:t xml:space="preserve">ber. Auch der sogenannte Eigentümerschuldbrief ist ein Namenschuldbrief (als Gläubiger ist der Grundeigentümer eingetragen). </w:t>
      </w:r>
    </w:p>
    <w:p w:rsidR="00E83859" w:rsidRPr="005F15DA" w:rsidRDefault="00E83859" w:rsidP="008851FF">
      <w:pPr>
        <w:spacing w:line="240" w:lineRule="auto"/>
        <w:jc w:val="both"/>
        <w:rPr>
          <w:rFonts w:cs="Arial"/>
          <w:szCs w:val="22"/>
        </w:rPr>
      </w:pPr>
    </w:p>
    <w:p w:rsidR="00E83859" w:rsidRPr="005F15DA" w:rsidRDefault="00E83859" w:rsidP="008851FF">
      <w:pPr>
        <w:spacing w:line="240" w:lineRule="auto"/>
        <w:jc w:val="both"/>
        <w:rPr>
          <w:rFonts w:cs="Arial"/>
          <w:szCs w:val="22"/>
        </w:rPr>
      </w:pPr>
      <w:r w:rsidRPr="005F15DA">
        <w:rPr>
          <w:rFonts w:cs="Arial"/>
          <w:szCs w:val="22"/>
        </w:rPr>
        <w:t xml:space="preserve">Der Papier-Schuldbrief ist ein Wertpapier. </w:t>
      </w:r>
    </w:p>
    <w:p w:rsidR="00E83859" w:rsidRPr="005F15DA" w:rsidRDefault="00E83859" w:rsidP="008851FF">
      <w:pPr>
        <w:spacing w:line="240" w:lineRule="auto"/>
        <w:jc w:val="both"/>
        <w:rPr>
          <w:rFonts w:cs="Arial"/>
          <w:szCs w:val="22"/>
        </w:rPr>
      </w:pPr>
    </w:p>
    <w:p w:rsidR="00E83859" w:rsidRPr="005F15DA" w:rsidRDefault="00E83859" w:rsidP="008851FF">
      <w:pPr>
        <w:spacing w:line="240" w:lineRule="auto"/>
        <w:jc w:val="both"/>
        <w:rPr>
          <w:rFonts w:cs="Arial"/>
          <w:szCs w:val="22"/>
        </w:rPr>
      </w:pPr>
      <w:r w:rsidRPr="005F15DA">
        <w:rPr>
          <w:rFonts w:cs="Arial"/>
          <w:szCs w:val="22"/>
        </w:rPr>
        <w:t>Die Übertragung des Namen-Papier-Schuldbriefes erfolgt durch einen Übertragungsvermerk auf dem Schuldbrief und der Übergabe des Schuldbriefes an den neuen Gläubiger. Die Nac</w:t>
      </w:r>
      <w:r w:rsidRPr="005F15DA">
        <w:rPr>
          <w:rFonts w:cs="Arial"/>
          <w:szCs w:val="22"/>
        </w:rPr>
        <w:t>h</w:t>
      </w:r>
      <w:r w:rsidRPr="005F15DA">
        <w:rPr>
          <w:rFonts w:cs="Arial"/>
          <w:szCs w:val="22"/>
        </w:rPr>
        <w:t>tragung des Gläubigers im Grundbuch ist nicht zwingend erforderlich. Der Schuldner kann nur an den auf dem Schuldbrief vermerkten Gläubiger mit befreiender Wirkung leisten</w:t>
      </w:r>
    </w:p>
    <w:p w:rsidR="00E83859" w:rsidRPr="005F15DA" w:rsidRDefault="00E83859" w:rsidP="008851FF">
      <w:pPr>
        <w:spacing w:line="240" w:lineRule="auto"/>
        <w:jc w:val="both"/>
        <w:rPr>
          <w:rFonts w:cs="Arial"/>
          <w:szCs w:val="22"/>
        </w:rPr>
      </w:pPr>
    </w:p>
    <w:p w:rsidR="00E83859" w:rsidRPr="005F15DA" w:rsidRDefault="00E83859" w:rsidP="008851FF">
      <w:pPr>
        <w:spacing w:line="240" w:lineRule="auto"/>
        <w:jc w:val="both"/>
        <w:rPr>
          <w:rFonts w:cs="Arial"/>
          <w:szCs w:val="22"/>
        </w:rPr>
      </w:pPr>
      <w:r w:rsidRPr="005F15DA">
        <w:rPr>
          <w:rFonts w:cs="Arial"/>
          <w:szCs w:val="22"/>
        </w:rPr>
        <w:t>Der Inhaberschuldbrief wird durch Übergabe des Schuldbriefes an den neuen Gläubiger übe</w:t>
      </w:r>
      <w:r w:rsidRPr="005F15DA">
        <w:rPr>
          <w:rFonts w:cs="Arial"/>
          <w:szCs w:val="22"/>
        </w:rPr>
        <w:t>r</w:t>
      </w:r>
      <w:r w:rsidRPr="005F15DA">
        <w:rPr>
          <w:rFonts w:cs="Arial"/>
          <w:szCs w:val="22"/>
        </w:rPr>
        <w:t>tragen; als Gläubiger ist im Grundbuch der Inhaber eingetragen. Der Schuldner kann nur an den</w:t>
      </w:r>
      <w:r w:rsidR="005249C2" w:rsidRPr="005F15DA">
        <w:rPr>
          <w:rFonts w:cs="Arial"/>
          <w:szCs w:val="22"/>
        </w:rPr>
        <w:t xml:space="preserve">, den Schuldbrief vorlegenden Gläubiger </w:t>
      </w:r>
      <w:r w:rsidRPr="005F15DA">
        <w:rPr>
          <w:rFonts w:cs="Arial"/>
          <w:szCs w:val="22"/>
        </w:rPr>
        <w:t>mit befreiender Wirkung leisten</w:t>
      </w:r>
      <w:r w:rsidR="005249C2" w:rsidRPr="005F15DA">
        <w:rPr>
          <w:rFonts w:cs="Arial"/>
          <w:szCs w:val="22"/>
        </w:rPr>
        <w:t>.</w:t>
      </w:r>
    </w:p>
    <w:p w:rsidR="0040709A" w:rsidRPr="005F15DA" w:rsidRDefault="0040709A" w:rsidP="008851FF">
      <w:pPr>
        <w:spacing w:line="240" w:lineRule="auto"/>
        <w:jc w:val="both"/>
        <w:rPr>
          <w:rFonts w:cs="Arial"/>
          <w:szCs w:val="22"/>
        </w:rPr>
      </w:pPr>
    </w:p>
    <w:p w:rsidR="004E576A" w:rsidRPr="005F15DA" w:rsidRDefault="00C03270" w:rsidP="008851FF">
      <w:pPr>
        <w:tabs>
          <w:tab w:val="left" w:pos="426"/>
        </w:tabs>
        <w:spacing w:line="240" w:lineRule="auto"/>
        <w:jc w:val="both"/>
        <w:rPr>
          <w:rFonts w:cs="Arial"/>
          <w:szCs w:val="22"/>
        </w:rPr>
      </w:pPr>
      <w:r w:rsidRPr="005F15DA">
        <w:rPr>
          <w:rFonts w:cs="Arial"/>
          <w:szCs w:val="22"/>
        </w:rPr>
        <w:t xml:space="preserve">Durch den Schuldbrief wird eine </w:t>
      </w:r>
      <w:r w:rsidRPr="005F15DA">
        <w:rPr>
          <w:rFonts w:cs="Arial"/>
          <w:b/>
          <w:szCs w:val="22"/>
        </w:rPr>
        <w:t>persönliche Forderung</w:t>
      </w:r>
      <w:r w:rsidRPr="005F15DA">
        <w:rPr>
          <w:rFonts w:cs="Arial"/>
          <w:szCs w:val="22"/>
        </w:rPr>
        <w:t xml:space="preserve"> begründet, die </w:t>
      </w:r>
      <w:r w:rsidRPr="005F15DA">
        <w:rPr>
          <w:rFonts w:cs="Arial"/>
          <w:b/>
          <w:szCs w:val="22"/>
        </w:rPr>
        <w:t>grundpfändlich sichergestellt</w:t>
      </w:r>
      <w:r w:rsidRPr="005F15DA">
        <w:rPr>
          <w:rFonts w:cs="Arial"/>
          <w:szCs w:val="22"/>
        </w:rPr>
        <w:t xml:space="preserve"> ist (Art. 842 ZGB). </w:t>
      </w:r>
    </w:p>
    <w:p w:rsidR="00E87849" w:rsidRPr="005F15DA" w:rsidRDefault="00E87849" w:rsidP="008851FF">
      <w:pPr>
        <w:tabs>
          <w:tab w:val="left" w:pos="426"/>
        </w:tabs>
        <w:spacing w:line="240" w:lineRule="auto"/>
        <w:jc w:val="both"/>
        <w:rPr>
          <w:rFonts w:cs="Arial"/>
          <w:szCs w:val="22"/>
        </w:rPr>
      </w:pPr>
      <w:r w:rsidRPr="005F15DA">
        <w:rPr>
          <w:rFonts w:cs="Arial"/>
          <w:szCs w:val="22"/>
        </w:rPr>
        <w:lastRenderedPageBreak/>
        <w:t>Die Schuldbriefforderung tritt neben die zu sichernde Forderung, die dem Gläubiger gege</w:t>
      </w:r>
      <w:r w:rsidRPr="005F15DA">
        <w:rPr>
          <w:rFonts w:cs="Arial"/>
          <w:szCs w:val="22"/>
        </w:rPr>
        <w:t>n</w:t>
      </w:r>
      <w:r w:rsidRPr="005F15DA">
        <w:rPr>
          <w:rFonts w:cs="Arial"/>
          <w:szCs w:val="22"/>
        </w:rPr>
        <w:t>über dem Schuldner aus dem Grundverhältnis gegebenenfalls zusteht, wenn nichts anderes vereinbart ist. Der Gläubiger erhält also eine Forderung aus dem Grundverhältnis, z.B. dem Hypothekarvertrag, und zusätzlich aus dem Schuldbrief. Gegenüber dem Gläubiger und de</w:t>
      </w:r>
      <w:r w:rsidRPr="005F15DA">
        <w:rPr>
          <w:rFonts w:cs="Arial"/>
          <w:szCs w:val="22"/>
        </w:rPr>
        <w:t>s</w:t>
      </w:r>
      <w:r w:rsidRPr="005F15DA">
        <w:rPr>
          <w:rFonts w:cs="Arial"/>
          <w:szCs w:val="22"/>
        </w:rPr>
        <w:t xml:space="preserve">sen bösgläubigen Rechtsnachfolgern kann sich der Schuldner auf die Einreden aus dem Grundverhältnis berufen; es steht ihm z.B. die Einrede der erfolgten Tilgung zu. </w:t>
      </w:r>
    </w:p>
    <w:p w:rsidR="00E87849" w:rsidRPr="005F15DA" w:rsidRDefault="00E87849" w:rsidP="008851FF">
      <w:pPr>
        <w:tabs>
          <w:tab w:val="left" w:pos="426"/>
        </w:tabs>
        <w:spacing w:line="240" w:lineRule="auto"/>
        <w:jc w:val="both"/>
        <w:rPr>
          <w:rFonts w:cs="Arial"/>
          <w:szCs w:val="22"/>
        </w:rPr>
      </w:pPr>
    </w:p>
    <w:p w:rsidR="000645ED" w:rsidRPr="005F15DA" w:rsidRDefault="00E87849" w:rsidP="008851FF">
      <w:pPr>
        <w:tabs>
          <w:tab w:val="left" w:pos="426"/>
        </w:tabs>
        <w:spacing w:line="240" w:lineRule="auto"/>
        <w:jc w:val="both"/>
        <w:rPr>
          <w:rFonts w:cs="Arial"/>
          <w:szCs w:val="22"/>
        </w:rPr>
      </w:pPr>
      <w:r w:rsidRPr="005F15DA">
        <w:rPr>
          <w:rFonts w:cs="Arial"/>
          <w:szCs w:val="22"/>
        </w:rPr>
        <w:t xml:space="preserve">Der Schuldbrief besteht weiter, auch wenn die Schuld erloschen ist. Deshalb kann der Schuldbrief auf einen neuen Gläubiger übertragen werden. Jeder gutgläubige Erwerber des Schuldbriefes kann sich darauf verlassen, </w:t>
      </w:r>
      <w:r w:rsidR="000645ED" w:rsidRPr="005F15DA">
        <w:rPr>
          <w:rFonts w:cs="Arial"/>
          <w:szCs w:val="22"/>
        </w:rPr>
        <w:t xml:space="preserve">dass die Forderung aus dem Schuldbrief und das Pfandrecht gemäss Grundbuch bestehen. </w:t>
      </w:r>
    </w:p>
    <w:p w:rsidR="000645ED" w:rsidRPr="005F15DA" w:rsidRDefault="000645ED" w:rsidP="008851FF">
      <w:pPr>
        <w:tabs>
          <w:tab w:val="left" w:pos="426"/>
        </w:tabs>
        <w:spacing w:line="240" w:lineRule="auto"/>
        <w:jc w:val="both"/>
        <w:rPr>
          <w:rFonts w:cs="Arial"/>
          <w:szCs w:val="22"/>
        </w:rPr>
      </w:pPr>
    </w:p>
    <w:p w:rsidR="00E87849" w:rsidRPr="005F15DA" w:rsidRDefault="000645ED" w:rsidP="008851FF">
      <w:pPr>
        <w:tabs>
          <w:tab w:val="left" w:pos="426"/>
        </w:tabs>
        <w:spacing w:line="240" w:lineRule="auto"/>
        <w:jc w:val="both"/>
        <w:rPr>
          <w:rFonts w:cs="Arial"/>
          <w:szCs w:val="22"/>
        </w:rPr>
      </w:pPr>
      <w:r w:rsidRPr="005F15DA">
        <w:rPr>
          <w:rFonts w:cs="Arial"/>
          <w:szCs w:val="22"/>
        </w:rPr>
        <w:t>Der Schuldner kann gegenüber dem Gläubiger nur diejenigen Einreden geltend machen, die sich aus dem Grundbucheintrag ergeben oder ihm gegenüber dem Gläubiger zustehen oder die sich aus dem Papierschuldbrief hervorgehen.</w:t>
      </w:r>
    </w:p>
    <w:p w:rsidR="005249C2" w:rsidRPr="005F15DA" w:rsidRDefault="005249C2" w:rsidP="008851FF">
      <w:pPr>
        <w:tabs>
          <w:tab w:val="left" w:pos="426"/>
        </w:tabs>
        <w:spacing w:line="240" w:lineRule="auto"/>
        <w:jc w:val="both"/>
        <w:rPr>
          <w:rFonts w:cs="Arial"/>
          <w:szCs w:val="22"/>
        </w:rPr>
      </w:pPr>
    </w:p>
    <w:p w:rsidR="005249C2" w:rsidRPr="005F15DA" w:rsidRDefault="005249C2" w:rsidP="008851FF">
      <w:pPr>
        <w:tabs>
          <w:tab w:val="left" w:pos="426"/>
        </w:tabs>
        <w:spacing w:line="240" w:lineRule="auto"/>
        <w:jc w:val="both"/>
        <w:rPr>
          <w:rFonts w:cs="Arial"/>
          <w:szCs w:val="22"/>
        </w:rPr>
      </w:pPr>
      <w:r w:rsidRPr="005F15DA">
        <w:rPr>
          <w:rFonts w:cs="Arial"/>
          <w:szCs w:val="22"/>
        </w:rPr>
        <w:t>Die Schuldbriefforderung darf sich weder auf das Grundverhältnis beziehen noch Bedingu</w:t>
      </w:r>
      <w:r w:rsidRPr="005F15DA">
        <w:rPr>
          <w:rFonts w:cs="Arial"/>
          <w:szCs w:val="22"/>
        </w:rPr>
        <w:t>n</w:t>
      </w:r>
      <w:r w:rsidRPr="005F15DA">
        <w:rPr>
          <w:rFonts w:cs="Arial"/>
          <w:szCs w:val="22"/>
        </w:rPr>
        <w:t>gen oder Gegenleistungen enthalten.</w:t>
      </w:r>
    </w:p>
    <w:p w:rsidR="005249C2" w:rsidRPr="005F15DA" w:rsidRDefault="005249C2" w:rsidP="008851FF">
      <w:pPr>
        <w:tabs>
          <w:tab w:val="left" w:pos="426"/>
        </w:tabs>
        <w:spacing w:line="240" w:lineRule="auto"/>
        <w:jc w:val="both"/>
        <w:rPr>
          <w:rFonts w:cs="Arial"/>
          <w:szCs w:val="22"/>
        </w:rPr>
      </w:pPr>
    </w:p>
    <w:p w:rsidR="005249C2" w:rsidRPr="005F15DA" w:rsidRDefault="005249C2" w:rsidP="008851FF">
      <w:pPr>
        <w:tabs>
          <w:tab w:val="left" w:pos="426"/>
        </w:tabs>
        <w:spacing w:line="240" w:lineRule="auto"/>
        <w:jc w:val="both"/>
        <w:rPr>
          <w:rFonts w:cs="Arial"/>
          <w:szCs w:val="22"/>
        </w:rPr>
      </w:pPr>
      <w:r w:rsidRPr="005F15DA">
        <w:rPr>
          <w:rFonts w:cs="Arial"/>
          <w:szCs w:val="22"/>
        </w:rPr>
        <w:t>Der Schuldbrief darf schuldrechtliche Nebenvereinbarungen über Verzinsung, Abzahlung und Kündigung sowie Nebenbestimmungen enthalten. Damit sind die Zins- und Abzahlungsb</w:t>
      </w:r>
      <w:r w:rsidRPr="005F15DA">
        <w:rPr>
          <w:rFonts w:cs="Arial"/>
          <w:szCs w:val="22"/>
        </w:rPr>
        <w:t>e</w:t>
      </w:r>
      <w:r w:rsidRPr="005F15DA">
        <w:rPr>
          <w:rFonts w:cs="Arial"/>
          <w:szCs w:val="22"/>
        </w:rPr>
        <w:t>stimmungen sowie der Höchstzinsfuss, welche auf dem Schuldbrief eingetragen sind, g</w:t>
      </w:r>
      <w:r w:rsidRPr="005F15DA">
        <w:rPr>
          <w:rFonts w:cs="Arial"/>
          <w:szCs w:val="22"/>
        </w:rPr>
        <w:t>e</w:t>
      </w:r>
      <w:r w:rsidRPr="005F15DA">
        <w:rPr>
          <w:rFonts w:cs="Arial"/>
          <w:szCs w:val="22"/>
        </w:rPr>
        <w:t xml:space="preserve">meint. Die gesetzliche Kündigungsfrist beträgt sechs Monate (per Ende des Monats), kann aber vertraglich auf 3 Monate verkürzt werden. </w:t>
      </w:r>
    </w:p>
    <w:p w:rsidR="005C2568" w:rsidRPr="005F15DA" w:rsidRDefault="005C2568" w:rsidP="008851FF">
      <w:pPr>
        <w:tabs>
          <w:tab w:val="left" w:pos="426"/>
        </w:tabs>
        <w:spacing w:line="240" w:lineRule="auto"/>
        <w:jc w:val="both"/>
        <w:rPr>
          <w:rFonts w:cs="Arial"/>
          <w:szCs w:val="22"/>
        </w:rPr>
      </w:pPr>
    </w:p>
    <w:p w:rsidR="005C2568" w:rsidRPr="005F15DA" w:rsidRDefault="005C2568" w:rsidP="008851FF">
      <w:pPr>
        <w:tabs>
          <w:tab w:val="left" w:pos="426"/>
        </w:tabs>
        <w:spacing w:line="240" w:lineRule="auto"/>
        <w:jc w:val="both"/>
        <w:rPr>
          <w:rFonts w:cs="Arial"/>
          <w:szCs w:val="22"/>
        </w:rPr>
      </w:pPr>
      <w:r w:rsidRPr="005F15DA">
        <w:rPr>
          <w:rFonts w:cs="Arial"/>
          <w:szCs w:val="22"/>
        </w:rPr>
        <w:t>Der Schuldner hat alle Zahlungen am Wohnsitz des Gläubigers zu leisten, wenn nichts and</w:t>
      </w:r>
      <w:r w:rsidRPr="005F15DA">
        <w:rPr>
          <w:rFonts w:cs="Arial"/>
          <w:szCs w:val="22"/>
        </w:rPr>
        <w:t>e</w:t>
      </w:r>
      <w:r w:rsidRPr="005F15DA">
        <w:rPr>
          <w:rFonts w:cs="Arial"/>
          <w:szCs w:val="22"/>
        </w:rPr>
        <w:t>res vereinbart ist.</w:t>
      </w:r>
    </w:p>
    <w:p w:rsidR="005C2568" w:rsidRPr="005F15DA" w:rsidRDefault="005C2568" w:rsidP="008851FF">
      <w:pPr>
        <w:tabs>
          <w:tab w:val="left" w:pos="426"/>
        </w:tabs>
        <w:spacing w:line="240" w:lineRule="auto"/>
        <w:jc w:val="both"/>
        <w:rPr>
          <w:rFonts w:cs="Arial"/>
          <w:szCs w:val="22"/>
        </w:rPr>
      </w:pPr>
    </w:p>
    <w:p w:rsidR="005C2568" w:rsidRPr="005F15DA" w:rsidRDefault="005C2568" w:rsidP="008851FF">
      <w:pPr>
        <w:tabs>
          <w:tab w:val="left" w:pos="426"/>
        </w:tabs>
        <w:spacing w:line="240" w:lineRule="auto"/>
        <w:jc w:val="both"/>
        <w:rPr>
          <w:rFonts w:cs="Arial"/>
          <w:szCs w:val="22"/>
        </w:rPr>
      </w:pPr>
      <w:r w:rsidRPr="005F15DA">
        <w:rPr>
          <w:rFonts w:cs="Arial"/>
          <w:szCs w:val="22"/>
        </w:rPr>
        <w:t>Wenn sich das Rechtsverhältnis zugunsten des Schuldners ändert (z.B. bei Abza</w:t>
      </w:r>
      <w:r w:rsidRPr="005F15DA">
        <w:rPr>
          <w:rFonts w:cs="Arial"/>
          <w:szCs w:val="22"/>
        </w:rPr>
        <w:t>h</w:t>
      </w:r>
      <w:r w:rsidRPr="005F15DA">
        <w:rPr>
          <w:rFonts w:cs="Arial"/>
          <w:szCs w:val="22"/>
        </w:rPr>
        <w:t>lung/Reduktion der Schuld), kann er verlangen, dass diese Änderung im Grundbuch eingetr</w:t>
      </w:r>
      <w:r w:rsidRPr="005F15DA">
        <w:rPr>
          <w:rFonts w:cs="Arial"/>
          <w:szCs w:val="22"/>
        </w:rPr>
        <w:t>a</w:t>
      </w:r>
      <w:r w:rsidRPr="005F15DA">
        <w:rPr>
          <w:rFonts w:cs="Arial"/>
          <w:szCs w:val="22"/>
        </w:rPr>
        <w:t>gen wird. Beim Papier-Schuldbrief muss die Änderung auf dem Titel eingetragen werden. Wird die Änderung im Grundbuch und auf dem Papier-Schuldbrief nicht eingetragen, kann sich der gutgläubige Erwerber des Schuldbriefes auf den Grundbucheintrag und den Papier-Schuldbrief verlassen.</w:t>
      </w:r>
    </w:p>
    <w:p w:rsidR="005C2568" w:rsidRPr="005F15DA" w:rsidRDefault="005C2568" w:rsidP="008851FF">
      <w:pPr>
        <w:tabs>
          <w:tab w:val="left" w:pos="426"/>
        </w:tabs>
        <w:spacing w:line="240" w:lineRule="auto"/>
        <w:jc w:val="both"/>
        <w:rPr>
          <w:rFonts w:cs="Arial"/>
          <w:szCs w:val="22"/>
        </w:rPr>
      </w:pPr>
    </w:p>
    <w:p w:rsidR="005C2568" w:rsidRPr="005F15DA" w:rsidRDefault="005C2568" w:rsidP="008851FF">
      <w:pPr>
        <w:tabs>
          <w:tab w:val="left" w:pos="426"/>
        </w:tabs>
        <w:spacing w:line="240" w:lineRule="auto"/>
        <w:jc w:val="both"/>
        <w:rPr>
          <w:rFonts w:cs="Arial"/>
          <w:szCs w:val="22"/>
        </w:rPr>
      </w:pPr>
      <w:r w:rsidRPr="005F15DA">
        <w:rPr>
          <w:rFonts w:cs="Arial"/>
          <w:szCs w:val="22"/>
        </w:rPr>
        <w:t>Wenn die Schuldbriefforderung getilgt ist, kann der Schuldner die Übertragung des Schul</w:t>
      </w:r>
      <w:r w:rsidRPr="005F15DA">
        <w:rPr>
          <w:rFonts w:cs="Arial"/>
          <w:szCs w:val="22"/>
        </w:rPr>
        <w:t>d</w:t>
      </w:r>
      <w:r w:rsidRPr="005F15DA">
        <w:rPr>
          <w:rFonts w:cs="Arial"/>
          <w:szCs w:val="22"/>
        </w:rPr>
        <w:t xml:space="preserve">briefes verlangen. Beim Register-Schuldbrief muss dieser im Grundbuch auf den Namen des bisherigen Schuldners übertragen werden. </w:t>
      </w:r>
      <w:r w:rsidR="00F02B48" w:rsidRPr="005F15DA">
        <w:rPr>
          <w:rFonts w:cs="Arial"/>
          <w:szCs w:val="22"/>
        </w:rPr>
        <w:t xml:space="preserve">Beim Namen-Papierschuldbrief ist </w:t>
      </w:r>
      <w:proofErr w:type="gramStart"/>
      <w:r w:rsidR="00F02B48" w:rsidRPr="005F15DA">
        <w:rPr>
          <w:rFonts w:cs="Arial"/>
          <w:szCs w:val="22"/>
        </w:rPr>
        <w:t>der</w:t>
      </w:r>
      <w:proofErr w:type="gramEnd"/>
      <w:r w:rsidR="00F02B48" w:rsidRPr="005F15DA">
        <w:rPr>
          <w:rFonts w:cs="Arial"/>
          <w:szCs w:val="22"/>
        </w:rPr>
        <w:t xml:space="preserve"> Titel auf den bisherigen Schuldner zu indossieren und diesem unentkräftet herauszugeben. Beim I</w:t>
      </w:r>
      <w:r w:rsidR="00F02B48" w:rsidRPr="005F15DA">
        <w:rPr>
          <w:rFonts w:cs="Arial"/>
          <w:szCs w:val="22"/>
        </w:rPr>
        <w:t>n</w:t>
      </w:r>
      <w:r w:rsidR="00F02B48" w:rsidRPr="005F15DA">
        <w:rPr>
          <w:rFonts w:cs="Arial"/>
          <w:szCs w:val="22"/>
        </w:rPr>
        <w:t>haber-Schuldbrief muss der Titel dem bisherigen Schuldner übergeben werden.</w:t>
      </w:r>
    </w:p>
    <w:p w:rsidR="00DE2D3D" w:rsidRPr="005F15DA" w:rsidRDefault="00DE2D3D" w:rsidP="008851FF">
      <w:pPr>
        <w:tabs>
          <w:tab w:val="left" w:pos="426"/>
        </w:tabs>
        <w:spacing w:line="240" w:lineRule="auto"/>
        <w:jc w:val="both"/>
        <w:rPr>
          <w:rFonts w:cs="Arial"/>
          <w:szCs w:val="22"/>
        </w:rPr>
      </w:pPr>
    </w:p>
    <w:p w:rsidR="00DE2D3D" w:rsidRPr="005F15DA" w:rsidRDefault="00DE2D3D" w:rsidP="008851FF">
      <w:pPr>
        <w:tabs>
          <w:tab w:val="left" w:pos="426"/>
        </w:tabs>
        <w:spacing w:line="240" w:lineRule="auto"/>
        <w:jc w:val="both"/>
        <w:rPr>
          <w:rFonts w:cs="Arial"/>
          <w:szCs w:val="22"/>
        </w:rPr>
      </w:pPr>
    </w:p>
    <w:p w:rsidR="009F318D" w:rsidRPr="005F15DA" w:rsidRDefault="009F318D" w:rsidP="008851FF">
      <w:pPr>
        <w:tabs>
          <w:tab w:val="left" w:pos="426"/>
        </w:tabs>
        <w:spacing w:line="240" w:lineRule="auto"/>
        <w:jc w:val="both"/>
        <w:rPr>
          <w:rFonts w:cs="Arial"/>
          <w:szCs w:val="22"/>
        </w:rPr>
      </w:pPr>
    </w:p>
    <w:p w:rsidR="004E576A" w:rsidRPr="005F15DA" w:rsidRDefault="004E576A" w:rsidP="008851FF">
      <w:pPr>
        <w:tabs>
          <w:tab w:val="left" w:pos="426"/>
        </w:tabs>
        <w:spacing w:line="240" w:lineRule="auto"/>
        <w:jc w:val="both"/>
        <w:rPr>
          <w:rFonts w:cs="Arial"/>
          <w:szCs w:val="22"/>
        </w:rPr>
      </w:pPr>
    </w:p>
    <w:p w:rsidR="001019E0" w:rsidRPr="005F15DA" w:rsidRDefault="001019E0">
      <w:pPr>
        <w:spacing w:after="200"/>
        <w:rPr>
          <w:rFonts w:eastAsiaTheme="majorEastAsia" w:cstheme="majorBidi"/>
          <w:b/>
          <w:bCs/>
          <w:color w:val="000000" w:themeColor="text1"/>
          <w:sz w:val="32"/>
          <w:szCs w:val="26"/>
        </w:rPr>
      </w:pPr>
      <w:r w:rsidRPr="005F15DA">
        <w:br w:type="page"/>
      </w:r>
    </w:p>
    <w:p w:rsidR="004E576A" w:rsidRPr="005F15DA" w:rsidRDefault="004E576A" w:rsidP="00E36E8F">
      <w:pPr>
        <w:pStyle w:val="berschrift2"/>
      </w:pPr>
      <w:bookmarkStart w:id="159" w:name="_Toc432175679"/>
      <w:r w:rsidRPr="005F15DA">
        <w:lastRenderedPageBreak/>
        <w:t>VII. Das Fahrnispfand</w:t>
      </w:r>
      <w:r w:rsidR="009F318D" w:rsidRPr="005F15DA">
        <w:t xml:space="preserve"> (Art. 884 ff. ZGB)</w:t>
      </w:r>
      <w:bookmarkEnd w:id="159"/>
    </w:p>
    <w:p w:rsidR="00E90D39" w:rsidRPr="005F15DA" w:rsidRDefault="00E90D39" w:rsidP="00E90D39">
      <w:r w:rsidRPr="005F15DA">
        <w:t>______________________________________________</w:t>
      </w:r>
      <w:r w:rsidR="00C0637F">
        <w:t>___</w:t>
      </w:r>
    </w:p>
    <w:p w:rsidR="004E576A" w:rsidRPr="005F15DA" w:rsidRDefault="004E576A" w:rsidP="004E576A">
      <w:pPr>
        <w:spacing w:line="240" w:lineRule="auto"/>
        <w:rPr>
          <w:rFonts w:cs="Arial"/>
          <w:szCs w:val="22"/>
        </w:rPr>
      </w:pPr>
    </w:p>
    <w:p w:rsidR="009F318D" w:rsidRPr="005F15DA" w:rsidRDefault="009F318D" w:rsidP="004E576A">
      <w:pPr>
        <w:spacing w:line="240" w:lineRule="auto"/>
        <w:rPr>
          <w:rFonts w:cs="Arial"/>
          <w:szCs w:val="22"/>
        </w:rPr>
      </w:pPr>
    </w:p>
    <w:p w:rsidR="004E576A" w:rsidRPr="005F15DA" w:rsidRDefault="00861D85" w:rsidP="005759BE">
      <w:pPr>
        <w:pStyle w:val="berschrift3"/>
        <w:rPr>
          <w:lang w:val="de-CH"/>
        </w:rPr>
      </w:pPr>
      <w:bookmarkStart w:id="160" w:name="_Toc432175680"/>
      <w:r w:rsidRPr="005F15DA">
        <w:rPr>
          <w:lang w:val="de-CH"/>
        </w:rPr>
        <w:t>A.</w:t>
      </w:r>
      <w:r w:rsidR="005B0708" w:rsidRPr="005F15DA">
        <w:rPr>
          <w:lang w:val="de-CH"/>
        </w:rPr>
        <w:tab/>
      </w:r>
      <w:r w:rsidR="00F11B70" w:rsidRPr="005F15DA">
        <w:rPr>
          <w:lang w:val="de-CH"/>
        </w:rPr>
        <w:t>Faustpfand und Retentionsrecht</w:t>
      </w:r>
      <w:bookmarkEnd w:id="160"/>
    </w:p>
    <w:p w:rsidR="00C060B8" w:rsidRPr="005F15DA" w:rsidRDefault="00C060B8" w:rsidP="00861D85">
      <w:pPr>
        <w:spacing w:line="240" w:lineRule="auto"/>
        <w:jc w:val="both"/>
        <w:rPr>
          <w:rFonts w:cs="Arial"/>
          <w:szCs w:val="22"/>
        </w:rPr>
      </w:pPr>
    </w:p>
    <w:p w:rsidR="00C060B8" w:rsidRPr="005F15DA" w:rsidRDefault="00247160" w:rsidP="00861D85">
      <w:pPr>
        <w:spacing w:line="240" w:lineRule="auto"/>
        <w:jc w:val="both"/>
        <w:rPr>
          <w:rFonts w:cs="Arial"/>
          <w:szCs w:val="22"/>
        </w:rPr>
      </w:pPr>
      <w:r w:rsidRPr="005F15DA">
        <w:rPr>
          <w:rFonts w:cs="Arial"/>
          <w:szCs w:val="22"/>
        </w:rPr>
        <w:t xml:space="preserve">Fahrnis kann nur durch Übertragung des Besitzes auf den Pfandgläubiger verpfändet werden; </w:t>
      </w:r>
      <w:r w:rsidR="00B519DA" w:rsidRPr="005F15DA">
        <w:rPr>
          <w:rFonts w:cs="Arial"/>
          <w:szCs w:val="22"/>
        </w:rPr>
        <w:t xml:space="preserve">für </w:t>
      </w:r>
      <w:r w:rsidRPr="005F15DA">
        <w:rPr>
          <w:rFonts w:cs="Arial"/>
          <w:szCs w:val="22"/>
        </w:rPr>
        <w:t xml:space="preserve">Vieh </w:t>
      </w:r>
      <w:r w:rsidR="00B519DA" w:rsidRPr="005F15DA">
        <w:rPr>
          <w:rFonts w:cs="Arial"/>
          <w:szCs w:val="22"/>
        </w:rPr>
        <w:t xml:space="preserve">erfolgt die Verpfändung </w:t>
      </w:r>
      <w:r w:rsidRPr="005F15DA">
        <w:rPr>
          <w:rFonts w:cs="Arial"/>
          <w:szCs w:val="22"/>
        </w:rPr>
        <w:t>durch Eintragung in ein spezielles Verpfändungsprotokoll.</w:t>
      </w:r>
    </w:p>
    <w:p w:rsidR="00247160" w:rsidRDefault="00247160" w:rsidP="00861D85">
      <w:pPr>
        <w:spacing w:line="240" w:lineRule="auto"/>
        <w:jc w:val="both"/>
        <w:rPr>
          <w:rFonts w:cs="Arial"/>
          <w:szCs w:val="22"/>
        </w:rPr>
      </w:pPr>
      <w:r w:rsidRPr="005F15DA">
        <w:rPr>
          <w:rFonts w:cs="Arial"/>
          <w:szCs w:val="22"/>
        </w:rPr>
        <w:t>Sobald die Forderung getilgt oder aus einem anderen Grund untergegangen ist, muss der Gläubiger die Pfandsache dem Berechtigten herausgeben.</w:t>
      </w:r>
    </w:p>
    <w:p w:rsidR="00C0637F" w:rsidRPr="005F15DA" w:rsidRDefault="00C0637F" w:rsidP="00861D85">
      <w:pPr>
        <w:spacing w:line="240" w:lineRule="auto"/>
        <w:jc w:val="both"/>
        <w:rPr>
          <w:rFonts w:cs="Arial"/>
          <w:szCs w:val="22"/>
        </w:rPr>
      </w:pPr>
    </w:p>
    <w:p w:rsidR="00247160" w:rsidRPr="005F15DA" w:rsidRDefault="006B42F9" w:rsidP="00861D85">
      <w:pPr>
        <w:spacing w:line="240" w:lineRule="auto"/>
        <w:jc w:val="both"/>
        <w:rPr>
          <w:rFonts w:cs="Arial"/>
          <w:szCs w:val="22"/>
        </w:rPr>
      </w:pPr>
      <w:r w:rsidRPr="005F15DA">
        <w:rPr>
          <w:rFonts w:cs="Arial"/>
          <w:szCs w:val="22"/>
        </w:rPr>
        <w:t>Wenn der Pfandgläubiger nicht befriedigt wird, kann er das Pfand versteigern lassen. Das Pfand bietet dem Gläubiger Sicherheit für die Forderung inklusive der vereinbarten Zinse, der Betreibungskosten sowie der Verzugszinse. Ein darüber hinausgehender Erlös gehört dem Eigentümer der Fahrnissache.</w:t>
      </w:r>
    </w:p>
    <w:p w:rsidR="006B42F9" w:rsidRPr="005F15DA" w:rsidRDefault="006B42F9" w:rsidP="00861D85">
      <w:pPr>
        <w:spacing w:line="240" w:lineRule="auto"/>
        <w:jc w:val="both"/>
        <w:rPr>
          <w:rFonts w:cs="Arial"/>
          <w:szCs w:val="22"/>
        </w:rPr>
      </w:pPr>
    </w:p>
    <w:p w:rsidR="006B42F9" w:rsidRPr="005F15DA" w:rsidRDefault="006B42F9" w:rsidP="00861D85">
      <w:pPr>
        <w:spacing w:line="240" w:lineRule="auto"/>
        <w:jc w:val="both"/>
        <w:rPr>
          <w:rFonts w:cs="Arial"/>
          <w:szCs w:val="22"/>
        </w:rPr>
      </w:pPr>
      <w:r w:rsidRPr="005F15DA">
        <w:rPr>
          <w:rFonts w:cs="Arial"/>
          <w:szCs w:val="22"/>
        </w:rPr>
        <w:t>Vom Retentionsrecht spricht man, wenn bewegliche Sachen und Wertpapiere vom Gläubiger zurückbehalten werden, bis seine Forderung befriedigt ist (Art. 895 ZGB).</w:t>
      </w:r>
    </w:p>
    <w:p w:rsidR="00247160" w:rsidRPr="005F15DA" w:rsidRDefault="00247160" w:rsidP="00861D85">
      <w:pPr>
        <w:spacing w:line="240" w:lineRule="auto"/>
        <w:jc w:val="both"/>
        <w:rPr>
          <w:rFonts w:cs="Arial"/>
          <w:szCs w:val="22"/>
        </w:rPr>
      </w:pPr>
    </w:p>
    <w:p w:rsidR="00F11B70" w:rsidRPr="005F15DA" w:rsidRDefault="00F11B70" w:rsidP="00861D85">
      <w:pPr>
        <w:spacing w:line="240" w:lineRule="auto"/>
        <w:jc w:val="both"/>
        <w:rPr>
          <w:rFonts w:cs="Arial"/>
          <w:szCs w:val="22"/>
        </w:rPr>
      </w:pPr>
    </w:p>
    <w:p w:rsidR="00D95E54" w:rsidRPr="005F15DA" w:rsidRDefault="00D95E54" w:rsidP="00861D85">
      <w:pPr>
        <w:spacing w:line="240" w:lineRule="auto"/>
        <w:jc w:val="both"/>
        <w:rPr>
          <w:rFonts w:cs="Arial"/>
          <w:szCs w:val="22"/>
        </w:rPr>
      </w:pPr>
    </w:p>
    <w:p w:rsidR="00F11B70" w:rsidRPr="005F15DA" w:rsidRDefault="005B0708" w:rsidP="005759BE">
      <w:pPr>
        <w:pStyle w:val="berschrift3"/>
        <w:rPr>
          <w:lang w:val="de-CH"/>
        </w:rPr>
      </w:pPr>
      <w:bookmarkStart w:id="161" w:name="_Toc432175681"/>
      <w:r w:rsidRPr="005F15DA">
        <w:rPr>
          <w:lang w:val="de-CH"/>
        </w:rPr>
        <w:t>B.</w:t>
      </w:r>
      <w:r w:rsidRPr="005F15DA">
        <w:rPr>
          <w:lang w:val="de-CH"/>
        </w:rPr>
        <w:tab/>
      </w:r>
      <w:r w:rsidR="00F11B70" w:rsidRPr="005F15DA">
        <w:rPr>
          <w:lang w:val="de-CH"/>
        </w:rPr>
        <w:t>Pfandrecht an Forderungen und anderen Rechten</w:t>
      </w:r>
      <w:bookmarkEnd w:id="161"/>
    </w:p>
    <w:p w:rsidR="00F11B70" w:rsidRPr="005F15DA" w:rsidRDefault="00F11B70" w:rsidP="00861D85">
      <w:pPr>
        <w:spacing w:line="240" w:lineRule="auto"/>
        <w:jc w:val="both"/>
        <w:rPr>
          <w:rFonts w:cs="Arial"/>
          <w:szCs w:val="22"/>
        </w:rPr>
      </w:pPr>
    </w:p>
    <w:p w:rsidR="00B519DA" w:rsidRPr="005F15DA" w:rsidRDefault="00B519DA" w:rsidP="00861D85">
      <w:pPr>
        <w:spacing w:line="240" w:lineRule="auto"/>
        <w:jc w:val="both"/>
        <w:rPr>
          <w:rFonts w:cs="Arial"/>
          <w:szCs w:val="22"/>
        </w:rPr>
      </w:pPr>
      <w:r w:rsidRPr="005F15DA">
        <w:rPr>
          <w:rFonts w:cs="Arial"/>
          <w:szCs w:val="22"/>
        </w:rPr>
        <w:t xml:space="preserve">Forderungen und andere Rechte können verpfändet werden, wenn sie übertragbar sind. </w:t>
      </w:r>
    </w:p>
    <w:p w:rsidR="00F11B70" w:rsidRDefault="00B519DA" w:rsidP="00861D85">
      <w:pPr>
        <w:spacing w:line="240" w:lineRule="auto"/>
        <w:jc w:val="both"/>
        <w:rPr>
          <w:rFonts w:cs="Arial"/>
          <w:szCs w:val="22"/>
        </w:rPr>
      </w:pPr>
      <w:r w:rsidRPr="005F15DA">
        <w:rPr>
          <w:rFonts w:cs="Arial"/>
          <w:szCs w:val="22"/>
        </w:rPr>
        <w:t>Besteht für die Forderung lediglich ein Schuldschein oder gar keine Urkunde, muss der Pfandvertrag schriftlich abgefasst werden; zusätzlich muss der Schuldschein dem Pfandglä</w:t>
      </w:r>
      <w:r w:rsidRPr="005F15DA">
        <w:rPr>
          <w:rFonts w:cs="Arial"/>
          <w:szCs w:val="22"/>
        </w:rPr>
        <w:t>u</w:t>
      </w:r>
      <w:r w:rsidRPr="005F15DA">
        <w:rPr>
          <w:rFonts w:cs="Arial"/>
          <w:szCs w:val="22"/>
        </w:rPr>
        <w:t>biger übergeben werden.</w:t>
      </w:r>
    </w:p>
    <w:p w:rsidR="00C0637F" w:rsidRPr="005F15DA" w:rsidRDefault="00C0637F" w:rsidP="00861D85">
      <w:pPr>
        <w:spacing w:line="240" w:lineRule="auto"/>
        <w:jc w:val="both"/>
        <w:rPr>
          <w:rFonts w:cs="Arial"/>
          <w:szCs w:val="22"/>
        </w:rPr>
      </w:pPr>
    </w:p>
    <w:p w:rsidR="00B519DA" w:rsidRDefault="00B519DA" w:rsidP="00861D85">
      <w:pPr>
        <w:spacing w:line="240" w:lineRule="auto"/>
        <w:jc w:val="both"/>
        <w:rPr>
          <w:rFonts w:cs="Arial"/>
          <w:szCs w:val="22"/>
        </w:rPr>
      </w:pPr>
      <w:r w:rsidRPr="005F15DA">
        <w:rPr>
          <w:rFonts w:cs="Arial"/>
          <w:szCs w:val="22"/>
        </w:rPr>
        <w:t>Bei Inhaberpapieren erfolgt die Verpfändung durch Übergabe an den Pfandgläubiger. Andere Wertpapiere müssen indossiert oder übertragen (Abtretungserklärung) und dem Pfandgläub</w:t>
      </w:r>
      <w:r w:rsidRPr="005F15DA">
        <w:rPr>
          <w:rFonts w:cs="Arial"/>
          <w:szCs w:val="22"/>
        </w:rPr>
        <w:t>i</w:t>
      </w:r>
      <w:r w:rsidRPr="005F15DA">
        <w:rPr>
          <w:rFonts w:cs="Arial"/>
          <w:szCs w:val="22"/>
        </w:rPr>
        <w:t>ger übergeben werden.</w:t>
      </w:r>
    </w:p>
    <w:p w:rsidR="00C0637F" w:rsidRPr="005F15DA" w:rsidRDefault="00C0637F" w:rsidP="00861D85">
      <w:pPr>
        <w:spacing w:line="240" w:lineRule="auto"/>
        <w:jc w:val="both"/>
        <w:rPr>
          <w:rFonts w:cs="Arial"/>
          <w:szCs w:val="22"/>
        </w:rPr>
      </w:pPr>
    </w:p>
    <w:p w:rsidR="00B519DA" w:rsidRPr="005F15DA" w:rsidRDefault="00B519DA" w:rsidP="00861D85">
      <w:pPr>
        <w:spacing w:line="240" w:lineRule="auto"/>
        <w:jc w:val="both"/>
        <w:rPr>
          <w:rFonts w:cs="Arial"/>
          <w:szCs w:val="22"/>
        </w:rPr>
      </w:pPr>
      <w:r w:rsidRPr="005F15DA">
        <w:rPr>
          <w:rFonts w:cs="Arial"/>
          <w:szCs w:val="22"/>
        </w:rPr>
        <w:t xml:space="preserve">Wenn Aktien oder Stammanteile einer GmbH verpfändet werden, </w:t>
      </w:r>
      <w:r w:rsidR="00BD45C4" w:rsidRPr="005F15DA">
        <w:rPr>
          <w:rFonts w:cs="Arial"/>
          <w:szCs w:val="22"/>
        </w:rPr>
        <w:t xml:space="preserve">ist </w:t>
      </w:r>
      <w:r w:rsidRPr="005F15DA">
        <w:rPr>
          <w:rFonts w:cs="Arial"/>
          <w:szCs w:val="22"/>
        </w:rPr>
        <w:t xml:space="preserve">der Aktionär bzw. der Gesellschafter </w:t>
      </w:r>
      <w:r w:rsidR="00BD45C4" w:rsidRPr="005F15DA">
        <w:rPr>
          <w:rFonts w:cs="Arial"/>
          <w:szCs w:val="22"/>
        </w:rPr>
        <w:t>stimmberechtigt und nicht der Pfandgläubiger.</w:t>
      </w:r>
    </w:p>
    <w:p w:rsidR="00F11B70" w:rsidRPr="005F15DA" w:rsidRDefault="00F11B70" w:rsidP="00861D85">
      <w:pPr>
        <w:spacing w:line="240" w:lineRule="auto"/>
        <w:jc w:val="both"/>
        <w:rPr>
          <w:rFonts w:cs="Arial"/>
          <w:szCs w:val="22"/>
        </w:rPr>
      </w:pPr>
    </w:p>
    <w:p w:rsidR="00F11B70" w:rsidRPr="005F15DA" w:rsidRDefault="00F11B70" w:rsidP="00861D85">
      <w:pPr>
        <w:spacing w:line="240" w:lineRule="auto"/>
        <w:jc w:val="both"/>
        <w:rPr>
          <w:rFonts w:cs="Arial"/>
          <w:szCs w:val="22"/>
        </w:rPr>
      </w:pPr>
    </w:p>
    <w:p w:rsidR="00F11B70" w:rsidRPr="005F15DA" w:rsidRDefault="00F11B70" w:rsidP="00861D85">
      <w:pPr>
        <w:spacing w:line="240" w:lineRule="auto"/>
        <w:jc w:val="both"/>
        <w:rPr>
          <w:rFonts w:cs="Arial"/>
          <w:szCs w:val="22"/>
        </w:rPr>
      </w:pPr>
    </w:p>
    <w:p w:rsidR="00F11B70" w:rsidRPr="005F15DA" w:rsidRDefault="00861D85" w:rsidP="005759BE">
      <w:pPr>
        <w:pStyle w:val="berschrift3"/>
        <w:rPr>
          <w:lang w:val="de-CH"/>
        </w:rPr>
      </w:pPr>
      <w:bookmarkStart w:id="162" w:name="_Toc432175682"/>
      <w:r w:rsidRPr="005F15DA">
        <w:rPr>
          <w:lang w:val="de-CH"/>
        </w:rPr>
        <w:t>C.</w:t>
      </w:r>
      <w:r w:rsidRPr="005F15DA">
        <w:rPr>
          <w:lang w:val="de-CH"/>
        </w:rPr>
        <w:tab/>
      </w:r>
      <w:r w:rsidR="00F11B70" w:rsidRPr="005F15DA">
        <w:rPr>
          <w:lang w:val="de-CH"/>
        </w:rPr>
        <w:t>Versatzpfand</w:t>
      </w:r>
      <w:bookmarkEnd w:id="162"/>
    </w:p>
    <w:p w:rsidR="00F11B70" w:rsidRPr="005F15DA" w:rsidRDefault="00F11B70" w:rsidP="00861D85">
      <w:pPr>
        <w:spacing w:line="240" w:lineRule="auto"/>
        <w:jc w:val="both"/>
        <w:rPr>
          <w:rFonts w:cs="Arial"/>
          <w:szCs w:val="22"/>
        </w:rPr>
      </w:pPr>
    </w:p>
    <w:p w:rsidR="00F11B70" w:rsidRDefault="00BD45C4" w:rsidP="00861D85">
      <w:pPr>
        <w:spacing w:line="240" w:lineRule="auto"/>
        <w:jc w:val="both"/>
        <w:rPr>
          <w:rFonts w:cs="Arial"/>
          <w:szCs w:val="22"/>
        </w:rPr>
      </w:pPr>
      <w:r w:rsidRPr="005F15DA">
        <w:rPr>
          <w:rFonts w:cs="Arial"/>
          <w:szCs w:val="22"/>
        </w:rPr>
        <w:t>Vom Versatzpfand spricht man, wenn ein Pfandgegenstand einer Pfandanstalt übergeben und hierfür ein Versatzschein ausgestellt wird.</w:t>
      </w:r>
    </w:p>
    <w:p w:rsidR="00C0637F" w:rsidRPr="005F15DA" w:rsidRDefault="00C0637F" w:rsidP="00861D85">
      <w:pPr>
        <w:spacing w:line="240" w:lineRule="auto"/>
        <w:jc w:val="both"/>
        <w:rPr>
          <w:rFonts w:cs="Arial"/>
          <w:szCs w:val="22"/>
        </w:rPr>
      </w:pPr>
    </w:p>
    <w:p w:rsidR="00F11B70" w:rsidRPr="005F15DA" w:rsidRDefault="00BD45C4" w:rsidP="00861D85">
      <w:pPr>
        <w:spacing w:line="240" w:lineRule="auto"/>
        <w:jc w:val="both"/>
        <w:rPr>
          <w:rFonts w:cs="Arial"/>
          <w:szCs w:val="22"/>
        </w:rPr>
      </w:pPr>
      <w:r w:rsidRPr="005F15DA">
        <w:rPr>
          <w:rFonts w:cs="Arial"/>
          <w:szCs w:val="22"/>
        </w:rPr>
        <w:t>Wird das Pfand auf den vereinbarten Termin nicht ausgelöst, kann die Pfandanstalt das Pfand verwerten lassen.</w:t>
      </w:r>
    </w:p>
    <w:p w:rsidR="00383D9B" w:rsidRPr="005F15DA" w:rsidRDefault="00383D9B" w:rsidP="00861D85">
      <w:pPr>
        <w:spacing w:line="240" w:lineRule="auto"/>
        <w:jc w:val="both"/>
        <w:rPr>
          <w:rFonts w:cs="Arial"/>
          <w:szCs w:val="22"/>
        </w:rPr>
      </w:pPr>
    </w:p>
    <w:p w:rsidR="00383D9B" w:rsidRPr="005F15DA" w:rsidRDefault="00383D9B" w:rsidP="00861D85">
      <w:pPr>
        <w:spacing w:line="240" w:lineRule="auto"/>
        <w:jc w:val="both"/>
        <w:rPr>
          <w:rFonts w:cs="Arial"/>
          <w:szCs w:val="22"/>
        </w:rPr>
      </w:pPr>
    </w:p>
    <w:p w:rsidR="00F11B70" w:rsidRPr="005F15DA" w:rsidRDefault="00F11B70" w:rsidP="00861D85">
      <w:pPr>
        <w:spacing w:line="240" w:lineRule="auto"/>
        <w:jc w:val="both"/>
        <w:rPr>
          <w:rFonts w:cs="Arial"/>
          <w:szCs w:val="22"/>
        </w:rPr>
      </w:pPr>
    </w:p>
    <w:p w:rsidR="00F11B70" w:rsidRPr="005F15DA" w:rsidRDefault="00F11B70" w:rsidP="00861D85">
      <w:pPr>
        <w:spacing w:line="240" w:lineRule="auto"/>
        <w:jc w:val="both"/>
        <w:rPr>
          <w:rFonts w:cs="Arial"/>
          <w:szCs w:val="22"/>
        </w:rPr>
      </w:pPr>
    </w:p>
    <w:p w:rsidR="00C0637F" w:rsidRDefault="00C0637F">
      <w:pPr>
        <w:spacing w:after="200"/>
        <w:rPr>
          <w:rFonts w:eastAsiaTheme="majorEastAsia" w:cstheme="majorBidi"/>
          <w:b/>
          <w:bCs/>
          <w:color w:val="000000" w:themeColor="text1"/>
          <w:sz w:val="32"/>
          <w:szCs w:val="26"/>
        </w:rPr>
      </w:pPr>
      <w:r>
        <w:br w:type="page"/>
      </w:r>
    </w:p>
    <w:p w:rsidR="00D95E54" w:rsidRPr="005F15DA" w:rsidRDefault="00F11B70" w:rsidP="00E36E8F">
      <w:pPr>
        <w:pStyle w:val="berschrift2"/>
      </w:pPr>
      <w:bookmarkStart w:id="163" w:name="_Toc432175683"/>
      <w:r w:rsidRPr="005F15DA">
        <w:lastRenderedPageBreak/>
        <w:t>VIII. Besitz</w:t>
      </w:r>
      <w:r w:rsidR="00DD75D0" w:rsidRPr="005F15DA">
        <w:t xml:space="preserve"> und Grundbuch</w:t>
      </w:r>
      <w:r w:rsidR="00F92FB6" w:rsidRPr="005F15DA">
        <w:t xml:space="preserve"> (Art. 919 - 977 ZGB)</w:t>
      </w:r>
      <w:bookmarkEnd w:id="163"/>
    </w:p>
    <w:p w:rsidR="00E90D39" w:rsidRPr="005F15DA" w:rsidRDefault="00E90D39" w:rsidP="00E90D39">
      <w:r w:rsidRPr="005F15DA">
        <w:t>______________________________________________</w:t>
      </w:r>
      <w:r>
        <w:t>____________</w:t>
      </w:r>
      <w:r w:rsidR="00C0637F">
        <w:t>_</w:t>
      </w:r>
    </w:p>
    <w:p w:rsidR="00F11B70" w:rsidRPr="005F15DA" w:rsidRDefault="00F11B70" w:rsidP="00AC49CC">
      <w:pPr>
        <w:spacing w:line="240" w:lineRule="auto"/>
        <w:rPr>
          <w:rFonts w:cs="Arial"/>
          <w:szCs w:val="22"/>
        </w:rPr>
      </w:pPr>
    </w:p>
    <w:p w:rsidR="00F92FB6" w:rsidRPr="005F15DA" w:rsidRDefault="00F92FB6" w:rsidP="00AC49CC">
      <w:pPr>
        <w:spacing w:line="240" w:lineRule="auto"/>
        <w:rPr>
          <w:rFonts w:cs="Arial"/>
          <w:szCs w:val="22"/>
        </w:rPr>
      </w:pPr>
    </w:p>
    <w:p w:rsidR="00F11B70" w:rsidRPr="005F15DA" w:rsidRDefault="00FB258F" w:rsidP="005759BE">
      <w:pPr>
        <w:pStyle w:val="berschrift3"/>
        <w:rPr>
          <w:lang w:val="de-CH"/>
        </w:rPr>
      </w:pPr>
      <w:bookmarkStart w:id="164" w:name="_Toc432175684"/>
      <w:r w:rsidRPr="005F15DA">
        <w:rPr>
          <w:lang w:val="de-CH"/>
        </w:rPr>
        <w:t>A.</w:t>
      </w:r>
      <w:r w:rsidRPr="005F15DA">
        <w:rPr>
          <w:lang w:val="de-CH"/>
        </w:rPr>
        <w:tab/>
      </w:r>
      <w:r w:rsidR="00383D9B" w:rsidRPr="005F15DA">
        <w:rPr>
          <w:lang w:val="de-CH"/>
        </w:rPr>
        <w:t>Der Besitz</w:t>
      </w:r>
      <w:r w:rsidR="00BD45C4" w:rsidRPr="005F15DA">
        <w:rPr>
          <w:lang w:val="de-CH"/>
        </w:rPr>
        <w:t xml:space="preserve"> (Art. 919 ff. ZGB)</w:t>
      </w:r>
      <w:bookmarkEnd w:id="164"/>
    </w:p>
    <w:p w:rsidR="00F11B70" w:rsidRPr="005F15DA" w:rsidRDefault="00F11B70" w:rsidP="00861D85">
      <w:pPr>
        <w:spacing w:line="240" w:lineRule="auto"/>
        <w:jc w:val="both"/>
        <w:rPr>
          <w:rFonts w:cs="Arial"/>
          <w:szCs w:val="22"/>
        </w:rPr>
      </w:pPr>
    </w:p>
    <w:p w:rsidR="00F11B70" w:rsidRDefault="00BD45C4" w:rsidP="00861D85">
      <w:pPr>
        <w:spacing w:line="240" w:lineRule="auto"/>
        <w:jc w:val="both"/>
        <w:rPr>
          <w:rFonts w:cs="Arial"/>
          <w:szCs w:val="22"/>
        </w:rPr>
      </w:pPr>
      <w:r w:rsidRPr="005F15DA">
        <w:rPr>
          <w:rFonts w:cs="Arial"/>
          <w:szCs w:val="22"/>
        </w:rPr>
        <w:t xml:space="preserve">Wer die tatsächliche Gewalt über eine Sache hat, ist ihr Besitzer. Bei Grunddienstbarkeiten und Grundlasten </w:t>
      </w:r>
      <w:r w:rsidR="00B6534F" w:rsidRPr="005F15DA">
        <w:rPr>
          <w:rFonts w:cs="Arial"/>
          <w:szCs w:val="22"/>
        </w:rPr>
        <w:t>ist jene Person Besitzer, welche das Recht ausübt.</w:t>
      </w:r>
    </w:p>
    <w:p w:rsidR="00C0637F" w:rsidRPr="005F15DA" w:rsidRDefault="00C0637F" w:rsidP="00861D85">
      <w:pPr>
        <w:spacing w:line="240" w:lineRule="auto"/>
        <w:jc w:val="both"/>
        <w:rPr>
          <w:rFonts w:cs="Arial"/>
          <w:szCs w:val="22"/>
        </w:rPr>
      </w:pPr>
    </w:p>
    <w:p w:rsidR="00B6534F" w:rsidRPr="005F15DA" w:rsidRDefault="00B6534F" w:rsidP="00861D85">
      <w:pPr>
        <w:spacing w:line="240" w:lineRule="auto"/>
        <w:jc w:val="both"/>
        <w:rPr>
          <w:rFonts w:cs="Arial"/>
          <w:szCs w:val="22"/>
        </w:rPr>
      </w:pPr>
      <w:r w:rsidRPr="005F15DA">
        <w:rPr>
          <w:rFonts w:cs="Arial"/>
          <w:szCs w:val="22"/>
        </w:rPr>
        <w:t>Wenn ein Besitzer die Sache einem anderen zu einem beschränkten dinglichen oder einem persönlichen Recht übertragen hat, sind beide Besitzer. Der Eigentümer ist selbständiger B</w:t>
      </w:r>
      <w:r w:rsidRPr="005F15DA">
        <w:rPr>
          <w:rFonts w:cs="Arial"/>
          <w:szCs w:val="22"/>
        </w:rPr>
        <w:t>e</w:t>
      </w:r>
      <w:r w:rsidRPr="005F15DA">
        <w:rPr>
          <w:rFonts w:cs="Arial"/>
          <w:szCs w:val="22"/>
        </w:rPr>
        <w:t>sitzer, der andere unselbständiger Besitzer.</w:t>
      </w:r>
    </w:p>
    <w:p w:rsidR="00B6534F" w:rsidRPr="005F15DA" w:rsidRDefault="00B6534F" w:rsidP="00861D85">
      <w:pPr>
        <w:spacing w:line="240" w:lineRule="auto"/>
        <w:jc w:val="both"/>
        <w:rPr>
          <w:rFonts w:cs="Arial"/>
          <w:szCs w:val="22"/>
        </w:rPr>
      </w:pPr>
    </w:p>
    <w:p w:rsidR="00B6534F" w:rsidRPr="005F15DA" w:rsidRDefault="00B6534F" w:rsidP="00861D85">
      <w:pPr>
        <w:spacing w:line="240" w:lineRule="auto"/>
        <w:jc w:val="both"/>
        <w:rPr>
          <w:rFonts w:cs="Arial"/>
          <w:szCs w:val="22"/>
        </w:rPr>
      </w:pPr>
      <w:r w:rsidRPr="005F15DA">
        <w:rPr>
          <w:rFonts w:cs="Arial"/>
          <w:szCs w:val="22"/>
        </w:rPr>
        <w:t>Eine vorübergehende Unterbrechung der Ausübung der tatsächlichen Gewalt über eine S</w:t>
      </w:r>
      <w:r w:rsidRPr="005F15DA">
        <w:rPr>
          <w:rFonts w:cs="Arial"/>
          <w:szCs w:val="22"/>
        </w:rPr>
        <w:t>a</w:t>
      </w:r>
      <w:r w:rsidRPr="005F15DA">
        <w:rPr>
          <w:rFonts w:cs="Arial"/>
          <w:szCs w:val="22"/>
        </w:rPr>
        <w:t>che habe den Besitz nicht auf (der Besitzer einer verlorenen Sache bleibt deren Besitzer, der Finder muss die Sache zurückgeben).</w:t>
      </w:r>
    </w:p>
    <w:p w:rsidR="000C2271" w:rsidRPr="005F15DA" w:rsidRDefault="000C2271" w:rsidP="00861D85">
      <w:pPr>
        <w:spacing w:line="240" w:lineRule="auto"/>
        <w:jc w:val="both"/>
        <w:rPr>
          <w:rFonts w:cs="Arial"/>
          <w:szCs w:val="22"/>
        </w:rPr>
      </w:pPr>
    </w:p>
    <w:p w:rsidR="000C2271" w:rsidRPr="005F15DA" w:rsidRDefault="000C2271" w:rsidP="00861D85">
      <w:pPr>
        <w:spacing w:line="240" w:lineRule="auto"/>
        <w:jc w:val="both"/>
        <w:rPr>
          <w:rFonts w:cs="Arial"/>
          <w:szCs w:val="22"/>
        </w:rPr>
      </w:pPr>
      <w:r w:rsidRPr="005F15DA">
        <w:rPr>
          <w:rFonts w:cs="Arial"/>
          <w:szCs w:val="22"/>
        </w:rPr>
        <w:t>Der Besitz wird durch die Übergabe der Sache selbst übertragen bzw. durch die Übergabe der Mittel, welche dem Empfänger die Gewalt über die Sache verschaffen.</w:t>
      </w:r>
    </w:p>
    <w:p w:rsidR="000C2271" w:rsidRPr="005F15DA" w:rsidRDefault="000C2271" w:rsidP="00861D85">
      <w:pPr>
        <w:spacing w:line="240" w:lineRule="auto"/>
        <w:jc w:val="both"/>
        <w:rPr>
          <w:rFonts w:cs="Arial"/>
          <w:szCs w:val="22"/>
        </w:rPr>
      </w:pPr>
    </w:p>
    <w:p w:rsidR="000C2271" w:rsidRPr="005F15DA" w:rsidRDefault="000C2271" w:rsidP="00861D85">
      <w:pPr>
        <w:spacing w:line="240" w:lineRule="auto"/>
        <w:jc w:val="both"/>
        <w:rPr>
          <w:rFonts w:cs="Arial"/>
          <w:szCs w:val="22"/>
        </w:rPr>
      </w:pPr>
      <w:r w:rsidRPr="005F15DA">
        <w:rPr>
          <w:rFonts w:cs="Arial"/>
          <w:szCs w:val="22"/>
        </w:rPr>
        <w:t>Zum Schutz des Besitzes bestehen drei Möglichkeiten:</w:t>
      </w:r>
    </w:p>
    <w:p w:rsidR="000C2271" w:rsidRPr="005F15DA" w:rsidRDefault="000C2271" w:rsidP="009D34F3">
      <w:pPr>
        <w:pStyle w:val="Listenabsatz"/>
        <w:numPr>
          <w:ilvl w:val="0"/>
          <w:numId w:val="18"/>
        </w:numPr>
        <w:spacing w:line="240" w:lineRule="auto"/>
        <w:jc w:val="both"/>
        <w:rPr>
          <w:rFonts w:cs="Arial"/>
          <w:szCs w:val="22"/>
        </w:rPr>
      </w:pPr>
      <w:r w:rsidRPr="005F15DA">
        <w:rPr>
          <w:rFonts w:cs="Arial"/>
          <w:szCs w:val="22"/>
        </w:rPr>
        <w:t>Die Abwehr von Angriffen: Der Besitzer handelt selbst und sofort (er vertreibt den "A</w:t>
      </w:r>
      <w:r w:rsidRPr="005F15DA">
        <w:rPr>
          <w:rFonts w:cs="Arial"/>
          <w:szCs w:val="22"/>
        </w:rPr>
        <w:t>n</w:t>
      </w:r>
      <w:r w:rsidRPr="005F15DA">
        <w:rPr>
          <w:rFonts w:cs="Arial"/>
          <w:szCs w:val="22"/>
        </w:rPr>
        <w:t>greifer" von seinem Grundstück bzw. nimmt dem "Angreifer" die Sache wieder ab, wenn er den Täter sofort erwischt). Dabei muss sich der Besitzer jeder nicht gerech</w:t>
      </w:r>
      <w:r w:rsidRPr="005F15DA">
        <w:rPr>
          <w:rFonts w:cs="Arial"/>
          <w:szCs w:val="22"/>
        </w:rPr>
        <w:t>t</w:t>
      </w:r>
      <w:r w:rsidRPr="005F15DA">
        <w:rPr>
          <w:rFonts w:cs="Arial"/>
          <w:szCs w:val="22"/>
        </w:rPr>
        <w:t>fertigten Gewalt enthalten:</w:t>
      </w:r>
    </w:p>
    <w:p w:rsidR="000C2271" w:rsidRPr="005F15DA" w:rsidRDefault="000C2271" w:rsidP="009D34F3">
      <w:pPr>
        <w:pStyle w:val="Listenabsatz"/>
        <w:numPr>
          <w:ilvl w:val="0"/>
          <w:numId w:val="18"/>
        </w:numPr>
        <w:spacing w:line="240" w:lineRule="auto"/>
        <w:jc w:val="both"/>
        <w:rPr>
          <w:rFonts w:cs="Arial"/>
          <w:szCs w:val="22"/>
        </w:rPr>
      </w:pPr>
      <w:r w:rsidRPr="005F15DA">
        <w:rPr>
          <w:rFonts w:cs="Arial"/>
          <w:szCs w:val="22"/>
        </w:rPr>
        <w:t xml:space="preserve">Die Klage auf Besitzesentziehung: </w:t>
      </w:r>
      <w:r w:rsidR="0073412D" w:rsidRPr="005F15DA">
        <w:rPr>
          <w:rFonts w:cs="Arial"/>
          <w:szCs w:val="22"/>
        </w:rPr>
        <w:t>Der Besitzer klagt auf Rückgabe der Sache und Schadenersatz.</w:t>
      </w:r>
    </w:p>
    <w:p w:rsidR="0073412D" w:rsidRPr="005F15DA" w:rsidRDefault="0073412D" w:rsidP="009D34F3">
      <w:pPr>
        <w:pStyle w:val="Listenabsatz"/>
        <w:numPr>
          <w:ilvl w:val="0"/>
          <w:numId w:val="18"/>
        </w:numPr>
        <w:spacing w:line="240" w:lineRule="auto"/>
        <w:jc w:val="both"/>
        <w:rPr>
          <w:rFonts w:cs="Arial"/>
          <w:szCs w:val="22"/>
        </w:rPr>
      </w:pPr>
      <w:r w:rsidRPr="005F15DA">
        <w:rPr>
          <w:rFonts w:cs="Arial"/>
          <w:szCs w:val="22"/>
        </w:rPr>
        <w:t>Die Klage aus Besitzesstörung: Der Besitzer klagt auf Beseitigung der Störung, auf Unterlassung weiterer Störung und auf Schadenersatz.</w:t>
      </w:r>
    </w:p>
    <w:p w:rsidR="0073412D" w:rsidRPr="005F15DA" w:rsidRDefault="0073412D" w:rsidP="00861D85">
      <w:pPr>
        <w:spacing w:line="240" w:lineRule="auto"/>
        <w:jc w:val="both"/>
        <w:rPr>
          <w:rFonts w:cs="Arial"/>
          <w:szCs w:val="22"/>
        </w:rPr>
      </w:pPr>
    </w:p>
    <w:p w:rsidR="0073412D" w:rsidRPr="005F15DA" w:rsidRDefault="0073412D" w:rsidP="00861D85">
      <w:pPr>
        <w:spacing w:line="240" w:lineRule="auto"/>
        <w:jc w:val="both"/>
        <w:rPr>
          <w:rFonts w:cs="Arial"/>
          <w:szCs w:val="22"/>
        </w:rPr>
      </w:pPr>
      <w:r w:rsidRPr="005F15DA">
        <w:rPr>
          <w:rFonts w:cs="Arial"/>
          <w:szCs w:val="22"/>
        </w:rPr>
        <w:t>Wenn jemand eine bewegliche Sache besitzt, wird vermutet, dass er ihr rechtmässiger Eige</w:t>
      </w:r>
      <w:r w:rsidRPr="005F15DA">
        <w:rPr>
          <w:rFonts w:cs="Arial"/>
          <w:szCs w:val="22"/>
        </w:rPr>
        <w:t>n</w:t>
      </w:r>
      <w:r w:rsidRPr="005F15DA">
        <w:rPr>
          <w:rFonts w:cs="Arial"/>
          <w:szCs w:val="22"/>
        </w:rPr>
        <w:t xml:space="preserve">tümer sei. Das gleiche gilt für die früheren Besitzer. Der gutgläubige Erwerber einer Sache wird in seinem Eigentum geschützt (Art. 933 ZGB), nicht aber der bösgläubige (Art. </w:t>
      </w:r>
      <w:r w:rsidR="0021425A" w:rsidRPr="005F15DA">
        <w:rPr>
          <w:rFonts w:cs="Arial"/>
          <w:szCs w:val="22"/>
        </w:rPr>
        <w:t xml:space="preserve">936 ZGB). </w:t>
      </w:r>
    </w:p>
    <w:p w:rsidR="0021425A" w:rsidRPr="005F15DA" w:rsidRDefault="0021425A" w:rsidP="00861D85">
      <w:pPr>
        <w:spacing w:line="240" w:lineRule="auto"/>
        <w:jc w:val="both"/>
        <w:rPr>
          <w:rFonts w:cs="Arial"/>
          <w:szCs w:val="22"/>
        </w:rPr>
      </w:pPr>
    </w:p>
    <w:p w:rsidR="0021425A" w:rsidRPr="005F15DA" w:rsidRDefault="0021425A" w:rsidP="00861D85">
      <w:pPr>
        <w:spacing w:line="240" w:lineRule="auto"/>
        <w:jc w:val="both"/>
        <w:rPr>
          <w:rFonts w:cs="Arial"/>
          <w:szCs w:val="22"/>
        </w:rPr>
      </w:pPr>
      <w:r w:rsidRPr="005F15DA">
        <w:rPr>
          <w:rFonts w:cs="Arial"/>
          <w:szCs w:val="22"/>
        </w:rPr>
        <w:t>Wenn jemand als Eigentümer eines Grundstückes im Grundbuch eingetragen ist, wird verm</w:t>
      </w:r>
      <w:r w:rsidRPr="005F15DA">
        <w:rPr>
          <w:rFonts w:cs="Arial"/>
          <w:szCs w:val="22"/>
        </w:rPr>
        <w:t>u</w:t>
      </w:r>
      <w:r w:rsidRPr="005F15DA">
        <w:rPr>
          <w:rFonts w:cs="Arial"/>
          <w:szCs w:val="22"/>
        </w:rPr>
        <w:t>tet, dass er dessen rechtmässiger Eigentümer sei (Art. 937 ZGB).</w:t>
      </w:r>
    </w:p>
    <w:p w:rsidR="000C2271" w:rsidRPr="005F15DA" w:rsidRDefault="000C2271" w:rsidP="00861D85">
      <w:pPr>
        <w:spacing w:line="240" w:lineRule="auto"/>
        <w:jc w:val="both"/>
        <w:rPr>
          <w:rFonts w:cs="Arial"/>
          <w:szCs w:val="22"/>
        </w:rPr>
      </w:pPr>
    </w:p>
    <w:p w:rsidR="00F11B70" w:rsidRPr="005F15DA" w:rsidRDefault="00F11B70" w:rsidP="00861D85">
      <w:pPr>
        <w:spacing w:line="240" w:lineRule="auto"/>
        <w:jc w:val="both"/>
        <w:rPr>
          <w:rFonts w:cs="Arial"/>
          <w:szCs w:val="22"/>
        </w:rPr>
      </w:pPr>
    </w:p>
    <w:p w:rsidR="00F11B70" w:rsidRPr="005F15DA" w:rsidRDefault="00F11B70" w:rsidP="00861D85">
      <w:pPr>
        <w:spacing w:line="240" w:lineRule="auto"/>
        <w:jc w:val="both"/>
        <w:rPr>
          <w:rFonts w:cs="Arial"/>
          <w:szCs w:val="22"/>
        </w:rPr>
      </w:pPr>
    </w:p>
    <w:p w:rsidR="00383D9B" w:rsidRPr="005F15DA" w:rsidRDefault="00FB258F" w:rsidP="005759BE">
      <w:pPr>
        <w:pStyle w:val="berschrift3"/>
        <w:rPr>
          <w:lang w:val="de-CH"/>
        </w:rPr>
      </w:pPr>
      <w:bookmarkStart w:id="165" w:name="_Toc432175685"/>
      <w:r w:rsidRPr="005F15DA">
        <w:rPr>
          <w:lang w:val="de-CH"/>
        </w:rPr>
        <w:t>B.</w:t>
      </w:r>
      <w:r w:rsidRPr="005F15DA">
        <w:rPr>
          <w:lang w:val="de-CH"/>
        </w:rPr>
        <w:tab/>
      </w:r>
      <w:r w:rsidR="00383D9B" w:rsidRPr="005F15DA">
        <w:rPr>
          <w:lang w:val="de-CH"/>
        </w:rPr>
        <w:t>Das Grundbuch</w:t>
      </w:r>
      <w:r w:rsidR="00E54319" w:rsidRPr="005F15DA">
        <w:rPr>
          <w:lang w:val="de-CH"/>
        </w:rPr>
        <w:t xml:space="preserve"> (Art. 942 ff. ZGB und GBV)</w:t>
      </w:r>
      <w:bookmarkEnd w:id="165"/>
    </w:p>
    <w:p w:rsidR="00383D9B" w:rsidRPr="005F15DA" w:rsidRDefault="00383D9B" w:rsidP="00861D85">
      <w:pPr>
        <w:spacing w:line="240" w:lineRule="auto"/>
        <w:jc w:val="both"/>
        <w:rPr>
          <w:rFonts w:cs="Arial"/>
          <w:szCs w:val="22"/>
        </w:rPr>
      </w:pPr>
    </w:p>
    <w:p w:rsidR="00383D9B" w:rsidRPr="005F15DA" w:rsidRDefault="005B0708" w:rsidP="005B0708">
      <w:pPr>
        <w:pStyle w:val="berschrift4"/>
      </w:pPr>
      <w:r w:rsidRPr="005F15DA">
        <w:t>1.</w:t>
      </w:r>
      <w:r w:rsidRPr="005F15DA">
        <w:tab/>
      </w:r>
      <w:r w:rsidR="00E54319" w:rsidRPr="005F15DA">
        <w:t>Die Führung des Grundbuches</w:t>
      </w:r>
    </w:p>
    <w:p w:rsidR="00E54319" w:rsidRPr="005F15DA" w:rsidRDefault="00E54319" w:rsidP="00861D85">
      <w:pPr>
        <w:tabs>
          <w:tab w:val="left" w:pos="426"/>
        </w:tabs>
        <w:spacing w:line="240" w:lineRule="auto"/>
        <w:ind w:firstLine="426"/>
        <w:jc w:val="both"/>
        <w:rPr>
          <w:rFonts w:cs="Arial"/>
          <w:szCs w:val="22"/>
        </w:rPr>
      </w:pPr>
      <w:r w:rsidRPr="005F15DA">
        <w:rPr>
          <w:rFonts w:cs="Arial"/>
          <w:szCs w:val="22"/>
        </w:rPr>
        <w:t>Über die Recht</w:t>
      </w:r>
      <w:r w:rsidR="00686F78" w:rsidRPr="005F15DA">
        <w:rPr>
          <w:rFonts w:cs="Arial"/>
          <w:szCs w:val="22"/>
        </w:rPr>
        <w:t>e</w:t>
      </w:r>
      <w:r w:rsidRPr="005F15DA">
        <w:rPr>
          <w:rFonts w:cs="Arial"/>
          <w:szCs w:val="22"/>
        </w:rPr>
        <w:t xml:space="preserve"> an den Grundstücken wird ein Grundbuch geführt.</w:t>
      </w:r>
    </w:p>
    <w:p w:rsidR="00686F78" w:rsidRPr="005F15DA" w:rsidRDefault="00686F78" w:rsidP="00861D85">
      <w:pPr>
        <w:tabs>
          <w:tab w:val="left" w:pos="426"/>
        </w:tabs>
        <w:spacing w:line="240" w:lineRule="auto"/>
        <w:ind w:firstLine="426"/>
        <w:jc w:val="both"/>
        <w:rPr>
          <w:rFonts w:cs="Arial"/>
          <w:szCs w:val="22"/>
        </w:rPr>
      </w:pPr>
    </w:p>
    <w:p w:rsidR="00E54319" w:rsidRPr="005F15DA" w:rsidRDefault="00E54319" w:rsidP="00861D85">
      <w:pPr>
        <w:tabs>
          <w:tab w:val="left" w:pos="426"/>
        </w:tabs>
        <w:spacing w:line="240" w:lineRule="auto"/>
        <w:ind w:firstLine="426"/>
        <w:jc w:val="both"/>
        <w:rPr>
          <w:rFonts w:cs="Arial"/>
          <w:szCs w:val="22"/>
        </w:rPr>
      </w:pPr>
      <w:r w:rsidRPr="005F15DA">
        <w:rPr>
          <w:rFonts w:cs="Arial"/>
          <w:szCs w:val="22"/>
        </w:rPr>
        <w:t>Das Grundbuch besteht aus dem Hauptbuch sowie den ergänzenden</w:t>
      </w:r>
    </w:p>
    <w:p w:rsidR="00E54319" w:rsidRPr="005F15DA" w:rsidRDefault="00E54319" w:rsidP="009D34F3">
      <w:pPr>
        <w:pStyle w:val="Listenabsatz"/>
        <w:numPr>
          <w:ilvl w:val="0"/>
          <w:numId w:val="19"/>
        </w:numPr>
        <w:tabs>
          <w:tab w:val="left" w:pos="426"/>
        </w:tabs>
        <w:spacing w:line="240" w:lineRule="auto"/>
        <w:ind w:left="709" w:hanging="283"/>
        <w:jc w:val="both"/>
        <w:rPr>
          <w:rFonts w:cs="Arial"/>
          <w:szCs w:val="22"/>
        </w:rPr>
      </w:pPr>
      <w:r w:rsidRPr="005F15DA">
        <w:rPr>
          <w:rFonts w:cs="Arial"/>
          <w:szCs w:val="22"/>
        </w:rPr>
        <w:t>Plänen,</w:t>
      </w:r>
    </w:p>
    <w:p w:rsidR="00E54319" w:rsidRPr="005F15DA" w:rsidRDefault="00E54319" w:rsidP="009D34F3">
      <w:pPr>
        <w:pStyle w:val="Listenabsatz"/>
        <w:numPr>
          <w:ilvl w:val="0"/>
          <w:numId w:val="19"/>
        </w:numPr>
        <w:tabs>
          <w:tab w:val="left" w:pos="426"/>
        </w:tabs>
        <w:spacing w:line="240" w:lineRule="auto"/>
        <w:ind w:left="709" w:hanging="283"/>
        <w:jc w:val="both"/>
        <w:rPr>
          <w:rFonts w:cs="Arial"/>
          <w:szCs w:val="22"/>
        </w:rPr>
      </w:pPr>
      <w:r w:rsidRPr="005F15DA">
        <w:rPr>
          <w:rFonts w:cs="Arial"/>
          <w:szCs w:val="22"/>
        </w:rPr>
        <w:t>Liegenschaftsverzeichnissen,</w:t>
      </w:r>
    </w:p>
    <w:p w:rsidR="00E54319" w:rsidRPr="005F15DA" w:rsidRDefault="00E54319" w:rsidP="009D34F3">
      <w:pPr>
        <w:pStyle w:val="Listenabsatz"/>
        <w:numPr>
          <w:ilvl w:val="0"/>
          <w:numId w:val="19"/>
        </w:numPr>
        <w:tabs>
          <w:tab w:val="left" w:pos="426"/>
        </w:tabs>
        <w:spacing w:line="240" w:lineRule="auto"/>
        <w:ind w:left="709" w:hanging="283"/>
        <w:jc w:val="both"/>
        <w:rPr>
          <w:rFonts w:cs="Arial"/>
          <w:szCs w:val="22"/>
        </w:rPr>
      </w:pPr>
      <w:r w:rsidRPr="005F15DA">
        <w:rPr>
          <w:rFonts w:cs="Arial"/>
          <w:szCs w:val="22"/>
        </w:rPr>
        <w:t>Belegen,</w:t>
      </w:r>
    </w:p>
    <w:p w:rsidR="00E54319" w:rsidRPr="005F15DA" w:rsidRDefault="00E54319" w:rsidP="009D34F3">
      <w:pPr>
        <w:pStyle w:val="Listenabsatz"/>
        <w:numPr>
          <w:ilvl w:val="0"/>
          <w:numId w:val="19"/>
        </w:numPr>
        <w:tabs>
          <w:tab w:val="left" w:pos="426"/>
        </w:tabs>
        <w:spacing w:line="240" w:lineRule="auto"/>
        <w:ind w:left="709" w:hanging="283"/>
        <w:jc w:val="both"/>
        <w:rPr>
          <w:rFonts w:cs="Arial"/>
          <w:szCs w:val="22"/>
        </w:rPr>
      </w:pPr>
      <w:r w:rsidRPr="005F15DA">
        <w:rPr>
          <w:rFonts w:cs="Arial"/>
          <w:szCs w:val="22"/>
        </w:rPr>
        <w:t>Liegenschaftsbeschreibungen, und dem</w:t>
      </w:r>
    </w:p>
    <w:p w:rsidR="00E54319" w:rsidRPr="005F15DA" w:rsidRDefault="00E54319" w:rsidP="009D34F3">
      <w:pPr>
        <w:pStyle w:val="Listenabsatz"/>
        <w:numPr>
          <w:ilvl w:val="0"/>
          <w:numId w:val="19"/>
        </w:numPr>
        <w:tabs>
          <w:tab w:val="left" w:pos="426"/>
        </w:tabs>
        <w:spacing w:line="240" w:lineRule="auto"/>
        <w:ind w:left="709" w:hanging="283"/>
        <w:jc w:val="both"/>
        <w:rPr>
          <w:rFonts w:cs="Arial"/>
          <w:szCs w:val="22"/>
        </w:rPr>
      </w:pPr>
      <w:r w:rsidRPr="005F15DA">
        <w:rPr>
          <w:rFonts w:cs="Arial"/>
          <w:szCs w:val="22"/>
        </w:rPr>
        <w:t>Tagebuch.</w:t>
      </w:r>
    </w:p>
    <w:p w:rsidR="003D7237" w:rsidRPr="005F15DA" w:rsidRDefault="003D7237" w:rsidP="00861D85">
      <w:pPr>
        <w:tabs>
          <w:tab w:val="left" w:pos="426"/>
        </w:tabs>
        <w:spacing w:line="240" w:lineRule="auto"/>
        <w:ind w:firstLine="426"/>
        <w:jc w:val="both"/>
        <w:rPr>
          <w:rFonts w:cs="Arial"/>
          <w:szCs w:val="22"/>
        </w:rPr>
      </w:pPr>
    </w:p>
    <w:p w:rsidR="00E54319" w:rsidRPr="005F15DA" w:rsidRDefault="003D7237" w:rsidP="00861D85">
      <w:pPr>
        <w:tabs>
          <w:tab w:val="left" w:pos="426"/>
        </w:tabs>
        <w:spacing w:line="240" w:lineRule="auto"/>
        <w:ind w:left="426"/>
        <w:jc w:val="both"/>
        <w:rPr>
          <w:rFonts w:cs="Arial"/>
          <w:szCs w:val="22"/>
        </w:rPr>
      </w:pPr>
      <w:r w:rsidRPr="005F15DA">
        <w:rPr>
          <w:rFonts w:cs="Arial"/>
          <w:szCs w:val="22"/>
        </w:rPr>
        <w:lastRenderedPageBreak/>
        <w:t>Das Grundbuch kann auf Papier oder mittels Informatik geführt werden.</w:t>
      </w:r>
      <w:r w:rsidR="00686F78" w:rsidRPr="005F15DA">
        <w:rPr>
          <w:rFonts w:cs="Arial"/>
          <w:szCs w:val="22"/>
        </w:rPr>
        <w:t xml:space="preserve"> Im Kanton Bern wird das Grundbuch mittels elektronischer Datenverarbeitung geführt. Speziell berechti</w:t>
      </w:r>
      <w:r w:rsidR="00686F78" w:rsidRPr="005F15DA">
        <w:rPr>
          <w:rFonts w:cs="Arial"/>
          <w:szCs w:val="22"/>
        </w:rPr>
        <w:t>g</w:t>
      </w:r>
      <w:r w:rsidR="00686F78" w:rsidRPr="005F15DA">
        <w:rPr>
          <w:rFonts w:cs="Arial"/>
          <w:szCs w:val="22"/>
        </w:rPr>
        <w:t xml:space="preserve">te Notare, Banken, Gemeinden usw. können (kostenpflichtig) über das Internet ins </w:t>
      </w:r>
      <w:r w:rsidR="00686F78" w:rsidRPr="005F15DA">
        <w:rPr>
          <w:rFonts w:cs="Arial"/>
          <w:b/>
          <w:szCs w:val="22"/>
        </w:rPr>
        <w:t>Gr</w:t>
      </w:r>
      <w:r w:rsidR="00686F78" w:rsidRPr="005F15DA">
        <w:rPr>
          <w:rFonts w:cs="Arial"/>
          <w:b/>
          <w:szCs w:val="22"/>
        </w:rPr>
        <w:t>u</w:t>
      </w:r>
      <w:r w:rsidR="00686F78" w:rsidRPr="005F15DA">
        <w:rPr>
          <w:rFonts w:cs="Arial"/>
          <w:b/>
          <w:szCs w:val="22"/>
        </w:rPr>
        <w:t>dis</w:t>
      </w:r>
      <w:r w:rsidR="00686F78" w:rsidRPr="005F15DA">
        <w:rPr>
          <w:rFonts w:cs="Arial"/>
          <w:szCs w:val="22"/>
        </w:rPr>
        <w:t xml:space="preserve"> Einsicht nehmen (Grundstückbeschreibungen ansehen und ausdrucken, Eigentümer suchen, Pläne ansehen und ausdrucken, usw.) aber keine Daten verändern. Die Grun</w:t>
      </w:r>
      <w:r w:rsidR="00686F78" w:rsidRPr="005F15DA">
        <w:rPr>
          <w:rFonts w:cs="Arial"/>
          <w:szCs w:val="22"/>
        </w:rPr>
        <w:t>d</w:t>
      </w:r>
      <w:r w:rsidR="00686F78" w:rsidRPr="005F15DA">
        <w:rPr>
          <w:rFonts w:cs="Arial"/>
          <w:szCs w:val="22"/>
        </w:rPr>
        <w:t xml:space="preserve">buchämter arbeiten mit dem </w:t>
      </w:r>
      <w:r w:rsidR="00686F78" w:rsidRPr="005F15DA">
        <w:rPr>
          <w:rFonts w:cs="Arial"/>
          <w:b/>
          <w:szCs w:val="22"/>
        </w:rPr>
        <w:t>Capitastra</w:t>
      </w:r>
      <w:r w:rsidR="00686F78" w:rsidRPr="005F15DA">
        <w:rPr>
          <w:rFonts w:cs="Arial"/>
          <w:szCs w:val="22"/>
        </w:rPr>
        <w:t xml:space="preserve"> (Grundstückdaten verändern); die Daten des Capitastra werden ins Grudis kopiert.</w:t>
      </w:r>
    </w:p>
    <w:p w:rsidR="003D7237" w:rsidRPr="005F15DA" w:rsidRDefault="003D7237" w:rsidP="00861D85">
      <w:pPr>
        <w:tabs>
          <w:tab w:val="left" w:pos="426"/>
        </w:tabs>
        <w:spacing w:line="240" w:lineRule="auto"/>
        <w:ind w:firstLine="426"/>
        <w:jc w:val="both"/>
        <w:rPr>
          <w:rFonts w:cs="Arial"/>
          <w:szCs w:val="22"/>
        </w:rPr>
      </w:pPr>
    </w:p>
    <w:p w:rsidR="003D7237" w:rsidRPr="005F15DA" w:rsidRDefault="003D7237" w:rsidP="00861D85">
      <w:pPr>
        <w:tabs>
          <w:tab w:val="left" w:pos="426"/>
        </w:tabs>
        <w:spacing w:line="240" w:lineRule="auto"/>
        <w:ind w:firstLine="426"/>
        <w:jc w:val="both"/>
        <w:rPr>
          <w:rFonts w:cs="Arial"/>
          <w:szCs w:val="22"/>
        </w:rPr>
      </w:pPr>
      <w:r w:rsidRPr="005F15DA">
        <w:rPr>
          <w:rFonts w:cs="Arial"/>
          <w:szCs w:val="22"/>
        </w:rPr>
        <w:t>Als Grundstücke werden in das Grundbuch aufgenommen:</w:t>
      </w:r>
    </w:p>
    <w:p w:rsidR="003D7237" w:rsidRPr="005F15DA" w:rsidRDefault="003D7237" w:rsidP="009D34F3">
      <w:pPr>
        <w:pStyle w:val="Listenabsatz"/>
        <w:numPr>
          <w:ilvl w:val="0"/>
          <w:numId w:val="20"/>
        </w:numPr>
        <w:tabs>
          <w:tab w:val="left" w:pos="426"/>
        </w:tabs>
        <w:spacing w:line="240" w:lineRule="auto"/>
        <w:ind w:left="709" w:hanging="283"/>
        <w:jc w:val="both"/>
        <w:rPr>
          <w:rFonts w:cs="Arial"/>
          <w:szCs w:val="22"/>
        </w:rPr>
      </w:pPr>
      <w:r w:rsidRPr="005F15DA">
        <w:rPr>
          <w:rFonts w:cs="Arial"/>
          <w:szCs w:val="22"/>
        </w:rPr>
        <w:t>die Liegenschaften,</w:t>
      </w:r>
    </w:p>
    <w:p w:rsidR="003D7237" w:rsidRPr="005F15DA" w:rsidRDefault="003D7237" w:rsidP="009D34F3">
      <w:pPr>
        <w:pStyle w:val="Listenabsatz"/>
        <w:numPr>
          <w:ilvl w:val="0"/>
          <w:numId w:val="20"/>
        </w:numPr>
        <w:tabs>
          <w:tab w:val="left" w:pos="426"/>
        </w:tabs>
        <w:spacing w:line="240" w:lineRule="auto"/>
        <w:ind w:left="709" w:hanging="283"/>
        <w:jc w:val="both"/>
        <w:rPr>
          <w:rFonts w:cs="Arial"/>
          <w:szCs w:val="22"/>
        </w:rPr>
      </w:pPr>
      <w:r w:rsidRPr="005F15DA">
        <w:rPr>
          <w:rFonts w:cs="Arial"/>
          <w:szCs w:val="22"/>
        </w:rPr>
        <w:t>die selbständigen und dauernden Rechte an Grundstücken,</w:t>
      </w:r>
    </w:p>
    <w:p w:rsidR="003D7237" w:rsidRPr="005F15DA" w:rsidRDefault="003D7237" w:rsidP="009D34F3">
      <w:pPr>
        <w:pStyle w:val="Listenabsatz"/>
        <w:numPr>
          <w:ilvl w:val="0"/>
          <w:numId w:val="20"/>
        </w:numPr>
        <w:tabs>
          <w:tab w:val="left" w:pos="426"/>
        </w:tabs>
        <w:spacing w:line="240" w:lineRule="auto"/>
        <w:ind w:left="709" w:hanging="283"/>
        <w:jc w:val="both"/>
        <w:rPr>
          <w:rFonts w:cs="Arial"/>
          <w:szCs w:val="22"/>
        </w:rPr>
      </w:pPr>
      <w:r w:rsidRPr="005F15DA">
        <w:rPr>
          <w:rFonts w:cs="Arial"/>
          <w:szCs w:val="22"/>
        </w:rPr>
        <w:t>die Bergwerke,</w:t>
      </w:r>
    </w:p>
    <w:p w:rsidR="003D7237" w:rsidRPr="005F15DA" w:rsidRDefault="003D7237" w:rsidP="009D34F3">
      <w:pPr>
        <w:pStyle w:val="Listenabsatz"/>
        <w:numPr>
          <w:ilvl w:val="0"/>
          <w:numId w:val="20"/>
        </w:numPr>
        <w:tabs>
          <w:tab w:val="left" w:pos="426"/>
        </w:tabs>
        <w:spacing w:line="240" w:lineRule="auto"/>
        <w:ind w:left="709" w:hanging="283"/>
        <w:jc w:val="both"/>
        <w:rPr>
          <w:rFonts w:cs="Arial"/>
          <w:szCs w:val="22"/>
        </w:rPr>
      </w:pPr>
      <w:r w:rsidRPr="005F15DA">
        <w:rPr>
          <w:rFonts w:cs="Arial"/>
          <w:szCs w:val="22"/>
        </w:rPr>
        <w:t>die Miteigentumsanteile an Grundstücken.</w:t>
      </w:r>
    </w:p>
    <w:p w:rsidR="003D7237" w:rsidRPr="005F15DA" w:rsidRDefault="003D7237" w:rsidP="00861D85">
      <w:pPr>
        <w:tabs>
          <w:tab w:val="left" w:pos="426"/>
        </w:tabs>
        <w:spacing w:line="240" w:lineRule="auto"/>
        <w:ind w:left="426"/>
        <w:jc w:val="both"/>
        <w:rPr>
          <w:rFonts w:cs="Arial"/>
          <w:szCs w:val="22"/>
        </w:rPr>
      </w:pPr>
      <w:r w:rsidRPr="005F15DA">
        <w:rPr>
          <w:rFonts w:cs="Arial"/>
          <w:szCs w:val="22"/>
        </w:rPr>
        <w:t>Die nicht im Privateigentum stehenden sowie die dem öffentlichen Gebrauch dienenden Grundstücke werden nur in das Grundbuch aufgenommen, wenn dingliche Rechte daran eingetragen werden sollen oder die Kantone die Aufnahme vorschreiben.</w:t>
      </w:r>
    </w:p>
    <w:p w:rsidR="003D7237" w:rsidRPr="005F15DA" w:rsidRDefault="003D7237" w:rsidP="00861D85">
      <w:pPr>
        <w:tabs>
          <w:tab w:val="left" w:pos="426"/>
        </w:tabs>
        <w:spacing w:line="240" w:lineRule="auto"/>
        <w:ind w:left="426"/>
        <w:jc w:val="both"/>
        <w:rPr>
          <w:rFonts w:cs="Arial"/>
          <w:szCs w:val="22"/>
        </w:rPr>
      </w:pPr>
    </w:p>
    <w:p w:rsidR="003D7237" w:rsidRPr="005F15DA" w:rsidRDefault="003D7237" w:rsidP="00861D85">
      <w:pPr>
        <w:tabs>
          <w:tab w:val="left" w:pos="426"/>
        </w:tabs>
        <w:spacing w:line="240" w:lineRule="auto"/>
        <w:ind w:left="426"/>
        <w:jc w:val="both"/>
        <w:rPr>
          <w:rFonts w:cs="Arial"/>
          <w:szCs w:val="22"/>
        </w:rPr>
      </w:pPr>
      <w:r w:rsidRPr="005F15DA">
        <w:rPr>
          <w:rFonts w:cs="Arial"/>
          <w:szCs w:val="22"/>
        </w:rPr>
        <w:t>Jedes Grundstück erhält im Hauptbuch ein eigenes Blatt und eine eigene Nummer.</w:t>
      </w:r>
    </w:p>
    <w:p w:rsidR="003D7237" w:rsidRPr="005F15DA" w:rsidRDefault="003D7237" w:rsidP="00861D85">
      <w:pPr>
        <w:tabs>
          <w:tab w:val="left" w:pos="426"/>
        </w:tabs>
        <w:spacing w:line="240" w:lineRule="auto"/>
        <w:ind w:left="426"/>
        <w:jc w:val="both"/>
        <w:rPr>
          <w:rFonts w:cs="Arial"/>
          <w:szCs w:val="22"/>
        </w:rPr>
      </w:pPr>
    </w:p>
    <w:p w:rsidR="003D7237" w:rsidRPr="005F15DA" w:rsidRDefault="003D7237" w:rsidP="00861D85">
      <w:pPr>
        <w:tabs>
          <w:tab w:val="left" w:pos="426"/>
        </w:tabs>
        <w:spacing w:line="240" w:lineRule="auto"/>
        <w:ind w:left="426"/>
        <w:jc w:val="both"/>
        <w:rPr>
          <w:rFonts w:cs="Arial"/>
          <w:szCs w:val="22"/>
        </w:rPr>
      </w:pPr>
      <w:r w:rsidRPr="005F15DA">
        <w:rPr>
          <w:rFonts w:cs="Arial"/>
          <w:szCs w:val="22"/>
        </w:rPr>
        <w:t>Auf jedem Blatt werden in besonderen Abteilungen eingetragen:</w:t>
      </w:r>
    </w:p>
    <w:p w:rsidR="003D7237" w:rsidRPr="005F15DA" w:rsidRDefault="003D7237" w:rsidP="009D34F3">
      <w:pPr>
        <w:pStyle w:val="Listenabsatz"/>
        <w:numPr>
          <w:ilvl w:val="0"/>
          <w:numId w:val="26"/>
        </w:numPr>
        <w:tabs>
          <w:tab w:val="left" w:pos="426"/>
        </w:tabs>
        <w:spacing w:line="240" w:lineRule="auto"/>
        <w:ind w:left="709" w:hanging="283"/>
        <w:jc w:val="both"/>
        <w:rPr>
          <w:rFonts w:cs="Arial"/>
          <w:szCs w:val="22"/>
        </w:rPr>
      </w:pPr>
      <w:r w:rsidRPr="005F15DA">
        <w:rPr>
          <w:rFonts w:cs="Arial"/>
          <w:szCs w:val="22"/>
        </w:rPr>
        <w:t>das Eigentum,</w:t>
      </w:r>
    </w:p>
    <w:p w:rsidR="003D7237" w:rsidRPr="005F15DA" w:rsidRDefault="003D7237" w:rsidP="009D34F3">
      <w:pPr>
        <w:pStyle w:val="Listenabsatz"/>
        <w:numPr>
          <w:ilvl w:val="0"/>
          <w:numId w:val="26"/>
        </w:numPr>
        <w:tabs>
          <w:tab w:val="left" w:pos="426"/>
        </w:tabs>
        <w:spacing w:line="240" w:lineRule="auto"/>
        <w:ind w:left="709" w:hanging="283"/>
        <w:jc w:val="both"/>
        <w:rPr>
          <w:rFonts w:cs="Arial"/>
          <w:szCs w:val="22"/>
        </w:rPr>
      </w:pPr>
      <w:r w:rsidRPr="005F15DA">
        <w:rPr>
          <w:rFonts w:cs="Arial"/>
          <w:szCs w:val="22"/>
        </w:rPr>
        <w:t>die Dienstbarkeiten und die Grundlasten,</w:t>
      </w:r>
    </w:p>
    <w:p w:rsidR="00686F78" w:rsidRPr="005F15DA" w:rsidRDefault="00686F78" w:rsidP="009D34F3">
      <w:pPr>
        <w:pStyle w:val="Listenabsatz"/>
        <w:numPr>
          <w:ilvl w:val="0"/>
          <w:numId w:val="26"/>
        </w:numPr>
        <w:tabs>
          <w:tab w:val="left" w:pos="426"/>
        </w:tabs>
        <w:spacing w:line="240" w:lineRule="auto"/>
        <w:ind w:left="709" w:hanging="283"/>
        <w:jc w:val="both"/>
        <w:rPr>
          <w:rFonts w:cs="Arial"/>
          <w:szCs w:val="22"/>
        </w:rPr>
      </w:pPr>
      <w:r w:rsidRPr="005F15DA">
        <w:rPr>
          <w:rFonts w:cs="Arial"/>
          <w:szCs w:val="22"/>
        </w:rPr>
        <w:t>die Grundpfandrechte,</w:t>
      </w:r>
    </w:p>
    <w:p w:rsidR="00686F78" w:rsidRPr="005F15DA" w:rsidRDefault="00686F78" w:rsidP="009D34F3">
      <w:pPr>
        <w:pStyle w:val="Listenabsatz"/>
        <w:numPr>
          <w:ilvl w:val="0"/>
          <w:numId w:val="26"/>
        </w:numPr>
        <w:tabs>
          <w:tab w:val="left" w:pos="426"/>
        </w:tabs>
        <w:spacing w:line="240" w:lineRule="auto"/>
        <w:ind w:left="709" w:hanging="283"/>
        <w:jc w:val="both"/>
        <w:rPr>
          <w:rFonts w:cs="Arial"/>
          <w:szCs w:val="22"/>
        </w:rPr>
      </w:pPr>
      <w:r w:rsidRPr="005F15DA">
        <w:rPr>
          <w:rFonts w:cs="Arial"/>
          <w:szCs w:val="22"/>
        </w:rPr>
        <w:t>die Vormerkungen,</w:t>
      </w:r>
    </w:p>
    <w:p w:rsidR="003D7237" w:rsidRPr="005F15DA" w:rsidRDefault="00686F78" w:rsidP="009D34F3">
      <w:pPr>
        <w:pStyle w:val="Listenabsatz"/>
        <w:numPr>
          <w:ilvl w:val="0"/>
          <w:numId w:val="26"/>
        </w:numPr>
        <w:tabs>
          <w:tab w:val="left" w:pos="426"/>
        </w:tabs>
        <w:spacing w:line="240" w:lineRule="auto"/>
        <w:ind w:left="709" w:hanging="283"/>
        <w:jc w:val="both"/>
        <w:rPr>
          <w:rFonts w:cs="Arial"/>
          <w:szCs w:val="22"/>
        </w:rPr>
      </w:pPr>
      <w:r w:rsidRPr="005F15DA">
        <w:rPr>
          <w:rFonts w:cs="Arial"/>
          <w:szCs w:val="22"/>
        </w:rPr>
        <w:t>die Anmerkungen.</w:t>
      </w:r>
    </w:p>
    <w:p w:rsidR="00686F78" w:rsidRPr="005F15DA" w:rsidRDefault="00686F78" w:rsidP="00861D85">
      <w:pPr>
        <w:tabs>
          <w:tab w:val="left" w:pos="426"/>
        </w:tabs>
        <w:spacing w:line="240" w:lineRule="auto"/>
        <w:ind w:left="426"/>
        <w:jc w:val="both"/>
        <w:rPr>
          <w:rFonts w:cs="Arial"/>
          <w:szCs w:val="22"/>
        </w:rPr>
      </w:pPr>
    </w:p>
    <w:p w:rsidR="003D7237" w:rsidRPr="005F15DA" w:rsidRDefault="00303688" w:rsidP="00861D85">
      <w:pPr>
        <w:tabs>
          <w:tab w:val="left" w:pos="426"/>
        </w:tabs>
        <w:spacing w:line="240" w:lineRule="auto"/>
        <w:ind w:left="426"/>
        <w:jc w:val="both"/>
        <w:rPr>
          <w:rFonts w:cs="Arial"/>
          <w:szCs w:val="22"/>
        </w:rPr>
      </w:pPr>
      <w:r w:rsidRPr="005F15DA">
        <w:rPr>
          <w:rFonts w:cs="Arial"/>
          <w:szCs w:val="22"/>
        </w:rPr>
        <w:t>Die Zugehör wird auf Begehren des Eigentümers angemerkt und darf nur mit Zusti</w:t>
      </w:r>
      <w:r w:rsidRPr="005F15DA">
        <w:rPr>
          <w:rFonts w:cs="Arial"/>
          <w:szCs w:val="22"/>
        </w:rPr>
        <w:t>m</w:t>
      </w:r>
      <w:r w:rsidRPr="005F15DA">
        <w:rPr>
          <w:rFonts w:cs="Arial"/>
          <w:szCs w:val="22"/>
        </w:rPr>
        <w:t>mung aller Berechtigten (Grundpfandgläubiger) gestrichen werden.</w:t>
      </w:r>
    </w:p>
    <w:p w:rsidR="00303688" w:rsidRPr="005F15DA" w:rsidRDefault="00303688" w:rsidP="00861D85">
      <w:pPr>
        <w:tabs>
          <w:tab w:val="left" w:pos="426"/>
        </w:tabs>
        <w:spacing w:line="240" w:lineRule="auto"/>
        <w:ind w:left="426"/>
        <w:jc w:val="both"/>
        <w:rPr>
          <w:rFonts w:cs="Arial"/>
          <w:szCs w:val="22"/>
        </w:rPr>
      </w:pPr>
    </w:p>
    <w:p w:rsidR="00303688" w:rsidRPr="005F15DA" w:rsidRDefault="00303688" w:rsidP="00861D85">
      <w:pPr>
        <w:tabs>
          <w:tab w:val="left" w:pos="426"/>
        </w:tabs>
        <w:spacing w:line="240" w:lineRule="auto"/>
        <w:ind w:left="426"/>
        <w:jc w:val="both"/>
        <w:rPr>
          <w:rFonts w:cs="Arial"/>
          <w:szCs w:val="22"/>
        </w:rPr>
      </w:pPr>
      <w:r w:rsidRPr="005F15DA">
        <w:rPr>
          <w:rFonts w:cs="Arial"/>
          <w:szCs w:val="22"/>
        </w:rPr>
        <w:t xml:space="preserve">Die Anmeldungen zur Eintragung werden nach ihrer zeitlichen Reihenfolge in das </w:t>
      </w:r>
      <w:r w:rsidRPr="005F15DA">
        <w:rPr>
          <w:rFonts w:cs="Arial"/>
          <w:b/>
          <w:szCs w:val="22"/>
        </w:rPr>
        <w:t>Tag</w:t>
      </w:r>
      <w:r w:rsidRPr="005F15DA">
        <w:rPr>
          <w:rFonts w:cs="Arial"/>
          <w:b/>
          <w:szCs w:val="22"/>
        </w:rPr>
        <w:t>e</w:t>
      </w:r>
      <w:r w:rsidRPr="005F15DA">
        <w:rPr>
          <w:rFonts w:cs="Arial"/>
          <w:b/>
          <w:szCs w:val="22"/>
        </w:rPr>
        <w:t>buch</w:t>
      </w:r>
      <w:r w:rsidRPr="005F15DA">
        <w:rPr>
          <w:rFonts w:cs="Arial"/>
          <w:szCs w:val="22"/>
        </w:rPr>
        <w:t xml:space="preserve"> eingeschrieben. </w:t>
      </w:r>
      <w:r w:rsidR="00D24037" w:rsidRPr="005F15DA">
        <w:rPr>
          <w:rFonts w:cs="Arial"/>
          <w:szCs w:val="22"/>
        </w:rPr>
        <w:t xml:space="preserve">Die Belege </w:t>
      </w:r>
      <w:r w:rsidR="00686F78" w:rsidRPr="005F15DA">
        <w:rPr>
          <w:rFonts w:cs="Arial"/>
          <w:szCs w:val="22"/>
        </w:rPr>
        <w:t xml:space="preserve">(Rechtsgrundausweise) </w:t>
      </w:r>
      <w:r w:rsidR="00D24037" w:rsidRPr="005F15DA">
        <w:rPr>
          <w:rFonts w:cs="Arial"/>
          <w:szCs w:val="22"/>
        </w:rPr>
        <w:t>müssen vom Grundbuchamt aufbewahrt werden.</w:t>
      </w:r>
      <w:r w:rsidR="00686F78" w:rsidRPr="005F15DA">
        <w:rPr>
          <w:rFonts w:cs="Arial"/>
          <w:szCs w:val="22"/>
        </w:rPr>
        <w:t xml:space="preserve"> Sie werden chronologisch nummeriert. Das Datum des Eintrages in das Tagebuch gilt, sofern keine Abweisung erfolgt, als Datum des Grundbucheintrages (Hauptbucheintrag). Die Tagebuch-Nummer ist identisch mit der Beleg-Nummer.</w:t>
      </w:r>
    </w:p>
    <w:p w:rsidR="00D24037" w:rsidRPr="005F15DA" w:rsidRDefault="00D24037" w:rsidP="00861D85">
      <w:pPr>
        <w:tabs>
          <w:tab w:val="left" w:pos="426"/>
        </w:tabs>
        <w:spacing w:line="240" w:lineRule="auto"/>
        <w:ind w:left="426"/>
        <w:jc w:val="both"/>
        <w:rPr>
          <w:rFonts w:cs="Arial"/>
          <w:szCs w:val="22"/>
        </w:rPr>
      </w:pPr>
    </w:p>
    <w:p w:rsidR="00D24037" w:rsidRPr="005F15DA" w:rsidRDefault="00D24037" w:rsidP="00861D85">
      <w:pPr>
        <w:tabs>
          <w:tab w:val="left" w:pos="426"/>
        </w:tabs>
        <w:spacing w:line="240" w:lineRule="auto"/>
        <w:ind w:left="426"/>
        <w:jc w:val="both"/>
        <w:rPr>
          <w:rFonts w:cs="Arial"/>
          <w:szCs w:val="22"/>
        </w:rPr>
      </w:pPr>
      <w:r w:rsidRPr="005F15DA">
        <w:rPr>
          <w:rFonts w:cs="Arial"/>
          <w:szCs w:val="22"/>
        </w:rPr>
        <w:t>Die Aufnahme und Beschreibung der einzelnen Grundstücke im Grundbuch erfolgt auf der Grundlage der amtlichen Vermessung, insbesondere der Pläne.</w:t>
      </w:r>
      <w:r w:rsidR="00686F78" w:rsidRPr="005F15DA">
        <w:rPr>
          <w:rFonts w:cs="Arial"/>
          <w:szCs w:val="22"/>
        </w:rPr>
        <w:t xml:space="preserve"> </w:t>
      </w:r>
    </w:p>
    <w:p w:rsidR="00D24037" w:rsidRPr="005F15DA" w:rsidRDefault="00D24037" w:rsidP="00861D85">
      <w:pPr>
        <w:tabs>
          <w:tab w:val="left" w:pos="426"/>
        </w:tabs>
        <w:spacing w:line="240" w:lineRule="auto"/>
        <w:ind w:left="426"/>
        <w:jc w:val="both"/>
        <w:rPr>
          <w:rFonts w:cs="Arial"/>
          <w:szCs w:val="22"/>
        </w:rPr>
      </w:pPr>
    </w:p>
    <w:p w:rsidR="00D24037" w:rsidRPr="005F15DA" w:rsidRDefault="00D24037" w:rsidP="00861D85">
      <w:pPr>
        <w:tabs>
          <w:tab w:val="left" w:pos="426"/>
        </w:tabs>
        <w:spacing w:line="240" w:lineRule="auto"/>
        <w:ind w:left="426"/>
        <w:jc w:val="both"/>
        <w:rPr>
          <w:rFonts w:cs="Arial"/>
          <w:szCs w:val="22"/>
        </w:rPr>
      </w:pPr>
      <w:r w:rsidRPr="005F15DA">
        <w:rPr>
          <w:rFonts w:cs="Arial"/>
          <w:szCs w:val="22"/>
        </w:rPr>
        <w:t>Zur Grundbuchführung werden Kreise gebildet. Wenn ein Grundstück in mehreren Kre</w:t>
      </w:r>
      <w:r w:rsidRPr="005F15DA">
        <w:rPr>
          <w:rFonts w:cs="Arial"/>
          <w:szCs w:val="22"/>
        </w:rPr>
        <w:t>i</w:t>
      </w:r>
      <w:r w:rsidRPr="005F15DA">
        <w:rPr>
          <w:rFonts w:cs="Arial"/>
          <w:szCs w:val="22"/>
        </w:rPr>
        <w:t>sen liegt, erfolgt die Anmeldung in dem Kreis, in welchem der grössere Teil des Grun</w:t>
      </w:r>
      <w:r w:rsidRPr="005F15DA">
        <w:rPr>
          <w:rFonts w:cs="Arial"/>
          <w:szCs w:val="22"/>
        </w:rPr>
        <w:t>d</w:t>
      </w:r>
      <w:r w:rsidRPr="005F15DA">
        <w:rPr>
          <w:rFonts w:cs="Arial"/>
          <w:szCs w:val="22"/>
        </w:rPr>
        <w:t xml:space="preserve">stückes liegt. </w:t>
      </w:r>
    </w:p>
    <w:p w:rsidR="00D24037" w:rsidRPr="005F15DA" w:rsidRDefault="00D24037" w:rsidP="00861D85">
      <w:pPr>
        <w:tabs>
          <w:tab w:val="left" w:pos="426"/>
        </w:tabs>
        <w:spacing w:line="240" w:lineRule="auto"/>
        <w:ind w:left="426"/>
        <w:jc w:val="both"/>
        <w:rPr>
          <w:rFonts w:cs="Arial"/>
          <w:szCs w:val="22"/>
        </w:rPr>
      </w:pPr>
    </w:p>
    <w:p w:rsidR="00D24037" w:rsidRPr="005F15DA" w:rsidRDefault="00D24037" w:rsidP="00861D85">
      <w:pPr>
        <w:tabs>
          <w:tab w:val="left" w:pos="426"/>
        </w:tabs>
        <w:spacing w:line="240" w:lineRule="auto"/>
        <w:ind w:left="426"/>
        <w:jc w:val="both"/>
        <w:rPr>
          <w:rFonts w:cs="Arial"/>
          <w:szCs w:val="22"/>
        </w:rPr>
      </w:pPr>
      <w:r w:rsidRPr="005F15DA">
        <w:rPr>
          <w:rFonts w:cs="Arial"/>
          <w:szCs w:val="22"/>
        </w:rPr>
        <w:t>Für die Eintragungen in das Grundbuch und für die damit verbundenen Vermessungsa</w:t>
      </w:r>
      <w:r w:rsidRPr="005F15DA">
        <w:rPr>
          <w:rFonts w:cs="Arial"/>
          <w:szCs w:val="22"/>
        </w:rPr>
        <w:t>r</w:t>
      </w:r>
      <w:r w:rsidRPr="005F15DA">
        <w:rPr>
          <w:rFonts w:cs="Arial"/>
          <w:szCs w:val="22"/>
        </w:rPr>
        <w:t>beiten erheben die Kantone Gebühren.</w:t>
      </w:r>
    </w:p>
    <w:p w:rsidR="00D24037" w:rsidRPr="005F15DA" w:rsidRDefault="00D24037" w:rsidP="00861D85">
      <w:pPr>
        <w:tabs>
          <w:tab w:val="left" w:pos="426"/>
        </w:tabs>
        <w:spacing w:line="240" w:lineRule="auto"/>
        <w:ind w:left="426"/>
        <w:jc w:val="both"/>
        <w:rPr>
          <w:rFonts w:cs="Arial"/>
          <w:szCs w:val="22"/>
        </w:rPr>
      </w:pPr>
    </w:p>
    <w:p w:rsidR="00D24037" w:rsidRPr="005F15DA" w:rsidRDefault="00D24037" w:rsidP="00861D85">
      <w:pPr>
        <w:tabs>
          <w:tab w:val="left" w:pos="426"/>
        </w:tabs>
        <w:spacing w:line="240" w:lineRule="auto"/>
        <w:ind w:left="426"/>
        <w:jc w:val="both"/>
        <w:rPr>
          <w:rFonts w:cs="Arial"/>
          <w:szCs w:val="22"/>
        </w:rPr>
      </w:pPr>
      <w:r w:rsidRPr="005F15DA">
        <w:rPr>
          <w:rFonts w:cs="Arial"/>
          <w:szCs w:val="22"/>
        </w:rPr>
        <w:t>Für die Grundbuchführung besteht eine Kantonshaftung.</w:t>
      </w:r>
    </w:p>
    <w:p w:rsidR="00D24037" w:rsidRPr="005F15DA" w:rsidRDefault="00D24037" w:rsidP="00861D85">
      <w:pPr>
        <w:tabs>
          <w:tab w:val="left" w:pos="426"/>
        </w:tabs>
        <w:spacing w:line="240" w:lineRule="auto"/>
        <w:ind w:left="426"/>
        <w:jc w:val="both"/>
        <w:rPr>
          <w:rFonts w:cs="Arial"/>
          <w:szCs w:val="22"/>
        </w:rPr>
      </w:pPr>
    </w:p>
    <w:p w:rsidR="00D24037" w:rsidRPr="005F15DA" w:rsidRDefault="00D24037" w:rsidP="00861D85">
      <w:pPr>
        <w:tabs>
          <w:tab w:val="left" w:pos="426"/>
        </w:tabs>
        <w:spacing w:line="240" w:lineRule="auto"/>
        <w:ind w:left="426"/>
        <w:jc w:val="both"/>
        <w:rPr>
          <w:rFonts w:cs="Arial"/>
          <w:szCs w:val="22"/>
        </w:rPr>
      </w:pPr>
      <w:r w:rsidRPr="005F15DA">
        <w:rPr>
          <w:rFonts w:cs="Arial"/>
          <w:szCs w:val="22"/>
        </w:rPr>
        <w:t>Für die Aufsicht über die Grundbuchämter sind die Kantone zuständig; der Bund führt die Oberaufsicht aus.</w:t>
      </w:r>
    </w:p>
    <w:p w:rsidR="00D24037" w:rsidRPr="005F15DA" w:rsidRDefault="00D24037" w:rsidP="00861D85">
      <w:pPr>
        <w:tabs>
          <w:tab w:val="left" w:pos="426"/>
        </w:tabs>
        <w:spacing w:line="240" w:lineRule="auto"/>
        <w:ind w:left="426"/>
        <w:jc w:val="both"/>
        <w:rPr>
          <w:rFonts w:cs="Arial"/>
          <w:szCs w:val="22"/>
        </w:rPr>
      </w:pPr>
    </w:p>
    <w:p w:rsidR="00D24037" w:rsidRPr="005F15DA" w:rsidRDefault="00D24037" w:rsidP="00861D85">
      <w:pPr>
        <w:tabs>
          <w:tab w:val="left" w:pos="426"/>
        </w:tabs>
        <w:spacing w:line="240" w:lineRule="auto"/>
        <w:ind w:left="426"/>
        <w:jc w:val="both"/>
        <w:rPr>
          <w:rFonts w:cs="Arial"/>
          <w:szCs w:val="22"/>
        </w:rPr>
      </w:pPr>
      <w:r w:rsidRPr="005F15DA">
        <w:rPr>
          <w:rFonts w:cs="Arial"/>
          <w:szCs w:val="22"/>
        </w:rPr>
        <w:t xml:space="preserve">Gegen Verfügungen der Grundbuchämter kann bei der zuständigen kantonalen Behörde Beschwerde geführt werden. </w:t>
      </w:r>
    </w:p>
    <w:p w:rsidR="00E54319" w:rsidRPr="005F15DA" w:rsidRDefault="00E54319" w:rsidP="00861D85">
      <w:pPr>
        <w:tabs>
          <w:tab w:val="left" w:pos="426"/>
        </w:tabs>
        <w:spacing w:line="240" w:lineRule="auto"/>
        <w:jc w:val="both"/>
        <w:rPr>
          <w:rFonts w:cs="Arial"/>
          <w:szCs w:val="22"/>
        </w:rPr>
      </w:pPr>
    </w:p>
    <w:p w:rsidR="00E54319" w:rsidRPr="005F15DA" w:rsidRDefault="005B0708" w:rsidP="005B0708">
      <w:pPr>
        <w:pStyle w:val="berschrift4"/>
      </w:pPr>
      <w:r w:rsidRPr="005F15DA">
        <w:lastRenderedPageBreak/>
        <w:t>2.</w:t>
      </w:r>
      <w:r w:rsidRPr="005F15DA">
        <w:tab/>
      </w:r>
      <w:r w:rsidR="00E54319" w:rsidRPr="005F15DA">
        <w:t>Eintragungen</w:t>
      </w:r>
    </w:p>
    <w:p w:rsidR="00383D9B" w:rsidRPr="005F15DA" w:rsidRDefault="00E8560B" w:rsidP="00861D85">
      <w:pPr>
        <w:spacing w:line="240" w:lineRule="auto"/>
        <w:ind w:left="426"/>
        <w:jc w:val="both"/>
        <w:rPr>
          <w:rFonts w:cs="Arial"/>
          <w:szCs w:val="22"/>
        </w:rPr>
      </w:pPr>
      <w:r w:rsidRPr="005F15DA">
        <w:rPr>
          <w:rFonts w:cs="Arial"/>
          <w:szCs w:val="22"/>
        </w:rPr>
        <w:t>Im Grundbuch werden eingetragen:</w:t>
      </w:r>
    </w:p>
    <w:p w:rsidR="00E8560B" w:rsidRPr="005F15DA" w:rsidRDefault="00E8560B" w:rsidP="009D34F3">
      <w:pPr>
        <w:pStyle w:val="Listenabsatz"/>
        <w:numPr>
          <w:ilvl w:val="0"/>
          <w:numId w:val="27"/>
        </w:numPr>
        <w:spacing w:line="240" w:lineRule="auto"/>
        <w:ind w:left="709" w:hanging="283"/>
        <w:jc w:val="both"/>
        <w:rPr>
          <w:rFonts w:cs="Arial"/>
          <w:szCs w:val="22"/>
        </w:rPr>
      </w:pPr>
      <w:r w:rsidRPr="005F15DA">
        <w:rPr>
          <w:rFonts w:cs="Arial"/>
          <w:szCs w:val="22"/>
        </w:rPr>
        <w:t>das Eigentum (Art. 958 ZGB),</w:t>
      </w:r>
    </w:p>
    <w:p w:rsidR="00E8560B" w:rsidRPr="005F15DA" w:rsidRDefault="00E8560B" w:rsidP="009D34F3">
      <w:pPr>
        <w:pStyle w:val="Listenabsatz"/>
        <w:numPr>
          <w:ilvl w:val="0"/>
          <w:numId w:val="27"/>
        </w:numPr>
        <w:spacing w:line="240" w:lineRule="auto"/>
        <w:ind w:left="709" w:hanging="283"/>
        <w:jc w:val="both"/>
        <w:rPr>
          <w:rFonts w:cs="Arial"/>
          <w:szCs w:val="22"/>
        </w:rPr>
      </w:pPr>
      <w:r w:rsidRPr="005F15DA">
        <w:rPr>
          <w:rFonts w:cs="Arial"/>
          <w:szCs w:val="22"/>
        </w:rPr>
        <w:t>die Dienstbarkeiten und Grundlasten (Art. 958 ZGB),</w:t>
      </w:r>
    </w:p>
    <w:p w:rsidR="00E8560B" w:rsidRPr="005F15DA" w:rsidRDefault="00E8560B" w:rsidP="009D34F3">
      <w:pPr>
        <w:pStyle w:val="Listenabsatz"/>
        <w:numPr>
          <w:ilvl w:val="0"/>
          <w:numId w:val="27"/>
        </w:numPr>
        <w:spacing w:line="240" w:lineRule="auto"/>
        <w:ind w:left="709" w:hanging="283"/>
        <w:jc w:val="both"/>
        <w:rPr>
          <w:rFonts w:cs="Arial"/>
          <w:szCs w:val="22"/>
        </w:rPr>
      </w:pPr>
      <w:r w:rsidRPr="005F15DA">
        <w:rPr>
          <w:rFonts w:cs="Arial"/>
          <w:szCs w:val="22"/>
        </w:rPr>
        <w:t>die Pfandrechte (Art. 958 ZGB),</w:t>
      </w:r>
    </w:p>
    <w:p w:rsidR="00E8560B" w:rsidRPr="005F15DA" w:rsidRDefault="00E8560B" w:rsidP="009D34F3">
      <w:pPr>
        <w:pStyle w:val="Listenabsatz"/>
        <w:numPr>
          <w:ilvl w:val="0"/>
          <w:numId w:val="27"/>
        </w:numPr>
        <w:spacing w:line="240" w:lineRule="auto"/>
        <w:ind w:left="709" w:hanging="283"/>
        <w:jc w:val="both"/>
        <w:rPr>
          <w:rFonts w:cs="Arial"/>
          <w:szCs w:val="22"/>
        </w:rPr>
      </w:pPr>
      <w:r w:rsidRPr="005F15DA">
        <w:rPr>
          <w:rFonts w:cs="Arial"/>
          <w:szCs w:val="22"/>
        </w:rPr>
        <w:t>die Vormerkungen (Art. 959 – 961 ZGB),</w:t>
      </w:r>
    </w:p>
    <w:p w:rsidR="00E8560B" w:rsidRPr="005F15DA" w:rsidRDefault="00E8560B" w:rsidP="009D34F3">
      <w:pPr>
        <w:pStyle w:val="Listenabsatz"/>
        <w:numPr>
          <w:ilvl w:val="0"/>
          <w:numId w:val="27"/>
        </w:numPr>
        <w:spacing w:line="240" w:lineRule="auto"/>
        <w:ind w:left="709" w:hanging="283"/>
        <w:jc w:val="both"/>
        <w:rPr>
          <w:rFonts w:cs="Arial"/>
          <w:szCs w:val="22"/>
        </w:rPr>
      </w:pPr>
      <w:r w:rsidRPr="005F15DA">
        <w:rPr>
          <w:rFonts w:cs="Arial"/>
          <w:szCs w:val="22"/>
        </w:rPr>
        <w:t>die Anmerkungen (Art. 962, 962a ZGB).</w:t>
      </w:r>
    </w:p>
    <w:p w:rsidR="00E8560B" w:rsidRPr="005F15DA" w:rsidRDefault="00E8560B" w:rsidP="00861D85">
      <w:pPr>
        <w:spacing w:line="240" w:lineRule="auto"/>
        <w:ind w:left="426"/>
        <w:jc w:val="both"/>
        <w:rPr>
          <w:rFonts w:cs="Arial"/>
          <w:szCs w:val="22"/>
        </w:rPr>
      </w:pPr>
    </w:p>
    <w:p w:rsidR="001F6801" w:rsidRPr="005F15DA" w:rsidRDefault="001F6801" w:rsidP="00861D85">
      <w:pPr>
        <w:spacing w:line="240" w:lineRule="auto"/>
        <w:ind w:left="426"/>
        <w:jc w:val="both"/>
        <w:rPr>
          <w:rFonts w:cs="Arial"/>
          <w:szCs w:val="22"/>
        </w:rPr>
      </w:pPr>
    </w:p>
    <w:p w:rsidR="009C56AA" w:rsidRPr="005F15DA" w:rsidRDefault="009C56AA" w:rsidP="009C56AA">
      <w:pPr>
        <w:pStyle w:val="berschrift5"/>
      </w:pPr>
      <w:r w:rsidRPr="005F15DA">
        <w:t>a.</w:t>
      </w:r>
      <w:r w:rsidRPr="005F15DA">
        <w:tab/>
        <w:t>Eigentum, Dienstbarkeiten, Grundlasten, Grundpfandrechte</w:t>
      </w:r>
    </w:p>
    <w:p w:rsidR="00E8560B" w:rsidRPr="005F15DA" w:rsidRDefault="00E8560B" w:rsidP="001019E0">
      <w:pPr>
        <w:spacing w:line="240" w:lineRule="auto"/>
        <w:ind w:left="851"/>
        <w:jc w:val="both"/>
        <w:rPr>
          <w:rFonts w:cs="Arial"/>
          <w:szCs w:val="22"/>
        </w:rPr>
      </w:pPr>
      <w:r w:rsidRPr="005F15DA">
        <w:rPr>
          <w:rFonts w:cs="Arial"/>
          <w:szCs w:val="22"/>
        </w:rPr>
        <w:t>Das Grundeigentum, die Dienstbarkeiten und Grundlasten sowie die Grundpfan</w:t>
      </w:r>
      <w:r w:rsidRPr="005F15DA">
        <w:rPr>
          <w:rFonts w:cs="Arial"/>
          <w:szCs w:val="22"/>
        </w:rPr>
        <w:t>d</w:t>
      </w:r>
      <w:r w:rsidRPr="005F15DA">
        <w:rPr>
          <w:rFonts w:cs="Arial"/>
          <w:szCs w:val="22"/>
        </w:rPr>
        <w:t>rechte wurden bereits weiter vorne erläutert.</w:t>
      </w:r>
    </w:p>
    <w:p w:rsidR="00E8560B" w:rsidRPr="005F15DA" w:rsidRDefault="00E8560B" w:rsidP="001019E0">
      <w:pPr>
        <w:spacing w:line="240" w:lineRule="auto"/>
        <w:ind w:left="851"/>
        <w:jc w:val="both"/>
        <w:rPr>
          <w:rFonts w:cs="Arial"/>
          <w:szCs w:val="22"/>
        </w:rPr>
      </w:pPr>
    </w:p>
    <w:p w:rsidR="001F6801" w:rsidRPr="005F15DA" w:rsidRDefault="001F6801" w:rsidP="001019E0">
      <w:pPr>
        <w:spacing w:line="240" w:lineRule="auto"/>
        <w:ind w:left="851"/>
        <w:jc w:val="both"/>
        <w:rPr>
          <w:rFonts w:cs="Arial"/>
          <w:szCs w:val="22"/>
        </w:rPr>
      </w:pPr>
    </w:p>
    <w:p w:rsidR="009C56AA" w:rsidRPr="005F15DA" w:rsidRDefault="009C56AA" w:rsidP="009C56AA">
      <w:pPr>
        <w:pStyle w:val="berschrift5"/>
      </w:pPr>
      <w:r w:rsidRPr="005F15DA">
        <w:t>b.</w:t>
      </w:r>
      <w:r w:rsidRPr="005F15DA">
        <w:tab/>
        <w:t>Vormerkungen</w:t>
      </w:r>
    </w:p>
    <w:p w:rsidR="00E8560B" w:rsidRPr="005F15DA" w:rsidRDefault="00E8560B" w:rsidP="009C56AA">
      <w:pPr>
        <w:spacing w:line="240" w:lineRule="auto"/>
        <w:ind w:left="851"/>
        <w:jc w:val="both"/>
        <w:rPr>
          <w:rFonts w:cs="Arial"/>
          <w:szCs w:val="22"/>
        </w:rPr>
      </w:pPr>
      <w:r w:rsidRPr="005F15DA">
        <w:rPr>
          <w:rFonts w:cs="Arial"/>
          <w:szCs w:val="22"/>
        </w:rPr>
        <w:t>Als Vormerkungen können im Grundbuch eingetragen werden:</w:t>
      </w:r>
    </w:p>
    <w:p w:rsidR="009C56AA" w:rsidRPr="005F15DA" w:rsidRDefault="009C56AA" w:rsidP="009C56AA">
      <w:pPr>
        <w:spacing w:line="240" w:lineRule="auto"/>
        <w:ind w:left="851"/>
        <w:jc w:val="both"/>
        <w:rPr>
          <w:rFonts w:cs="Arial"/>
          <w:szCs w:val="22"/>
        </w:rPr>
      </w:pPr>
    </w:p>
    <w:p w:rsidR="005E212D" w:rsidRPr="005F15DA" w:rsidRDefault="009C56AA" w:rsidP="009C56AA">
      <w:pPr>
        <w:pStyle w:val="Listenabsatz"/>
        <w:spacing w:line="240" w:lineRule="auto"/>
        <w:ind w:left="851"/>
        <w:jc w:val="both"/>
        <w:rPr>
          <w:rFonts w:cs="Arial"/>
          <w:szCs w:val="22"/>
        </w:rPr>
      </w:pPr>
      <w:r w:rsidRPr="005F15DA">
        <w:rPr>
          <w:rFonts w:cs="Arial"/>
          <w:b/>
          <w:szCs w:val="22"/>
        </w:rPr>
        <w:t>Persönliche Rechte</w:t>
      </w:r>
      <w:r w:rsidRPr="005F15DA">
        <w:rPr>
          <w:rFonts w:cs="Arial"/>
          <w:szCs w:val="22"/>
        </w:rPr>
        <w:t xml:space="preserve"> </w:t>
      </w:r>
      <w:r w:rsidR="005B0708" w:rsidRPr="005F15DA">
        <w:rPr>
          <w:rFonts w:cs="Arial"/>
          <w:szCs w:val="22"/>
        </w:rPr>
        <w:t xml:space="preserve">(Art. 959 ZGB) </w:t>
      </w:r>
      <w:r w:rsidR="005E212D" w:rsidRPr="005F15DA">
        <w:rPr>
          <w:rFonts w:cs="Arial"/>
          <w:szCs w:val="22"/>
        </w:rPr>
        <w:t>Diese müssen im Gesetz ausdrücklich vorges</w:t>
      </w:r>
      <w:r w:rsidR="005E212D" w:rsidRPr="005F15DA">
        <w:rPr>
          <w:rFonts w:cs="Arial"/>
          <w:szCs w:val="22"/>
        </w:rPr>
        <w:t>e</w:t>
      </w:r>
      <w:r w:rsidR="005E212D" w:rsidRPr="005F15DA">
        <w:rPr>
          <w:rFonts w:cs="Arial"/>
          <w:szCs w:val="22"/>
        </w:rPr>
        <w:t>hen werden und erhalten durch die Vormerkung Wirkung gegenüber jedem später erworbenen Recht.</w:t>
      </w:r>
    </w:p>
    <w:p w:rsidR="005E212D" w:rsidRPr="005F15DA" w:rsidRDefault="005E212D" w:rsidP="009C56AA">
      <w:pPr>
        <w:pStyle w:val="Listenabsatz"/>
        <w:tabs>
          <w:tab w:val="left" w:pos="1134"/>
        </w:tabs>
        <w:spacing w:line="240" w:lineRule="auto"/>
        <w:ind w:left="851"/>
        <w:jc w:val="both"/>
        <w:rPr>
          <w:rFonts w:cs="Arial"/>
          <w:szCs w:val="22"/>
        </w:rPr>
      </w:pPr>
      <w:r w:rsidRPr="005F15DA">
        <w:rPr>
          <w:rFonts w:cs="Arial"/>
          <w:szCs w:val="22"/>
        </w:rPr>
        <w:t>Vormerkbare persönliche Rechte sind:</w:t>
      </w:r>
    </w:p>
    <w:p w:rsidR="005E212D" w:rsidRPr="005F15DA" w:rsidRDefault="00E8560B" w:rsidP="009D34F3">
      <w:pPr>
        <w:pStyle w:val="Listenabsatz"/>
        <w:numPr>
          <w:ilvl w:val="0"/>
          <w:numId w:val="31"/>
        </w:numPr>
        <w:tabs>
          <w:tab w:val="left" w:pos="1134"/>
        </w:tabs>
        <w:spacing w:line="240" w:lineRule="auto"/>
        <w:ind w:left="851" w:firstLine="0"/>
        <w:jc w:val="both"/>
        <w:rPr>
          <w:rFonts w:cs="Arial"/>
          <w:szCs w:val="22"/>
        </w:rPr>
      </w:pPr>
      <w:r w:rsidRPr="005F15DA">
        <w:rPr>
          <w:rFonts w:cs="Arial"/>
          <w:szCs w:val="22"/>
        </w:rPr>
        <w:t>Vorkaufsrecht</w:t>
      </w:r>
    </w:p>
    <w:p w:rsidR="005E212D" w:rsidRPr="005F15DA" w:rsidRDefault="005E212D" w:rsidP="009D34F3">
      <w:pPr>
        <w:pStyle w:val="Listenabsatz"/>
        <w:numPr>
          <w:ilvl w:val="0"/>
          <w:numId w:val="31"/>
        </w:numPr>
        <w:tabs>
          <w:tab w:val="left" w:pos="1134"/>
        </w:tabs>
        <w:spacing w:line="240" w:lineRule="auto"/>
        <w:ind w:left="851" w:firstLine="0"/>
        <w:jc w:val="both"/>
        <w:rPr>
          <w:rFonts w:cs="Arial"/>
          <w:szCs w:val="22"/>
        </w:rPr>
      </w:pPr>
      <w:r w:rsidRPr="005F15DA">
        <w:rPr>
          <w:rFonts w:cs="Arial"/>
          <w:szCs w:val="22"/>
        </w:rPr>
        <w:t>Kaufsrecht</w:t>
      </w:r>
    </w:p>
    <w:p w:rsidR="005E212D" w:rsidRPr="005F15DA" w:rsidRDefault="005E212D" w:rsidP="009D34F3">
      <w:pPr>
        <w:pStyle w:val="Listenabsatz"/>
        <w:numPr>
          <w:ilvl w:val="0"/>
          <w:numId w:val="31"/>
        </w:numPr>
        <w:tabs>
          <w:tab w:val="left" w:pos="1134"/>
        </w:tabs>
        <w:spacing w:line="240" w:lineRule="auto"/>
        <w:ind w:left="851" w:firstLine="0"/>
        <w:jc w:val="both"/>
        <w:rPr>
          <w:rFonts w:cs="Arial"/>
          <w:szCs w:val="22"/>
        </w:rPr>
      </w:pPr>
      <w:r w:rsidRPr="005F15DA">
        <w:rPr>
          <w:rFonts w:cs="Arial"/>
          <w:szCs w:val="22"/>
        </w:rPr>
        <w:t>Rückkaufsrecht</w:t>
      </w:r>
    </w:p>
    <w:p w:rsidR="005E212D" w:rsidRPr="005F15DA" w:rsidRDefault="005E212D" w:rsidP="009D34F3">
      <w:pPr>
        <w:pStyle w:val="Listenabsatz"/>
        <w:numPr>
          <w:ilvl w:val="0"/>
          <w:numId w:val="31"/>
        </w:numPr>
        <w:tabs>
          <w:tab w:val="left" w:pos="1134"/>
        </w:tabs>
        <w:spacing w:line="240" w:lineRule="auto"/>
        <w:ind w:left="851" w:firstLine="0"/>
        <w:jc w:val="both"/>
        <w:rPr>
          <w:rFonts w:cs="Arial"/>
          <w:szCs w:val="22"/>
        </w:rPr>
      </w:pPr>
      <w:r w:rsidRPr="005F15DA">
        <w:rPr>
          <w:rFonts w:cs="Arial"/>
          <w:szCs w:val="22"/>
        </w:rPr>
        <w:t>Miete</w:t>
      </w:r>
    </w:p>
    <w:p w:rsidR="005E212D" w:rsidRPr="005F15DA" w:rsidRDefault="005E212D" w:rsidP="009D34F3">
      <w:pPr>
        <w:pStyle w:val="Listenabsatz"/>
        <w:numPr>
          <w:ilvl w:val="0"/>
          <w:numId w:val="31"/>
        </w:numPr>
        <w:tabs>
          <w:tab w:val="left" w:pos="1134"/>
        </w:tabs>
        <w:spacing w:line="240" w:lineRule="auto"/>
        <w:ind w:left="851" w:firstLine="0"/>
        <w:jc w:val="both"/>
        <w:rPr>
          <w:rFonts w:cs="Arial"/>
          <w:szCs w:val="22"/>
        </w:rPr>
      </w:pPr>
      <w:r w:rsidRPr="005F15DA">
        <w:rPr>
          <w:rFonts w:cs="Arial"/>
          <w:szCs w:val="22"/>
        </w:rPr>
        <w:t>Pacht</w:t>
      </w:r>
    </w:p>
    <w:p w:rsidR="005E212D" w:rsidRPr="005F15DA" w:rsidRDefault="005E212D" w:rsidP="009D34F3">
      <w:pPr>
        <w:pStyle w:val="Listenabsatz"/>
        <w:numPr>
          <w:ilvl w:val="0"/>
          <w:numId w:val="31"/>
        </w:numPr>
        <w:tabs>
          <w:tab w:val="left" w:pos="1134"/>
        </w:tabs>
        <w:spacing w:line="240" w:lineRule="auto"/>
        <w:ind w:left="851" w:firstLine="0"/>
        <w:jc w:val="both"/>
        <w:rPr>
          <w:rFonts w:cs="Arial"/>
          <w:szCs w:val="22"/>
        </w:rPr>
      </w:pPr>
      <w:r w:rsidRPr="005F15DA">
        <w:rPr>
          <w:rFonts w:cs="Arial"/>
          <w:szCs w:val="22"/>
        </w:rPr>
        <w:t>Ausschluss der Aufhebung von Miteigentum</w:t>
      </w:r>
    </w:p>
    <w:p w:rsidR="005E212D" w:rsidRPr="005F15DA" w:rsidRDefault="005E212D" w:rsidP="009D34F3">
      <w:pPr>
        <w:pStyle w:val="Listenabsatz"/>
        <w:numPr>
          <w:ilvl w:val="0"/>
          <w:numId w:val="31"/>
        </w:numPr>
        <w:tabs>
          <w:tab w:val="left" w:pos="1134"/>
        </w:tabs>
        <w:spacing w:line="240" w:lineRule="auto"/>
        <w:ind w:left="851" w:firstLine="0"/>
        <w:jc w:val="both"/>
        <w:rPr>
          <w:rFonts w:cs="Arial"/>
          <w:szCs w:val="22"/>
        </w:rPr>
      </w:pPr>
      <w:r w:rsidRPr="005F15DA">
        <w:rPr>
          <w:rFonts w:cs="Arial"/>
          <w:szCs w:val="22"/>
        </w:rPr>
        <w:t>Vereinbarung des Vorkaufsrechts beim Stockwerkeigentum</w:t>
      </w:r>
    </w:p>
    <w:p w:rsidR="005E212D" w:rsidRPr="005F15DA" w:rsidRDefault="005E212D" w:rsidP="009D34F3">
      <w:pPr>
        <w:pStyle w:val="Listenabsatz"/>
        <w:numPr>
          <w:ilvl w:val="0"/>
          <w:numId w:val="31"/>
        </w:numPr>
        <w:tabs>
          <w:tab w:val="left" w:pos="1134"/>
        </w:tabs>
        <w:spacing w:line="240" w:lineRule="auto"/>
        <w:ind w:left="851" w:firstLine="0"/>
        <w:jc w:val="both"/>
        <w:rPr>
          <w:rFonts w:cs="Arial"/>
          <w:szCs w:val="22"/>
        </w:rPr>
      </w:pPr>
      <w:r w:rsidRPr="005F15DA">
        <w:rPr>
          <w:rFonts w:cs="Arial"/>
          <w:szCs w:val="22"/>
        </w:rPr>
        <w:t>Einspracherecht beim Stockwerkeigentum</w:t>
      </w:r>
    </w:p>
    <w:p w:rsidR="005E212D" w:rsidRPr="005F15DA" w:rsidRDefault="005E212D" w:rsidP="009D34F3">
      <w:pPr>
        <w:pStyle w:val="Listenabsatz"/>
        <w:numPr>
          <w:ilvl w:val="0"/>
          <w:numId w:val="31"/>
        </w:numPr>
        <w:tabs>
          <w:tab w:val="left" w:pos="1134"/>
        </w:tabs>
        <w:spacing w:line="240" w:lineRule="auto"/>
        <w:ind w:left="1134" w:hanging="283"/>
        <w:jc w:val="both"/>
        <w:rPr>
          <w:rFonts w:cs="Arial"/>
          <w:szCs w:val="22"/>
        </w:rPr>
      </w:pPr>
      <w:r w:rsidRPr="005F15DA">
        <w:rPr>
          <w:rFonts w:cs="Arial"/>
          <w:szCs w:val="22"/>
        </w:rPr>
        <w:t>Abänderung und Aufhebung der gesetzlichen Vorkaufsrechte bei Miteigentum und Baurecht</w:t>
      </w:r>
    </w:p>
    <w:p w:rsidR="005E212D" w:rsidRPr="005F15DA" w:rsidRDefault="005E212D" w:rsidP="009D34F3">
      <w:pPr>
        <w:pStyle w:val="Listenabsatz"/>
        <w:numPr>
          <w:ilvl w:val="0"/>
          <w:numId w:val="31"/>
        </w:numPr>
        <w:tabs>
          <w:tab w:val="left" w:pos="1134"/>
        </w:tabs>
        <w:spacing w:line="240" w:lineRule="auto"/>
        <w:ind w:left="1134" w:hanging="283"/>
        <w:jc w:val="both"/>
        <w:rPr>
          <w:rFonts w:cs="Arial"/>
          <w:szCs w:val="22"/>
        </w:rPr>
      </w:pPr>
      <w:r w:rsidRPr="005F15DA">
        <w:rPr>
          <w:rFonts w:cs="Arial"/>
          <w:szCs w:val="22"/>
        </w:rPr>
        <w:t>Vereinbarung der Dienstbarkeitsberechtigten über Ausschluss des Ausscheiden aus der Gemeinschaft infolge Verzicht auf die Dienstbarkeit</w:t>
      </w:r>
    </w:p>
    <w:p w:rsidR="005E212D" w:rsidRPr="005F15DA" w:rsidRDefault="005E212D" w:rsidP="009D34F3">
      <w:pPr>
        <w:pStyle w:val="Listenabsatz"/>
        <w:numPr>
          <w:ilvl w:val="0"/>
          <w:numId w:val="31"/>
        </w:numPr>
        <w:tabs>
          <w:tab w:val="left" w:pos="1134"/>
        </w:tabs>
        <w:spacing w:line="240" w:lineRule="auto"/>
        <w:ind w:left="851" w:firstLine="0"/>
        <w:jc w:val="both"/>
        <w:rPr>
          <w:rFonts w:cs="Arial"/>
          <w:szCs w:val="22"/>
        </w:rPr>
      </w:pPr>
      <w:r w:rsidRPr="005F15DA">
        <w:rPr>
          <w:rFonts w:cs="Arial"/>
          <w:szCs w:val="22"/>
        </w:rPr>
        <w:t>Nachrückungsrecht des Grundpfandgläubigers</w:t>
      </w:r>
    </w:p>
    <w:p w:rsidR="005E212D" w:rsidRPr="005F15DA" w:rsidRDefault="005E212D" w:rsidP="009D34F3">
      <w:pPr>
        <w:pStyle w:val="Listenabsatz"/>
        <w:numPr>
          <w:ilvl w:val="0"/>
          <w:numId w:val="31"/>
        </w:numPr>
        <w:tabs>
          <w:tab w:val="left" w:pos="1134"/>
        </w:tabs>
        <w:spacing w:line="240" w:lineRule="auto"/>
        <w:ind w:left="1134" w:hanging="283"/>
        <w:jc w:val="both"/>
        <w:rPr>
          <w:rFonts w:cs="Arial"/>
          <w:szCs w:val="22"/>
        </w:rPr>
      </w:pPr>
      <w:r w:rsidRPr="005F15DA">
        <w:rPr>
          <w:rFonts w:cs="Arial"/>
          <w:szCs w:val="22"/>
        </w:rPr>
        <w:t>Baurechtszins und allfällige weitere vertragliche Bestimmungen des Baurechts (z.B. Vereinbarung über Entschädigung und Verfahren beim Heimfall des Ba</w:t>
      </w:r>
      <w:r w:rsidRPr="005F15DA">
        <w:rPr>
          <w:rFonts w:cs="Arial"/>
          <w:szCs w:val="22"/>
        </w:rPr>
        <w:t>u</w:t>
      </w:r>
      <w:r w:rsidRPr="005F15DA">
        <w:rPr>
          <w:rFonts w:cs="Arial"/>
          <w:szCs w:val="22"/>
        </w:rPr>
        <w:t>rechts)</w:t>
      </w:r>
    </w:p>
    <w:p w:rsidR="005E212D" w:rsidRPr="005F15DA" w:rsidRDefault="005E212D" w:rsidP="009D34F3">
      <w:pPr>
        <w:pStyle w:val="Listenabsatz"/>
        <w:numPr>
          <w:ilvl w:val="0"/>
          <w:numId w:val="31"/>
        </w:numPr>
        <w:tabs>
          <w:tab w:val="left" w:pos="1134"/>
        </w:tabs>
        <w:spacing w:line="240" w:lineRule="auto"/>
        <w:ind w:left="851" w:firstLine="0"/>
        <w:jc w:val="both"/>
        <w:rPr>
          <w:rFonts w:cs="Arial"/>
          <w:szCs w:val="22"/>
        </w:rPr>
      </w:pPr>
      <w:r w:rsidRPr="005F15DA">
        <w:rPr>
          <w:rFonts w:cs="Arial"/>
          <w:szCs w:val="22"/>
        </w:rPr>
        <w:t>Rückfallsrecht bei Schenkungen</w:t>
      </w:r>
    </w:p>
    <w:p w:rsidR="005E212D" w:rsidRPr="005F15DA" w:rsidRDefault="005E212D" w:rsidP="009D34F3">
      <w:pPr>
        <w:pStyle w:val="Listenabsatz"/>
        <w:numPr>
          <w:ilvl w:val="0"/>
          <w:numId w:val="31"/>
        </w:numPr>
        <w:tabs>
          <w:tab w:val="left" w:pos="1134"/>
        </w:tabs>
        <w:spacing w:line="240" w:lineRule="auto"/>
        <w:ind w:left="851" w:firstLine="0"/>
        <w:jc w:val="both"/>
        <w:rPr>
          <w:rFonts w:cs="Arial"/>
          <w:szCs w:val="22"/>
        </w:rPr>
      </w:pPr>
      <w:r w:rsidRPr="005F15DA">
        <w:rPr>
          <w:rFonts w:cs="Arial"/>
          <w:szCs w:val="22"/>
        </w:rPr>
        <w:t>Verknüpfung der Mitgliedschaft bei einer Genossenschaft mit einem Grundstück</w:t>
      </w:r>
    </w:p>
    <w:p w:rsidR="00A2301C" w:rsidRPr="005F15DA" w:rsidRDefault="00A2301C" w:rsidP="00A2301C">
      <w:pPr>
        <w:pStyle w:val="Listenabsatz"/>
        <w:tabs>
          <w:tab w:val="left" w:pos="851"/>
        </w:tabs>
        <w:spacing w:line="240" w:lineRule="auto"/>
        <w:ind w:left="786"/>
        <w:jc w:val="both"/>
        <w:rPr>
          <w:rFonts w:cs="Arial"/>
          <w:szCs w:val="22"/>
        </w:rPr>
      </w:pPr>
    </w:p>
    <w:p w:rsidR="00A2301C" w:rsidRPr="005F15DA" w:rsidRDefault="009C56AA" w:rsidP="005B0708">
      <w:pPr>
        <w:pStyle w:val="Listenabsatz"/>
        <w:tabs>
          <w:tab w:val="left" w:pos="851"/>
        </w:tabs>
        <w:spacing w:line="240" w:lineRule="auto"/>
        <w:ind w:left="786"/>
        <w:jc w:val="both"/>
        <w:rPr>
          <w:rFonts w:cs="Arial"/>
          <w:szCs w:val="22"/>
        </w:rPr>
      </w:pPr>
      <w:r w:rsidRPr="005F15DA">
        <w:rPr>
          <w:rFonts w:cs="Arial"/>
          <w:b/>
          <w:szCs w:val="22"/>
        </w:rPr>
        <w:t>Verfügungsbeschränkungen</w:t>
      </w:r>
      <w:r w:rsidRPr="005F15DA">
        <w:rPr>
          <w:rFonts w:cs="Arial"/>
          <w:szCs w:val="22"/>
        </w:rPr>
        <w:t xml:space="preserve"> </w:t>
      </w:r>
      <w:r w:rsidR="005B0708" w:rsidRPr="005F15DA">
        <w:rPr>
          <w:rFonts w:cs="Arial"/>
          <w:szCs w:val="22"/>
        </w:rPr>
        <w:t>(Art. 960 ZGB)</w:t>
      </w:r>
      <w:r w:rsidR="00303C37" w:rsidRPr="005F15DA">
        <w:rPr>
          <w:rFonts w:cs="Arial"/>
          <w:szCs w:val="22"/>
        </w:rPr>
        <w:t xml:space="preserve"> z.B. die Pfändung eines Grundstückes</w:t>
      </w:r>
      <w:r w:rsidR="000B43BA" w:rsidRPr="005F15DA">
        <w:rPr>
          <w:rFonts w:cs="Arial"/>
          <w:szCs w:val="22"/>
        </w:rPr>
        <w:t>, Richterliches Verbot über ein Grundstück zu verfügen,</w:t>
      </w:r>
      <w:r w:rsidR="00303C37" w:rsidRPr="005F15DA">
        <w:rPr>
          <w:rFonts w:cs="Arial"/>
          <w:szCs w:val="22"/>
        </w:rPr>
        <w:t xml:space="preserve"> usw. </w:t>
      </w:r>
    </w:p>
    <w:p w:rsidR="00303C37" w:rsidRPr="005F15DA" w:rsidRDefault="00303C37" w:rsidP="00A2301C">
      <w:pPr>
        <w:pStyle w:val="Listenabsatz"/>
        <w:tabs>
          <w:tab w:val="left" w:pos="851"/>
        </w:tabs>
        <w:spacing w:line="240" w:lineRule="auto"/>
        <w:ind w:left="786"/>
        <w:jc w:val="both"/>
        <w:rPr>
          <w:rFonts w:cs="Arial"/>
          <w:szCs w:val="22"/>
        </w:rPr>
      </w:pPr>
      <w:r w:rsidRPr="005F15DA">
        <w:rPr>
          <w:rFonts w:cs="Arial"/>
          <w:szCs w:val="22"/>
        </w:rPr>
        <w:t>Sie erhalten durch die Vormerkung Wirkung gegenüber jedem später erworbenen Recht.</w:t>
      </w:r>
    </w:p>
    <w:p w:rsidR="00A2301C" w:rsidRPr="005F15DA" w:rsidRDefault="00A2301C" w:rsidP="00A2301C">
      <w:pPr>
        <w:pStyle w:val="Listenabsatz"/>
        <w:tabs>
          <w:tab w:val="left" w:pos="851"/>
        </w:tabs>
        <w:spacing w:line="240" w:lineRule="auto"/>
        <w:ind w:left="786"/>
        <w:jc w:val="both"/>
        <w:rPr>
          <w:rFonts w:cs="Arial"/>
          <w:szCs w:val="22"/>
        </w:rPr>
      </w:pPr>
    </w:p>
    <w:p w:rsidR="00A2301C" w:rsidRPr="005F15DA" w:rsidRDefault="009C56AA" w:rsidP="005B0708">
      <w:pPr>
        <w:pStyle w:val="Listenabsatz"/>
        <w:tabs>
          <w:tab w:val="left" w:pos="851"/>
        </w:tabs>
        <w:spacing w:line="240" w:lineRule="auto"/>
        <w:ind w:left="786"/>
        <w:jc w:val="both"/>
        <w:rPr>
          <w:rFonts w:cs="Arial"/>
          <w:szCs w:val="22"/>
        </w:rPr>
      </w:pPr>
      <w:r w:rsidRPr="005F15DA">
        <w:rPr>
          <w:rFonts w:cs="Arial"/>
          <w:b/>
          <w:szCs w:val="22"/>
        </w:rPr>
        <w:t>Vorläufige Eintragungen</w:t>
      </w:r>
      <w:r w:rsidRPr="005F15DA">
        <w:rPr>
          <w:rFonts w:cs="Arial"/>
          <w:szCs w:val="22"/>
        </w:rPr>
        <w:t xml:space="preserve"> </w:t>
      </w:r>
      <w:r w:rsidR="00303C37" w:rsidRPr="005F15DA">
        <w:rPr>
          <w:rFonts w:cs="Arial"/>
          <w:szCs w:val="22"/>
        </w:rPr>
        <w:t xml:space="preserve">(Art. 961 ZGB), </w:t>
      </w:r>
      <w:r w:rsidR="000B43BA" w:rsidRPr="005F15DA">
        <w:rPr>
          <w:rFonts w:cs="Arial"/>
          <w:szCs w:val="22"/>
        </w:rPr>
        <w:t xml:space="preserve">z.B. Bauhandwerkerpfandrecht (gestützt auf richterliche Verfügung), </w:t>
      </w:r>
      <w:r w:rsidR="00303C37" w:rsidRPr="005F15DA">
        <w:rPr>
          <w:rFonts w:cs="Arial"/>
          <w:szCs w:val="22"/>
        </w:rPr>
        <w:t xml:space="preserve">zur Sicherung behaupteter dinglicher Rechte und im Falle der vom Gesetz zugelassenen Ergänzung des Ausweises. </w:t>
      </w:r>
    </w:p>
    <w:p w:rsidR="00303C37" w:rsidRPr="005F15DA" w:rsidRDefault="00303C37" w:rsidP="00A2301C">
      <w:pPr>
        <w:pStyle w:val="Listenabsatz"/>
        <w:tabs>
          <w:tab w:val="left" w:pos="851"/>
        </w:tabs>
        <w:spacing w:line="240" w:lineRule="auto"/>
        <w:ind w:left="786"/>
        <w:jc w:val="both"/>
        <w:rPr>
          <w:rFonts w:cs="Arial"/>
          <w:szCs w:val="22"/>
        </w:rPr>
      </w:pPr>
      <w:r w:rsidRPr="005F15DA">
        <w:rPr>
          <w:rFonts w:cs="Arial"/>
          <w:szCs w:val="22"/>
        </w:rPr>
        <w:t xml:space="preserve">Sie werden mit Einwilligung </w:t>
      </w:r>
      <w:proofErr w:type="gramStart"/>
      <w:r w:rsidRPr="005F15DA">
        <w:rPr>
          <w:rFonts w:cs="Arial"/>
          <w:szCs w:val="22"/>
        </w:rPr>
        <w:t>aller Beteiligter</w:t>
      </w:r>
      <w:proofErr w:type="gramEnd"/>
      <w:r w:rsidRPr="005F15DA">
        <w:rPr>
          <w:rFonts w:cs="Arial"/>
          <w:szCs w:val="22"/>
        </w:rPr>
        <w:t xml:space="preserve"> oder auf Anordnung des Gerichts eing</w:t>
      </w:r>
      <w:r w:rsidRPr="005F15DA">
        <w:rPr>
          <w:rFonts w:cs="Arial"/>
          <w:szCs w:val="22"/>
        </w:rPr>
        <w:t>e</w:t>
      </w:r>
      <w:r w:rsidRPr="005F15DA">
        <w:rPr>
          <w:rFonts w:cs="Arial"/>
          <w:szCs w:val="22"/>
        </w:rPr>
        <w:t xml:space="preserve">tragen. </w:t>
      </w:r>
      <w:r w:rsidR="00A52E66" w:rsidRPr="005F15DA">
        <w:rPr>
          <w:rFonts w:cs="Arial"/>
          <w:szCs w:val="22"/>
        </w:rPr>
        <w:t>Das dingliche Recht entfaltet seine Wirkung ab dem Zeitpunkt der Vorme</w:t>
      </w:r>
      <w:r w:rsidR="00A52E66" w:rsidRPr="005F15DA">
        <w:rPr>
          <w:rFonts w:cs="Arial"/>
          <w:szCs w:val="22"/>
        </w:rPr>
        <w:t>r</w:t>
      </w:r>
      <w:r w:rsidR="00A52E66" w:rsidRPr="005F15DA">
        <w:rPr>
          <w:rFonts w:cs="Arial"/>
          <w:szCs w:val="22"/>
        </w:rPr>
        <w:t>kung und nicht erst ab dem Zeitpunkt des Gerichtsurteils.</w:t>
      </w:r>
    </w:p>
    <w:p w:rsidR="00686F78" w:rsidRPr="005F15DA" w:rsidRDefault="00686F78" w:rsidP="009C56AA">
      <w:pPr>
        <w:tabs>
          <w:tab w:val="left" w:pos="851"/>
        </w:tabs>
        <w:spacing w:line="240" w:lineRule="auto"/>
        <w:ind w:left="851"/>
        <w:jc w:val="both"/>
        <w:rPr>
          <w:rFonts w:cs="Arial"/>
          <w:szCs w:val="22"/>
        </w:rPr>
      </w:pPr>
    </w:p>
    <w:p w:rsidR="00A52E66" w:rsidRPr="005F15DA" w:rsidRDefault="00A52E66" w:rsidP="009C56AA">
      <w:pPr>
        <w:tabs>
          <w:tab w:val="left" w:pos="851"/>
        </w:tabs>
        <w:spacing w:line="240" w:lineRule="auto"/>
        <w:ind w:left="851"/>
        <w:jc w:val="both"/>
        <w:rPr>
          <w:rFonts w:cs="Arial"/>
          <w:szCs w:val="22"/>
        </w:rPr>
      </w:pPr>
      <w:r w:rsidRPr="005F15DA">
        <w:rPr>
          <w:rFonts w:cs="Arial"/>
          <w:szCs w:val="22"/>
        </w:rPr>
        <w:lastRenderedPageBreak/>
        <w:t>Eine Vormerkung hindert die Eintragung eines im Rang nachgehenden Rechtes nicht.</w:t>
      </w:r>
    </w:p>
    <w:p w:rsidR="00A52E66" w:rsidRPr="005F15DA" w:rsidRDefault="00A52E66" w:rsidP="009C56AA">
      <w:pPr>
        <w:tabs>
          <w:tab w:val="left" w:pos="851"/>
        </w:tabs>
        <w:spacing w:line="240" w:lineRule="auto"/>
        <w:ind w:left="851"/>
        <w:jc w:val="both"/>
        <w:rPr>
          <w:rFonts w:cs="Arial"/>
          <w:szCs w:val="22"/>
        </w:rPr>
      </w:pPr>
    </w:p>
    <w:p w:rsidR="001F6801" w:rsidRPr="005F15DA" w:rsidRDefault="001F6801" w:rsidP="009C56AA">
      <w:pPr>
        <w:tabs>
          <w:tab w:val="left" w:pos="851"/>
        </w:tabs>
        <w:spacing w:line="240" w:lineRule="auto"/>
        <w:ind w:left="851"/>
        <w:jc w:val="both"/>
        <w:rPr>
          <w:rFonts w:cs="Arial"/>
          <w:szCs w:val="22"/>
        </w:rPr>
      </w:pPr>
    </w:p>
    <w:p w:rsidR="009C56AA" w:rsidRPr="005F15DA" w:rsidRDefault="009C56AA" w:rsidP="009C56AA">
      <w:pPr>
        <w:pStyle w:val="berschrift5"/>
      </w:pPr>
      <w:r w:rsidRPr="005F15DA">
        <w:t>c.</w:t>
      </w:r>
      <w:r w:rsidRPr="005F15DA">
        <w:tab/>
        <w:t>Anmerkungen</w:t>
      </w:r>
    </w:p>
    <w:p w:rsidR="00A52E66" w:rsidRPr="005F15DA" w:rsidRDefault="00A52E66" w:rsidP="009C56AA">
      <w:pPr>
        <w:tabs>
          <w:tab w:val="left" w:pos="851"/>
        </w:tabs>
        <w:spacing w:line="240" w:lineRule="auto"/>
        <w:ind w:left="851"/>
        <w:jc w:val="both"/>
        <w:rPr>
          <w:rFonts w:cs="Arial"/>
          <w:szCs w:val="22"/>
        </w:rPr>
      </w:pPr>
      <w:r w:rsidRPr="005F15DA">
        <w:rPr>
          <w:rFonts w:cs="Arial"/>
          <w:szCs w:val="22"/>
        </w:rPr>
        <w:t>Als Anmerkungen können im Grundbuch eingetragen werden:</w:t>
      </w:r>
    </w:p>
    <w:p w:rsidR="009C56AA" w:rsidRPr="005F15DA" w:rsidRDefault="009C56AA" w:rsidP="009C56AA">
      <w:pPr>
        <w:tabs>
          <w:tab w:val="left" w:pos="851"/>
        </w:tabs>
        <w:spacing w:line="240" w:lineRule="auto"/>
        <w:ind w:left="851"/>
        <w:jc w:val="both"/>
        <w:rPr>
          <w:rFonts w:cs="Arial"/>
          <w:szCs w:val="22"/>
        </w:rPr>
      </w:pPr>
    </w:p>
    <w:p w:rsidR="00A52E66" w:rsidRPr="005F15DA" w:rsidRDefault="00A52E66" w:rsidP="009C56AA">
      <w:pPr>
        <w:tabs>
          <w:tab w:val="left" w:pos="851"/>
        </w:tabs>
        <w:spacing w:line="240" w:lineRule="auto"/>
        <w:ind w:left="851"/>
        <w:jc w:val="both"/>
        <w:rPr>
          <w:rFonts w:cs="Arial"/>
          <w:szCs w:val="22"/>
        </w:rPr>
      </w:pPr>
      <w:r w:rsidRPr="005F15DA">
        <w:rPr>
          <w:rFonts w:cs="Arial"/>
          <w:b/>
          <w:szCs w:val="22"/>
        </w:rPr>
        <w:t>Öffentlich-rechtliche Beschränkungen</w:t>
      </w:r>
      <w:r w:rsidRPr="005F15DA">
        <w:rPr>
          <w:rFonts w:cs="Arial"/>
          <w:szCs w:val="22"/>
        </w:rPr>
        <w:t xml:space="preserve"> (Art. 962 ZGB), d.h.  dauerhafte Nutzungs- oder Verfügungsbeschränkung, grundstücksbezogene Pflichten.</w:t>
      </w:r>
    </w:p>
    <w:p w:rsidR="009C56AA" w:rsidRPr="005F15DA" w:rsidRDefault="009C56AA" w:rsidP="009C56AA">
      <w:pPr>
        <w:tabs>
          <w:tab w:val="left" w:pos="851"/>
        </w:tabs>
        <w:spacing w:line="240" w:lineRule="auto"/>
        <w:ind w:left="851"/>
        <w:jc w:val="both"/>
        <w:rPr>
          <w:rFonts w:cs="Arial"/>
          <w:szCs w:val="22"/>
        </w:rPr>
      </w:pPr>
    </w:p>
    <w:p w:rsidR="00A52E66" w:rsidRPr="005F15DA" w:rsidRDefault="00A52E66" w:rsidP="009C56AA">
      <w:pPr>
        <w:tabs>
          <w:tab w:val="left" w:pos="851"/>
        </w:tabs>
        <w:spacing w:line="240" w:lineRule="auto"/>
        <w:ind w:left="851"/>
        <w:jc w:val="both"/>
        <w:rPr>
          <w:rFonts w:cs="Arial"/>
          <w:szCs w:val="22"/>
        </w:rPr>
      </w:pPr>
      <w:r w:rsidRPr="005F15DA">
        <w:rPr>
          <w:rFonts w:cs="Arial"/>
          <w:b/>
          <w:szCs w:val="22"/>
        </w:rPr>
        <w:t>Vertretungen</w:t>
      </w:r>
      <w:r w:rsidRPr="005F15DA">
        <w:rPr>
          <w:rFonts w:cs="Arial"/>
          <w:szCs w:val="22"/>
        </w:rPr>
        <w:t xml:space="preserve"> (Art. 962a ZGB), d.h. der gesetzliche Vertreter, der Erbschaftsverwa</w:t>
      </w:r>
      <w:r w:rsidRPr="005F15DA">
        <w:rPr>
          <w:rFonts w:cs="Arial"/>
          <w:szCs w:val="22"/>
        </w:rPr>
        <w:t>l</w:t>
      </w:r>
      <w:r w:rsidRPr="005F15DA">
        <w:rPr>
          <w:rFonts w:cs="Arial"/>
          <w:szCs w:val="22"/>
        </w:rPr>
        <w:t>ter usw., der Vertreter eines unauffindbaren Eigentümers usw., der Vertreter einer j</w:t>
      </w:r>
      <w:r w:rsidRPr="005F15DA">
        <w:rPr>
          <w:rFonts w:cs="Arial"/>
          <w:szCs w:val="22"/>
        </w:rPr>
        <w:t>u</w:t>
      </w:r>
      <w:r w:rsidRPr="005F15DA">
        <w:rPr>
          <w:rFonts w:cs="Arial"/>
          <w:szCs w:val="22"/>
        </w:rPr>
        <w:t>ristischen Person usw., der Verwalter der StWE-Gemeinschaft</w:t>
      </w:r>
      <w:r w:rsidR="009D6177" w:rsidRPr="005F15DA">
        <w:rPr>
          <w:rFonts w:cs="Arial"/>
          <w:szCs w:val="22"/>
        </w:rPr>
        <w:t>.</w:t>
      </w:r>
    </w:p>
    <w:p w:rsidR="009D6177" w:rsidRPr="005F15DA" w:rsidRDefault="009D6177" w:rsidP="009C56AA">
      <w:pPr>
        <w:tabs>
          <w:tab w:val="left" w:pos="851"/>
        </w:tabs>
        <w:spacing w:line="240" w:lineRule="auto"/>
        <w:ind w:left="851"/>
        <w:jc w:val="both"/>
        <w:rPr>
          <w:rFonts w:cs="Arial"/>
          <w:szCs w:val="22"/>
        </w:rPr>
      </w:pPr>
    </w:p>
    <w:p w:rsidR="000F5C64" w:rsidRPr="005F15DA" w:rsidRDefault="000F5C64" w:rsidP="009C56AA">
      <w:pPr>
        <w:tabs>
          <w:tab w:val="left" w:pos="851"/>
        </w:tabs>
        <w:spacing w:line="240" w:lineRule="auto"/>
        <w:ind w:left="851"/>
        <w:jc w:val="both"/>
        <w:rPr>
          <w:rFonts w:cs="Arial"/>
          <w:szCs w:val="22"/>
        </w:rPr>
      </w:pPr>
      <w:r w:rsidRPr="005F15DA">
        <w:rPr>
          <w:rFonts w:cs="Arial"/>
          <w:szCs w:val="22"/>
        </w:rPr>
        <w:t>Die Anmerkungen haben grundsätzlich nicht rechtsbegründende Wirkung. Die a</w:t>
      </w:r>
      <w:r w:rsidRPr="005F15DA">
        <w:rPr>
          <w:rFonts w:cs="Arial"/>
          <w:szCs w:val="22"/>
        </w:rPr>
        <w:t>n</w:t>
      </w:r>
      <w:r w:rsidRPr="005F15DA">
        <w:rPr>
          <w:rFonts w:cs="Arial"/>
          <w:szCs w:val="22"/>
        </w:rPr>
        <w:t>zumerkenden Rechtsverhältnisse sind bereits vorher wirksam; sie werden durch die Anmerkung lediglich besonders hervorgehoben und sollen allen interessierten Pe</w:t>
      </w:r>
      <w:r w:rsidRPr="005F15DA">
        <w:rPr>
          <w:rFonts w:cs="Arial"/>
          <w:szCs w:val="22"/>
        </w:rPr>
        <w:t>r</w:t>
      </w:r>
      <w:r w:rsidRPr="005F15DA">
        <w:rPr>
          <w:rFonts w:cs="Arial"/>
          <w:szCs w:val="22"/>
        </w:rPr>
        <w:t>sonen dadurch zur Kenntnis gebracht werden (Orientierungscharakter).</w:t>
      </w:r>
    </w:p>
    <w:p w:rsidR="000F5C64" w:rsidRPr="005F15DA" w:rsidRDefault="000F5C64" w:rsidP="009C56AA">
      <w:pPr>
        <w:tabs>
          <w:tab w:val="left" w:pos="851"/>
        </w:tabs>
        <w:spacing w:line="240" w:lineRule="auto"/>
        <w:ind w:left="851"/>
        <w:jc w:val="both"/>
        <w:rPr>
          <w:rFonts w:cs="Arial"/>
          <w:szCs w:val="22"/>
        </w:rPr>
      </w:pPr>
    </w:p>
    <w:p w:rsidR="000F5C64" w:rsidRPr="005F15DA" w:rsidRDefault="000F5C64" w:rsidP="009C56AA">
      <w:pPr>
        <w:tabs>
          <w:tab w:val="left" w:pos="851"/>
        </w:tabs>
        <w:spacing w:line="240" w:lineRule="auto"/>
        <w:ind w:left="851"/>
        <w:jc w:val="both"/>
        <w:rPr>
          <w:rFonts w:cs="Arial"/>
          <w:szCs w:val="22"/>
        </w:rPr>
      </w:pPr>
      <w:r w:rsidRPr="005F15DA">
        <w:rPr>
          <w:rFonts w:cs="Arial"/>
          <w:szCs w:val="22"/>
        </w:rPr>
        <w:t>Beispiele von Anmerkungen:</w:t>
      </w:r>
    </w:p>
    <w:p w:rsidR="000F5C64" w:rsidRPr="005F15DA" w:rsidRDefault="000F5C64" w:rsidP="009D34F3">
      <w:pPr>
        <w:pStyle w:val="Listenabsatz"/>
        <w:numPr>
          <w:ilvl w:val="0"/>
          <w:numId w:val="24"/>
        </w:numPr>
        <w:spacing w:line="240" w:lineRule="auto"/>
        <w:ind w:left="1134" w:hanging="283"/>
        <w:jc w:val="both"/>
        <w:rPr>
          <w:rFonts w:cs="Arial"/>
          <w:szCs w:val="22"/>
        </w:rPr>
      </w:pPr>
      <w:r w:rsidRPr="005F15DA">
        <w:rPr>
          <w:rFonts w:cs="Arial"/>
          <w:szCs w:val="22"/>
        </w:rPr>
        <w:t>Nutzungs- und Verwaltungsordnung beim Miteigentum,</w:t>
      </w:r>
    </w:p>
    <w:p w:rsidR="000F5C64" w:rsidRPr="005F15DA" w:rsidRDefault="000F5C64" w:rsidP="009D34F3">
      <w:pPr>
        <w:pStyle w:val="Listenabsatz"/>
        <w:numPr>
          <w:ilvl w:val="0"/>
          <w:numId w:val="24"/>
        </w:numPr>
        <w:spacing w:line="240" w:lineRule="auto"/>
        <w:ind w:left="1134" w:hanging="283"/>
        <w:jc w:val="both"/>
        <w:rPr>
          <w:rFonts w:cs="Arial"/>
          <w:szCs w:val="22"/>
        </w:rPr>
      </w:pPr>
      <w:r w:rsidRPr="005F15DA">
        <w:rPr>
          <w:rFonts w:cs="Arial"/>
          <w:szCs w:val="22"/>
        </w:rPr>
        <w:t>Reglement der Stockwerkeigentümergemeinschaft,</w:t>
      </w:r>
    </w:p>
    <w:p w:rsidR="000F5C64" w:rsidRPr="005F15DA" w:rsidRDefault="000F5C64" w:rsidP="009D34F3">
      <w:pPr>
        <w:pStyle w:val="Listenabsatz"/>
        <w:numPr>
          <w:ilvl w:val="0"/>
          <w:numId w:val="24"/>
        </w:numPr>
        <w:spacing w:line="240" w:lineRule="auto"/>
        <w:ind w:left="1134" w:hanging="283"/>
        <w:jc w:val="both"/>
        <w:rPr>
          <w:rFonts w:cs="Arial"/>
          <w:szCs w:val="22"/>
        </w:rPr>
      </w:pPr>
      <w:r w:rsidRPr="005F15DA">
        <w:rPr>
          <w:rFonts w:cs="Arial"/>
          <w:szCs w:val="22"/>
        </w:rPr>
        <w:t>Zugehör,</w:t>
      </w:r>
    </w:p>
    <w:p w:rsidR="000F5C64" w:rsidRPr="005F15DA" w:rsidRDefault="000F5C64" w:rsidP="009D34F3">
      <w:pPr>
        <w:pStyle w:val="Listenabsatz"/>
        <w:numPr>
          <w:ilvl w:val="0"/>
          <w:numId w:val="24"/>
        </w:numPr>
        <w:spacing w:line="240" w:lineRule="auto"/>
        <w:ind w:left="1134" w:hanging="283"/>
        <w:jc w:val="both"/>
        <w:rPr>
          <w:rFonts w:cs="Arial"/>
          <w:szCs w:val="22"/>
        </w:rPr>
      </w:pPr>
      <w:r w:rsidRPr="005F15DA">
        <w:rPr>
          <w:rFonts w:cs="Arial"/>
          <w:szCs w:val="22"/>
        </w:rPr>
        <w:t>Konkurs oder Nachlassstundung,</w:t>
      </w:r>
    </w:p>
    <w:p w:rsidR="000F5C64" w:rsidRPr="005F15DA" w:rsidRDefault="000F5C64" w:rsidP="009D34F3">
      <w:pPr>
        <w:pStyle w:val="Listenabsatz"/>
        <w:numPr>
          <w:ilvl w:val="0"/>
          <w:numId w:val="24"/>
        </w:numPr>
        <w:spacing w:line="240" w:lineRule="auto"/>
        <w:ind w:left="1134" w:hanging="283"/>
        <w:jc w:val="both"/>
        <w:rPr>
          <w:rFonts w:cs="Arial"/>
          <w:szCs w:val="22"/>
        </w:rPr>
      </w:pPr>
      <w:r w:rsidRPr="005F15DA">
        <w:rPr>
          <w:rFonts w:cs="Arial"/>
          <w:szCs w:val="22"/>
        </w:rPr>
        <w:t>Triangulationspunkte,</w:t>
      </w:r>
    </w:p>
    <w:p w:rsidR="000F5C64" w:rsidRPr="005F15DA" w:rsidRDefault="000F5C64" w:rsidP="009D34F3">
      <w:pPr>
        <w:pStyle w:val="Listenabsatz"/>
        <w:numPr>
          <w:ilvl w:val="0"/>
          <w:numId w:val="24"/>
        </w:numPr>
        <w:spacing w:line="240" w:lineRule="auto"/>
        <w:ind w:left="1134" w:hanging="283"/>
        <w:jc w:val="both"/>
        <w:rPr>
          <w:rFonts w:cs="Arial"/>
          <w:szCs w:val="22"/>
        </w:rPr>
      </w:pPr>
      <w:r w:rsidRPr="005F15DA">
        <w:rPr>
          <w:rFonts w:cs="Arial"/>
          <w:szCs w:val="22"/>
        </w:rPr>
        <w:t>Anmerkungsgrundstücke,</w:t>
      </w:r>
    </w:p>
    <w:p w:rsidR="000F5C64" w:rsidRPr="005F15DA" w:rsidRDefault="000F5C64" w:rsidP="009D34F3">
      <w:pPr>
        <w:pStyle w:val="Listenabsatz"/>
        <w:numPr>
          <w:ilvl w:val="0"/>
          <w:numId w:val="24"/>
        </w:numPr>
        <w:spacing w:line="240" w:lineRule="auto"/>
        <w:ind w:left="1134" w:hanging="283"/>
        <w:jc w:val="both"/>
        <w:rPr>
          <w:rFonts w:cs="Arial"/>
          <w:szCs w:val="22"/>
        </w:rPr>
      </w:pPr>
      <w:r w:rsidRPr="005F15DA">
        <w:rPr>
          <w:rFonts w:cs="Arial"/>
          <w:szCs w:val="22"/>
        </w:rPr>
        <w:t>Grundbuchsperre,</w:t>
      </w:r>
    </w:p>
    <w:p w:rsidR="000F5C64" w:rsidRPr="005F15DA" w:rsidRDefault="000F5C64" w:rsidP="009D34F3">
      <w:pPr>
        <w:pStyle w:val="Listenabsatz"/>
        <w:numPr>
          <w:ilvl w:val="0"/>
          <w:numId w:val="24"/>
        </w:numPr>
        <w:spacing w:line="240" w:lineRule="auto"/>
        <w:ind w:left="1134" w:hanging="283"/>
        <w:jc w:val="both"/>
        <w:rPr>
          <w:rFonts w:cs="Arial"/>
          <w:szCs w:val="22"/>
        </w:rPr>
      </w:pPr>
      <w:r w:rsidRPr="005F15DA">
        <w:rPr>
          <w:rFonts w:cs="Arial"/>
          <w:szCs w:val="22"/>
        </w:rPr>
        <w:t>Veräusserungsbeschränkung gemäss BVG.</w:t>
      </w:r>
    </w:p>
    <w:p w:rsidR="000F5C64" w:rsidRPr="005F15DA" w:rsidRDefault="000F5C64" w:rsidP="00861D85">
      <w:pPr>
        <w:tabs>
          <w:tab w:val="left" w:pos="851"/>
        </w:tabs>
        <w:spacing w:line="240" w:lineRule="auto"/>
        <w:ind w:left="426"/>
        <w:jc w:val="both"/>
        <w:rPr>
          <w:rFonts w:cs="Arial"/>
          <w:szCs w:val="22"/>
        </w:rPr>
      </w:pPr>
    </w:p>
    <w:p w:rsidR="001F6801" w:rsidRPr="005F15DA" w:rsidRDefault="001F6801" w:rsidP="00861D85">
      <w:pPr>
        <w:tabs>
          <w:tab w:val="left" w:pos="851"/>
        </w:tabs>
        <w:spacing w:line="240" w:lineRule="auto"/>
        <w:ind w:left="426"/>
        <w:jc w:val="both"/>
        <w:rPr>
          <w:rFonts w:cs="Arial"/>
          <w:szCs w:val="22"/>
        </w:rPr>
      </w:pPr>
    </w:p>
    <w:p w:rsidR="001F6801" w:rsidRPr="005F15DA" w:rsidRDefault="001F6801" w:rsidP="001F6801">
      <w:pPr>
        <w:pStyle w:val="berschrift5"/>
      </w:pPr>
      <w:r w:rsidRPr="005F15DA">
        <w:t>d.</w:t>
      </w:r>
      <w:r w:rsidRPr="005F15DA">
        <w:tab/>
        <w:t>Voraussetzungen der Eintragung</w:t>
      </w:r>
    </w:p>
    <w:p w:rsidR="00A52E66" w:rsidRPr="005F15DA" w:rsidRDefault="009D6177" w:rsidP="001F6801">
      <w:pPr>
        <w:tabs>
          <w:tab w:val="left" w:pos="851"/>
        </w:tabs>
        <w:spacing w:line="240" w:lineRule="auto"/>
        <w:ind w:left="851"/>
        <w:jc w:val="both"/>
        <w:rPr>
          <w:rFonts w:cs="Arial"/>
          <w:szCs w:val="22"/>
        </w:rPr>
      </w:pPr>
      <w:r w:rsidRPr="005F15DA">
        <w:rPr>
          <w:rFonts w:cs="Arial"/>
          <w:szCs w:val="22"/>
        </w:rPr>
        <w:t>Die Eintragungen im Grundbuch erfolgen auf Grund (Art. 963 ZGB)</w:t>
      </w:r>
      <w:r w:rsidR="00A2301C" w:rsidRPr="005F15DA">
        <w:rPr>
          <w:rFonts w:cs="Arial"/>
          <w:szCs w:val="22"/>
        </w:rPr>
        <w:t>:</w:t>
      </w:r>
    </w:p>
    <w:p w:rsidR="009D6177" w:rsidRPr="005F15DA" w:rsidRDefault="009D6177" w:rsidP="009D34F3">
      <w:pPr>
        <w:pStyle w:val="Listenabsatz"/>
        <w:numPr>
          <w:ilvl w:val="0"/>
          <w:numId w:val="25"/>
        </w:numPr>
        <w:tabs>
          <w:tab w:val="left" w:pos="1134"/>
        </w:tabs>
        <w:spacing w:line="240" w:lineRule="auto"/>
        <w:ind w:left="1134" w:hanging="283"/>
        <w:jc w:val="both"/>
        <w:rPr>
          <w:rFonts w:cs="Arial"/>
          <w:szCs w:val="22"/>
        </w:rPr>
      </w:pPr>
      <w:r w:rsidRPr="005F15DA">
        <w:rPr>
          <w:rFonts w:cs="Arial"/>
          <w:szCs w:val="22"/>
        </w:rPr>
        <w:t>der schriftlichen Erklärung des Grundeigentümers, oder</w:t>
      </w:r>
    </w:p>
    <w:p w:rsidR="009D6177" w:rsidRPr="005F15DA" w:rsidRDefault="009D6177" w:rsidP="009D34F3">
      <w:pPr>
        <w:pStyle w:val="Listenabsatz"/>
        <w:numPr>
          <w:ilvl w:val="0"/>
          <w:numId w:val="25"/>
        </w:numPr>
        <w:tabs>
          <w:tab w:val="left" w:pos="1134"/>
        </w:tabs>
        <w:spacing w:line="240" w:lineRule="auto"/>
        <w:ind w:left="1134" w:hanging="283"/>
        <w:jc w:val="both"/>
        <w:rPr>
          <w:rFonts w:cs="Arial"/>
          <w:szCs w:val="22"/>
        </w:rPr>
      </w:pPr>
      <w:r w:rsidRPr="005F15DA">
        <w:rPr>
          <w:rFonts w:cs="Arial"/>
          <w:szCs w:val="22"/>
        </w:rPr>
        <w:t>einer Gesetzesvorschrift, oder</w:t>
      </w:r>
    </w:p>
    <w:p w:rsidR="009D6177" w:rsidRPr="005F15DA" w:rsidRDefault="009D6177" w:rsidP="009D34F3">
      <w:pPr>
        <w:pStyle w:val="Listenabsatz"/>
        <w:numPr>
          <w:ilvl w:val="0"/>
          <w:numId w:val="25"/>
        </w:numPr>
        <w:tabs>
          <w:tab w:val="left" w:pos="1134"/>
        </w:tabs>
        <w:spacing w:line="240" w:lineRule="auto"/>
        <w:ind w:left="1134" w:hanging="283"/>
        <w:jc w:val="both"/>
        <w:rPr>
          <w:rFonts w:cs="Arial"/>
          <w:szCs w:val="22"/>
        </w:rPr>
      </w:pPr>
      <w:r w:rsidRPr="005F15DA">
        <w:rPr>
          <w:rFonts w:cs="Arial"/>
          <w:szCs w:val="22"/>
        </w:rPr>
        <w:t>eines rechtskräftigen Urteils oder einer gleichwertigen Urkunde.</w:t>
      </w:r>
    </w:p>
    <w:p w:rsidR="009D6177" w:rsidRPr="005F15DA" w:rsidRDefault="009D6177" w:rsidP="00861D85">
      <w:pPr>
        <w:tabs>
          <w:tab w:val="left" w:pos="851"/>
        </w:tabs>
        <w:spacing w:line="240" w:lineRule="auto"/>
        <w:ind w:left="426"/>
        <w:jc w:val="both"/>
        <w:rPr>
          <w:rFonts w:cs="Arial"/>
          <w:szCs w:val="22"/>
        </w:rPr>
      </w:pPr>
    </w:p>
    <w:p w:rsidR="001F6801" w:rsidRPr="005F15DA" w:rsidRDefault="001F6801" w:rsidP="00861D85">
      <w:pPr>
        <w:tabs>
          <w:tab w:val="left" w:pos="851"/>
        </w:tabs>
        <w:spacing w:line="240" w:lineRule="auto"/>
        <w:ind w:left="426"/>
        <w:jc w:val="both"/>
        <w:rPr>
          <w:rFonts w:cs="Arial"/>
          <w:szCs w:val="22"/>
        </w:rPr>
      </w:pPr>
    </w:p>
    <w:p w:rsidR="001F6801" w:rsidRPr="005F15DA" w:rsidRDefault="001F6801" w:rsidP="001F6801">
      <w:pPr>
        <w:pStyle w:val="berschrift5"/>
      </w:pPr>
      <w:r w:rsidRPr="005F15DA">
        <w:t>e.</w:t>
      </w:r>
      <w:r w:rsidRPr="005F15DA">
        <w:tab/>
        <w:t>Löschung oder Abänderung eines Eintrages</w:t>
      </w:r>
    </w:p>
    <w:p w:rsidR="009D6177" w:rsidRPr="005F15DA" w:rsidRDefault="009D6177" w:rsidP="001F6801">
      <w:pPr>
        <w:tabs>
          <w:tab w:val="left" w:pos="851"/>
        </w:tabs>
        <w:spacing w:line="240" w:lineRule="auto"/>
        <w:ind w:left="851"/>
        <w:jc w:val="both"/>
        <w:rPr>
          <w:rFonts w:cs="Arial"/>
          <w:szCs w:val="22"/>
        </w:rPr>
      </w:pPr>
      <w:r w:rsidRPr="005F15DA">
        <w:rPr>
          <w:rFonts w:cs="Arial"/>
          <w:szCs w:val="22"/>
        </w:rPr>
        <w:t>Die Löschungen oder Abänderungen eines Eintrages müssen durch die schriftliche Erklärung des Berechtigten erfolgen (Art. 964 ZGB).</w:t>
      </w:r>
    </w:p>
    <w:p w:rsidR="009D6177" w:rsidRPr="005F15DA" w:rsidRDefault="009D6177" w:rsidP="00861D85">
      <w:pPr>
        <w:tabs>
          <w:tab w:val="left" w:pos="851"/>
        </w:tabs>
        <w:spacing w:line="240" w:lineRule="auto"/>
        <w:ind w:left="426"/>
        <w:jc w:val="both"/>
        <w:rPr>
          <w:rFonts w:cs="Arial"/>
          <w:szCs w:val="22"/>
        </w:rPr>
      </w:pPr>
    </w:p>
    <w:p w:rsidR="001F6801" w:rsidRPr="005F15DA" w:rsidRDefault="001F6801" w:rsidP="00861D85">
      <w:pPr>
        <w:tabs>
          <w:tab w:val="left" w:pos="851"/>
        </w:tabs>
        <w:spacing w:line="240" w:lineRule="auto"/>
        <w:ind w:left="426"/>
        <w:jc w:val="both"/>
        <w:rPr>
          <w:rFonts w:cs="Arial"/>
          <w:szCs w:val="22"/>
        </w:rPr>
      </w:pPr>
    </w:p>
    <w:p w:rsidR="001F6801" w:rsidRPr="005F15DA" w:rsidRDefault="001F6801" w:rsidP="001F6801">
      <w:pPr>
        <w:pStyle w:val="berschrift5"/>
      </w:pPr>
      <w:r w:rsidRPr="005F15DA">
        <w:t>f.</w:t>
      </w:r>
      <w:r w:rsidRPr="005F15DA">
        <w:tab/>
        <w:t>Verfügungsrecht, Tagebucheintrag</w:t>
      </w:r>
    </w:p>
    <w:p w:rsidR="009D6177" w:rsidRPr="005F15DA" w:rsidRDefault="009D6177" w:rsidP="001F6801">
      <w:pPr>
        <w:tabs>
          <w:tab w:val="left" w:pos="851"/>
        </w:tabs>
        <w:spacing w:line="240" w:lineRule="auto"/>
        <w:ind w:left="851"/>
        <w:jc w:val="both"/>
        <w:rPr>
          <w:rFonts w:cs="Arial"/>
          <w:szCs w:val="22"/>
        </w:rPr>
      </w:pPr>
      <w:r w:rsidRPr="005F15DA">
        <w:rPr>
          <w:rFonts w:cs="Arial"/>
          <w:szCs w:val="22"/>
        </w:rPr>
        <w:t>Grundbuchliche Verfügungen (Eintragung, Änderung, Löschung) werden nur auf Grund eines Ausweises über das Verfügungsrecht (der Anmelder ist Verfügungsb</w:t>
      </w:r>
      <w:r w:rsidRPr="005F15DA">
        <w:rPr>
          <w:rFonts w:cs="Arial"/>
          <w:szCs w:val="22"/>
        </w:rPr>
        <w:t>e</w:t>
      </w:r>
      <w:r w:rsidRPr="005F15DA">
        <w:rPr>
          <w:rFonts w:cs="Arial"/>
          <w:szCs w:val="22"/>
        </w:rPr>
        <w:t>rechtigt oder von diesem bevollmächtigt) und den Rechtsgrundausweis (Vertrag</w:t>
      </w:r>
      <w:r w:rsidR="00BE3DF7" w:rsidRPr="005F15DA">
        <w:rPr>
          <w:rFonts w:cs="Arial"/>
          <w:szCs w:val="22"/>
        </w:rPr>
        <w:t xml:space="preserve"> usw.) vorgenommen (Art. 965 ZGB).</w:t>
      </w:r>
    </w:p>
    <w:p w:rsidR="00BE3DF7" w:rsidRPr="005F15DA" w:rsidRDefault="00BE3DF7" w:rsidP="001F6801">
      <w:pPr>
        <w:tabs>
          <w:tab w:val="left" w:pos="851"/>
        </w:tabs>
        <w:spacing w:line="240" w:lineRule="auto"/>
        <w:ind w:left="851"/>
        <w:jc w:val="both"/>
        <w:rPr>
          <w:rFonts w:cs="Arial"/>
          <w:szCs w:val="22"/>
        </w:rPr>
      </w:pPr>
    </w:p>
    <w:p w:rsidR="00BE3DF7" w:rsidRPr="005F15DA" w:rsidRDefault="00744BA4" w:rsidP="001F6801">
      <w:pPr>
        <w:tabs>
          <w:tab w:val="left" w:pos="851"/>
        </w:tabs>
        <w:spacing w:line="240" w:lineRule="auto"/>
        <w:ind w:left="851"/>
        <w:jc w:val="both"/>
        <w:rPr>
          <w:rFonts w:cs="Arial"/>
          <w:szCs w:val="22"/>
        </w:rPr>
      </w:pPr>
      <w:r w:rsidRPr="005F15DA">
        <w:rPr>
          <w:rFonts w:cs="Arial"/>
          <w:szCs w:val="22"/>
        </w:rPr>
        <w:t xml:space="preserve">Die Eintragungen im Hauptbuch finden nach der Reihenfolge der Anmeldungen im Tagebuch statt. </w:t>
      </w:r>
    </w:p>
    <w:p w:rsidR="00744BA4" w:rsidRPr="005F15DA" w:rsidRDefault="00744BA4" w:rsidP="00861D85">
      <w:pPr>
        <w:tabs>
          <w:tab w:val="left" w:pos="851"/>
        </w:tabs>
        <w:spacing w:line="240" w:lineRule="auto"/>
        <w:ind w:left="426"/>
        <w:jc w:val="both"/>
        <w:rPr>
          <w:rFonts w:cs="Arial"/>
          <w:szCs w:val="22"/>
        </w:rPr>
      </w:pPr>
    </w:p>
    <w:p w:rsidR="001F6801" w:rsidRPr="005F15DA" w:rsidRDefault="001F6801" w:rsidP="00861D85">
      <w:pPr>
        <w:tabs>
          <w:tab w:val="left" w:pos="851"/>
        </w:tabs>
        <w:spacing w:line="240" w:lineRule="auto"/>
        <w:ind w:left="426"/>
        <w:jc w:val="both"/>
        <w:rPr>
          <w:rFonts w:cs="Arial"/>
          <w:szCs w:val="22"/>
        </w:rPr>
      </w:pPr>
    </w:p>
    <w:p w:rsidR="001F6801" w:rsidRPr="005F15DA" w:rsidRDefault="001F6801" w:rsidP="001F6801">
      <w:pPr>
        <w:pStyle w:val="berschrift5"/>
      </w:pPr>
      <w:r w:rsidRPr="005F15DA">
        <w:lastRenderedPageBreak/>
        <w:t>g.</w:t>
      </w:r>
      <w:r w:rsidRPr="005F15DA">
        <w:tab/>
        <w:t>Öffentlichkeit des Grundbuches</w:t>
      </w:r>
    </w:p>
    <w:p w:rsidR="00744BA4" w:rsidRPr="005F15DA" w:rsidRDefault="00744BA4" w:rsidP="001F6801">
      <w:pPr>
        <w:tabs>
          <w:tab w:val="left" w:pos="851"/>
        </w:tabs>
        <w:spacing w:line="240" w:lineRule="auto"/>
        <w:ind w:left="851"/>
        <w:jc w:val="both"/>
        <w:rPr>
          <w:rFonts w:cs="Arial"/>
          <w:szCs w:val="22"/>
        </w:rPr>
      </w:pPr>
      <w:r w:rsidRPr="005F15DA">
        <w:rPr>
          <w:rFonts w:cs="Arial"/>
          <w:b/>
          <w:szCs w:val="22"/>
        </w:rPr>
        <w:t>Das Grundbuch ist öffentlich</w:t>
      </w:r>
      <w:r w:rsidRPr="005F15DA">
        <w:rPr>
          <w:rFonts w:cs="Arial"/>
          <w:szCs w:val="22"/>
        </w:rPr>
        <w:t xml:space="preserve"> (Art. 970 ZGB). Jeder, der ein Interesse nachweist, hat Anspruch auf Einsicht in das Grundbuch. Ohne Nachweis des Interesses kann jedermann Auskunft verlangen über die Grundstücksnummer, die Grösse und Lage, den Eigentümer, die Eigentumsform und das Erwerbsdatum.</w:t>
      </w:r>
    </w:p>
    <w:p w:rsidR="009F26EB" w:rsidRPr="005F15DA" w:rsidRDefault="009F26EB" w:rsidP="001F6801">
      <w:pPr>
        <w:tabs>
          <w:tab w:val="left" w:pos="851"/>
        </w:tabs>
        <w:spacing w:line="240" w:lineRule="auto"/>
        <w:ind w:left="851"/>
        <w:jc w:val="both"/>
        <w:rPr>
          <w:rFonts w:cs="Arial"/>
          <w:szCs w:val="22"/>
        </w:rPr>
      </w:pPr>
    </w:p>
    <w:p w:rsidR="009F26EB" w:rsidRPr="005F15DA" w:rsidRDefault="009F26EB" w:rsidP="001F6801">
      <w:pPr>
        <w:tabs>
          <w:tab w:val="left" w:pos="851"/>
        </w:tabs>
        <w:spacing w:line="240" w:lineRule="auto"/>
        <w:ind w:left="851"/>
        <w:jc w:val="both"/>
        <w:rPr>
          <w:rFonts w:cs="Arial"/>
          <w:szCs w:val="22"/>
        </w:rPr>
      </w:pPr>
      <w:r w:rsidRPr="005F15DA">
        <w:rPr>
          <w:rFonts w:cs="Arial"/>
          <w:szCs w:val="22"/>
        </w:rPr>
        <w:t xml:space="preserve">Aus der Öffentlichkeit des Grundbuches ergibt sich auch das </w:t>
      </w:r>
      <w:r w:rsidRPr="005F15DA">
        <w:rPr>
          <w:rFonts w:cs="Arial"/>
          <w:b/>
          <w:szCs w:val="22"/>
        </w:rPr>
        <w:t>Prinzip des öffentl</w:t>
      </w:r>
      <w:r w:rsidRPr="005F15DA">
        <w:rPr>
          <w:rFonts w:cs="Arial"/>
          <w:b/>
          <w:szCs w:val="22"/>
        </w:rPr>
        <w:t>i</w:t>
      </w:r>
      <w:r w:rsidRPr="005F15DA">
        <w:rPr>
          <w:rFonts w:cs="Arial"/>
          <w:b/>
          <w:szCs w:val="22"/>
        </w:rPr>
        <w:t>chen Glaubens</w:t>
      </w:r>
      <w:r w:rsidRPr="005F15DA">
        <w:rPr>
          <w:rFonts w:cs="Arial"/>
          <w:szCs w:val="22"/>
        </w:rPr>
        <w:t xml:space="preserve">: "Die Einwendung, dass jemand eine Grundbucheintragung nicht gekannt habe, ist ausgeschlossen" (Art. 970 Abs. 4 ZGB). </w:t>
      </w:r>
    </w:p>
    <w:p w:rsidR="00BA3415" w:rsidRPr="005F15DA" w:rsidRDefault="00BA3415" w:rsidP="001F6801">
      <w:pPr>
        <w:tabs>
          <w:tab w:val="left" w:pos="851"/>
        </w:tabs>
        <w:spacing w:line="240" w:lineRule="auto"/>
        <w:ind w:left="851"/>
        <w:jc w:val="both"/>
        <w:rPr>
          <w:rFonts w:cs="Arial"/>
          <w:szCs w:val="22"/>
        </w:rPr>
      </w:pPr>
    </w:p>
    <w:p w:rsidR="00BA3415" w:rsidRPr="005F15DA" w:rsidRDefault="00BA3415" w:rsidP="001F6801">
      <w:pPr>
        <w:tabs>
          <w:tab w:val="left" w:pos="851"/>
        </w:tabs>
        <w:spacing w:line="240" w:lineRule="auto"/>
        <w:ind w:left="851"/>
        <w:jc w:val="both"/>
        <w:rPr>
          <w:rFonts w:cs="Arial"/>
          <w:szCs w:val="22"/>
        </w:rPr>
      </w:pPr>
      <w:r w:rsidRPr="005F15DA">
        <w:rPr>
          <w:rFonts w:cs="Arial"/>
          <w:szCs w:val="22"/>
        </w:rPr>
        <w:t xml:space="preserve">Die </w:t>
      </w:r>
      <w:r w:rsidRPr="005F15DA">
        <w:rPr>
          <w:rFonts w:cs="Arial"/>
          <w:b/>
          <w:szCs w:val="22"/>
        </w:rPr>
        <w:t>Wirkung</w:t>
      </w:r>
      <w:r w:rsidRPr="005F15DA">
        <w:rPr>
          <w:rFonts w:cs="Arial"/>
          <w:szCs w:val="22"/>
        </w:rPr>
        <w:t xml:space="preserve"> des Öffentlichkeitsprinzips ist eine doppelte:</w:t>
      </w:r>
    </w:p>
    <w:p w:rsidR="00BA3415" w:rsidRPr="005F15DA" w:rsidRDefault="00BA3415" w:rsidP="009D34F3">
      <w:pPr>
        <w:pStyle w:val="Listenabsatz"/>
        <w:numPr>
          <w:ilvl w:val="0"/>
          <w:numId w:val="34"/>
        </w:numPr>
        <w:tabs>
          <w:tab w:val="left" w:pos="851"/>
        </w:tabs>
        <w:spacing w:line="240" w:lineRule="auto"/>
        <w:ind w:hanging="295"/>
        <w:jc w:val="both"/>
        <w:rPr>
          <w:rFonts w:cs="Arial"/>
          <w:szCs w:val="22"/>
        </w:rPr>
      </w:pPr>
      <w:r w:rsidRPr="005F15DA">
        <w:rPr>
          <w:rFonts w:cs="Arial"/>
          <w:szCs w:val="22"/>
        </w:rPr>
        <w:t>Bedeutung der Nichteintragung (Art. 971 ZGB): Wenn für die Begründung eines dinglichen Rechts die Grundbucheintragung vorgesehen ist, besteht es nur, wenn es au</w:t>
      </w:r>
      <w:r w:rsidR="000F5C64" w:rsidRPr="005F15DA">
        <w:rPr>
          <w:rFonts w:cs="Arial"/>
          <w:szCs w:val="22"/>
        </w:rPr>
        <w:t>s dem Grundbuch ersichtlich ist (</w:t>
      </w:r>
      <w:r w:rsidR="000F5C64" w:rsidRPr="005F15DA">
        <w:rPr>
          <w:rFonts w:cs="Arial"/>
          <w:szCs w:val="22"/>
          <w:u w:val="single"/>
        </w:rPr>
        <w:t>Negative Rechtskraft</w:t>
      </w:r>
      <w:r w:rsidR="000F5C64" w:rsidRPr="005F15DA">
        <w:rPr>
          <w:rFonts w:cs="Arial"/>
          <w:szCs w:val="22"/>
        </w:rPr>
        <w:t>: was nicht eingetr</w:t>
      </w:r>
      <w:r w:rsidR="000F5C64" w:rsidRPr="005F15DA">
        <w:rPr>
          <w:rFonts w:cs="Arial"/>
          <w:szCs w:val="22"/>
        </w:rPr>
        <w:t>a</w:t>
      </w:r>
      <w:r w:rsidR="000F5C64" w:rsidRPr="005F15DA">
        <w:rPr>
          <w:rFonts w:cs="Arial"/>
          <w:szCs w:val="22"/>
        </w:rPr>
        <w:t>gen ist, besteht dinglich nicht).</w:t>
      </w:r>
    </w:p>
    <w:p w:rsidR="00BA3415" w:rsidRPr="005F15DA" w:rsidRDefault="00BA3415" w:rsidP="009D34F3">
      <w:pPr>
        <w:pStyle w:val="Listenabsatz"/>
        <w:numPr>
          <w:ilvl w:val="0"/>
          <w:numId w:val="34"/>
        </w:numPr>
        <w:tabs>
          <w:tab w:val="left" w:pos="851"/>
        </w:tabs>
        <w:spacing w:line="240" w:lineRule="auto"/>
        <w:ind w:hanging="295"/>
        <w:jc w:val="both"/>
        <w:rPr>
          <w:rFonts w:cs="Arial"/>
          <w:szCs w:val="22"/>
        </w:rPr>
      </w:pPr>
      <w:r w:rsidRPr="005F15DA">
        <w:rPr>
          <w:rFonts w:cs="Arial"/>
          <w:szCs w:val="22"/>
        </w:rPr>
        <w:t>Bedeutung des Eintrages (Art. 972 ZGB): die dinglichen Rechte entstehen erst (und erhalten ihren Rang) dur</w:t>
      </w:r>
      <w:r w:rsidR="000F5C64" w:rsidRPr="005F15DA">
        <w:rPr>
          <w:rFonts w:cs="Arial"/>
          <w:szCs w:val="22"/>
        </w:rPr>
        <w:t>ch die Eintragung im Grundbuch (</w:t>
      </w:r>
      <w:r w:rsidR="000F5C64" w:rsidRPr="005F15DA">
        <w:rPr>
          <w:rFonts w:cs="Arial"/>
          <w:szCs w:val="22"/>
          <w:u w:val="single"/>
        </w:rPr>
        <w:t>Positive Recht</w:t>
      </w:r>
      <w:r w:rsidR="000F5C64" w:rsidRPr="005F15DA">
        <w:rPr>
          <w:rFonts w:cs="Arial"/>
          <w:szCs w:val="22"/>
          <w:u w:val="single"/>
        </w:rPr>
        <w:t>s</w:t>
      </w:r>
      <w:r w:rsidR="000F5C64" w:rsidRPr="005F15DA">
        <w:rPr>
          <w:rFonts w:cs="Arial"/>
          <w:szCs w:val="22"/>
          <w:u w:val="single"/>
        </w:rPr>
        <w:t>kraft</w:t>
      </w:r>
      <w:r w:rsidR="000F5C64" w:rsidRPr="005F15DA">
        <w:rPr>
          <w:rFonts w:cs="Arial"/>
          <w:szCs w:val="22"/>
        </w:rPr>
        <w:t xml:space="preserve">: was im Grundbuch eingetragen ist, ist rechtswirksam). </w:t>
      </w:r>
      <w:r w:rsidRPr="005F15DA">
        <w:rPr>
          <w:rFonts w:cs="Arial"/>
          <w:szCs w:val="22"/>
          <w:u w:val="single"/>
        </w:rPr>
        <w:t xml:space="preserve">Der gutgläubige </w:t>
      </w:r>
      <w:r w:rsidR="00BE7060" w:rsidRPr="005F15DA">
        <w:rPr>
          <w:rFonts w:cs="Arial"/>
          <w:szCs w:val="22"/>
          <w:u w:val="single"/>
        </w:rPr>
        <w:t>Dri</w:t>
      </w:r>
      <w:r w:rsidR="00BE7060" w:rsidRPr="005F15DA">
        <w:rPr>
          <w:rFonts w:cs="Arial"/>
          <w:szCs w:val="22"/>
          <w:u w:val="single"/>
        </w:rPr>
        <w:t>t</w:t>
      </w:r>
      <w:r w:rsidR="00BE7060" w:rsidRPr="005F15DA">
        <w:rPr>
          <w:rFonts w:cs="Arial"/>
          <w:szCs w:val="22"/>
          <w:u w:val="single"/>
        </w:rPr>
        <w:t>te wird geschützt</w:t>
      </w:r>
      <w:r w:rsidR="00BE7060" w:rsidRPr="005F15DA">
        <w:rPr>
          <w:rFonts w:cs="Arial"/>
          <w:szCs w:val="22"/>
        </w:rPr>
        <w:t xml:space="preserve"> (Art. 973 ZGB) nicht aber der bösgläubige Dritte (Art. 974 ZGB).</w:t>
      </w:r>
    </w:p>
    <w:p w:rsidR="00383D9B" w:rsidRPr="005F15DA" w:rsidRDefault="00383D9B" w:rsidP="00861D85">
      <w:pPr>
        <w:spacing w:line="240" w:lineRule="auto"/>
        <w:jc w:val="both"/>
        <w:rPr>
          <w:rFonts w:cs="Arial"/>
          <w:szCs w:val="22"/>
        </w:rPr>
      </w:pPr>
    </w:p>
    <w:p w:rsidR="00520DAA" w:rsidRPr="005F15DA" w:rsidRDefault="00520DAA" w:rsidP="00861D85">
      <w:pPr>
        <w:spacing w:line="240" w:lineRule="auto"/>
        <w:jc w:val="both"/>
        <w:rPr>
          <w:rFonts w:cs="Arial"/>
          <w:szCs w:val="22"/>
        </w:rPr>
      </w:pPr>
    </w:p>
    <w:p w:rsidR="00520DAA" w:rsidRPr="005F15DA" w:rsidRDefault="00520DAA" w:rsidP="001F6801">
      <w:pPr>
        <w:pStyle w:val="berschrift4"/>
      </w:pPr>
      <w:r w:rsidRPr="005F15DA">
        <w:t>3.</w:t>
      </w:r>
      <w:r w:rsidRPr="005F15DA">
        <w:tab/>
        <w:t>Löschung und Änderung der Einträge</w:t>
      </w:r>
    </w:p>
    <w:p w:rsidR="00520DAA" w:rsidRPr="005F15DA" w:rsidRDefault="00520DAA" w:rsidP="00A8276A">
      <w:pPr>
        <w:pStyle w:val="berschrift5"/>
      </w:pPr>
      <w:r w:rsidRPr="005F15DA">
        <w:t>a.</w:t>
      </w:r>
      <w:r w:rsidRPr="005F15DA">
        <w:tab/>
        <w:t xml:space="preserve">Teilung des Grundstückes </w:t>
      </w:r>
    </w:p>
    <w:p w:rsidR="00520DAA" w:rsidRPr="005F15DA" w:rsidRDefault="00520DAA" w:rsidP="00A8276A">
      <w:pPr>
        <w:tabs>
          <w:tab w:val="left" w:pos="426"/>
          <w:tab w:val="left" w:pos="851"/>
        </w:tabs>
        <w:spacing w:line="240" w:lineRule="auto"/>
        <w:ind w:left="851" w:hanging="851"/>
        <w:jc w:val="both"/>
        <w:rPr>
          <w:rFonts w:cs="Arial"/>
          <w:szCs w:val="22"/>
        </w:rPr>
      </w:pPr>
      <w:r w:rsidRPr="005F15DA">
        <w:rPr>
          <w:rFonts w:cs="Arial"/>
          <w:szCs w:val="22"/>
        </w:rPr>
        <w:tab/>
      </w:r>
      <w:r w:rsidRPr="005F15DA">
        <w:rPr>
          <w:rFonts w:cs="Arial"/>
          <w:szCs w:val="22"/>
        </w:rPr>
        <w:tab/>
      </w:r>
      <w:r w:rsidR="001F6801" w:rsidRPr="005F15DA">
        <w:rPr>
          <w:rFonts w:cs="Arial"/>
          <w:szCs w:val="22"/>
        </w:rPr>
        <w:t xml:space="preserve">(Art. 974a ZGB) </w:t>
      </w:r>
      <w:r w:rsidRPr="005F15DA">
        <w:rPr>
          <w:rFonts w:cs="Arial"/>
          <w:szCs w:val="22"/>
        </w:rPr>
        <w:t>Bei der Teilung (Parzellierung) eines Grundstückes muss für jedes Teilstück das Bereinigungsverfahren durchgeführt werden, d.h. es müssen alle Dienstbarkeiten, Grundlasten, Grundpfandrechte, Vor- und Anmerkungen einzeln b</w:t>
      </w:r>
      <w:r w:rsidRPr="005F15DA">
        <w:rPr>
          <w:rFonts w:cs="Arial"/>
          <w:szCs w:val="22"/>
        </w:rPr>
        <w:t>e</w:t>
      </w:r>
      <w:r w:rsidRPr="005F15DA">
        <w:rPr>
          <w:rFonts w:cs="Arial"/>
          <w:szCs w:val="22"/>
        </w:rPr>
        <w:t>reinigt werden. Dies geschieht durch den Antrag des Grundeigentümers, welche Ei</w:t>
      </w:r>
      <w:r w:rsidRPr="005F15DA">
        <w:rPr>
          <w:rFonts w:cs="Arial"/>
          <w:szCs w:val="22"/>
        </w:rPr>
        <w:t>n</w:t>
      </w:r>
      <w:r w:rsidRPr="005F15DA">
        <w:rPr>
          <w:rFonts w:cs="Arial"/>
          <w:szCs w:val="22"/>
        </w:rPr>
        <w:t>träge zu löschen bzw. auf die Teilstücke zu übertragen sind; wenn der detaillierte B</w:t>
      </w:r>
      <w:r w:rsidRPr="005F15DA">
        <w:rPr>
          <w:rFonts w:cs="Arial"/>
          <w:szCs w:val="22"/>
        </w:rPr>
        <w:t>e</w:t>
      </w:r>
      <w:r w:rsidRPr="005F15DA">
        <w:rPr>
          <w:rFonts w:cs="Arial"/>
          <w:szCs w:val="22"/>
        </w:rPr>
        <w:t>reinigungsantrag fehlt, weist das Grundbuchamt die Parzellierung ab (das gleiche gilt, wenn pauschal alles auf die neuen Teilstücke zu übertragen ist).</w:t>
      </w:r>
    </w:p>
    <w:p w:rsidR="009805AC" w:rsidRDefault="009805AC" w:rsidP="00861D85">
      <w:pPr>
        <w:tabs>
          <w:tab w:val="left" w:pos="426"/>
          <w:tab w:val="left" w:pos="851"/>
        </w:tabs>
        <w:spacing w:line="240" w:lineRule="auto"/>
        <w:jc w:val="both"/>
        <w:rPr>
          <w:rFonts w:cs="Arial"/>
          <w:szCs w:val="22"/>
        </w:rPr>
      </w:pPr>
    </w:p>
    <w:p w:rsidR="00ED5466" w:rsidRPr="005F15DA" w:rsidRDefault="00ED5466" w:rsidP="00861D85">
      <w:pPr>
        <w:tabs>
          <w:tab w:val="left" w:pos="426"/>
          <w:tab w:val="left" w:pos="851"/>
        </w:tabs>
        <w:spacing w:line="240" w:lineRule="auto"/>
        <w:jc w:val="both"/>
        <w:rPr>
          <w:rFonts w:cs="Arial"/>
          <w:szCs w:val="22"/>
        </w:rPr>
      </w:pPr>
    </w:p>
    <w:p w:rsidR="009805AC" w:rsidRPr="005F15DA" w:rsidRDefault="009805AC" w:rsidP="00A8276A">
      <w:pPr>
        <w:pStyle w:val="berschrift5"/>
        <w:tabs>
          <w:tab w:val="left" w:pos="851"/>
        </w:tabs>
        <w:ind w:left="426" w:hanging="1"/>
      </w:pPr>
      <w:r w:rsidRPr="005F15DA">
        <w:tab/>
        <w:t>b.</w:t>
      </w:r>
      <w:r w:rsidRPr="005F15DA">
        <w:tab/>
        <w:t xml:space="preserve">Vereinigung von Grundstücken </w:t>
      </w:r>
    </w:p>
    <w:p w:rsidR="009805AC" w:rsidRDefault="009805AC" w:rsidP="00A8276A">
      <w:pPr>
        <w:tabs>
          <w:tab w:val="left" w:pos="426"/>
          <w:tab w:val="left" w:pos="851"/>
        </w:tabs>
        <w:spacing w:line="240" w:lineRule="auto"/>
        <w:ind w:left="851" w:hanging="851"/>
        <w:jc w:val="both"/>
        <w:rPr>
          <w:rFonts w:cs="Arial"/>
          <w:szCs w:val="22"/>
        </w:rPr>
      </w:pPr>
      <w:r w:rsidRPr="005F15DA">
        <w:rPr>
          <w:rFonts w:cs="Arial"/>
          <w:szCs w:val="22"/>
        </w:rPr>
        <w:tab/>
      </w:r>
      <w:r w:rsidRPr="005F15DA">
        <w:rPr>
          <w:rFonts w:cs="Arial"/>
          <w:szCs w:val="22"/>
        </w:rPr>
        <w:tab/>
      </w:r>
      <w:r w:rsidR="001F6801" w:rsidRPr="005F15DA">
        <w:rPr>
          <w:rFonts w:cs="Arial"/>
          <w:szCs w:val="22"/>
        </w:rPr>
        <w:t xml:space="preserve">(Art. 974b ZGB) </w:t>
      </w:r>
      <w:r w:rsidRPr="005F15DA">
        <w:rPr>
          <w:rFonts w:cs="Arial"/>
          <w:szCs w:val="22"/>
        </w:rPr>
        <w:t>Die zu vereinigenden Grundstücke müssen dem gleichen Eigent</w:t>
      </w:r>
      <w:r w:rsidRPr="005F15DA">
        <w:rPr>
          <w:rFonts w:cs="Arial"/>
          <w:szCs w:val="22"/>
        </w:rPr>
        <w:t>ü</w:t>
      </w:r>
      <w:r w:rsidRPr="005F15DA">
        <w:rPr>
          <w:rFonts w:cs="Arial"/>
          <w:szCs w:val="22"/>
        </w:rPr>
        <w:t>mer gehören.</w:t>
      </w:r>
    </w:p>
    <w:p w:rsidR="00ED5466" w:rsidRPr="005F15DA" w:rsidRDefault="00ED5466" w:rsidP="00A8276A">
      <w:pPr>
        <w:tabs>
          <w:tab w:val="left" w:pos="426"/>
          <w:tab w:val="left" w:pos="851"/>
        </w:tabs>
        <w:spacing w:line="240" w:lineRule="auto"/>
        <w:ind w:left="851" w:hanging="851"/>
        <w:jc w:val="both"/>
        <w:rPr>
          <w:rFonts w:cs="Arial"/>
          <w:szCs w:val="22"/>
        </w:rPr>
      </w:pPr>
    </w:p>
    <w:p w:rsidR="009805AC" w:rsidRDefault="009805AC" w:rsidP="00A8276A">
      <w:pPr>
        <w:tabs>
          <w:tab w:val="left" w:pos="426"/>
          <w:tab w:val="left" w:pos="851"/>
        </w:tabs>
        <w:spacing w:line="240" w:lineRule="auto"/>
        <w:ind w:left="851" w:hanging="851"/>
        <w:jc w:val="both"/>
        <w:rPr>
          <w:rFonts w:cs="Arial"/>
          <w:szCs w:val="22"/>
        </w:rPr>
      </w:pPr>
      <w:r w:rsidRPr="005F15DA">
        <w:rPr>
          <w:rFonts w:cs="Arial"/>
          <w:szCs w:val="22"/>
        </w:rPr>
        <w:tab/>
      </w:r>
      <w:r w:rsidRPr="005F15DA">
        <w:rPr>
          <w:rFonts w:cs="Arial"/>
          <w:szCs w:val="22"/>
        </w:rPr>
        <w:tab/>
        <w:t>Grundpfandrechte und Grundlasten können nur auf das vereinigte Grundstück übe</w:t>
      </w:r>
      <w:r w:rsidRPr="005F15DA">
        <w:rPr>
          <w:rFonts w:cs="Arial"/>
          <w:szCs w:val="22"/>
        </w:rPr>
        <w:t>r</w:t>
      </w:r>
      <w:r w:rsidRPr="005F15DA">
        <w:rPr>
          <w:rFonts w:cs="Arial"/>
          <w:szCs w:val="22"/>
        </w:rPr>
        <w:t>tragen werden, wenn der Gläubiger einwilligt. Bei Grundpfandrechten sind allenfalls die Ränge neu zu ordnen.</w:t>
      </w:r>
    </w:p>
    <w:p w:rsidR="00ED5466" w:rsidRPr="005F15DA" w:rsidRDefault="00ED5466" w:rsidP="00A8276A">
      <w:pPr>
        <w:tabs>
          <w:tab w:val="left" w:pos="426"/>
          <w:tab w:val="left" w:pos="851"/>
        </w:tabs>
        <w:spacing w:line="240" w:lineRule="auto"/>
        <w:ind w:left="851" w:hanging="851"/>
        <w:jc w:val="both"/>
        <w:rPr>
          <w:rFonts w:cs="Arial"/>
          <w:szCs w:val="22"/>
        </w:rPr>
      </w:pPr>
    </w:p>
    <w:p w:rsidR="009805AC" w:rsidRDefault="009805AC" w:rsidP="00A8276A">
      <w:pPr>
        <w:tabs>
          <w:tab w:val="left" w:pos="426"/>
          <w:tab w:val="left" w:pos="851"/>
        </w:tabs>
        <w:spacing w:line="240" w:lineRule="auto"/>
        <w:ind w:left="851" w:hanging="851"/>
        <w:jc w:val="both"/>
        <w:rPr>
          <w:rFonts w:cs="Arial"/>
          <w:szCs w:val="22"/>
        </w:rPr>
      </w:pPr>
      <w:r w:rsidRPr="005F15DA">
        <w:rPr>
          <w:rFonts w:cs="Arial"/>
          <w:szCs w:val="22"/>
        </w:rPr>
        <w:tab/>
      </w:r>
      <w:r w:rsidRPr="005F15DA">
        <w:rPr>
          <w:rFonts w:cs="Arial"/>
          <w:szCs w:val="22"/>
        </w:rPr>
        <w:tab/>
        <w:t>Sind Dienstbarkeiten, Vor- oder Anmerkungen zulasten der zu betroffenen Grundst</w:t>
      </w:r>
      <w:r w:rsidRPr="005F15DA">
        <w:rPr>
          <w:rFonts w:cs="Arial"/>
          <w:szCs w:val="22"/>
        </w:rPr>
        <w:t>ü</w:t>
      </w:r>
      <w:r w:rsidRPr="005F15DA">
        <w:rPr>
          <w:rFonts w:cs="Arial"/>
          <w:szCs w:val="22"/>
        </w:rPr>
        <w:t>cke eingetragen, müssen die Berechtigten einwilligen; wenn die Rechte der Berec</w:t>
      </w:r>
      <w:r w:rsidRPr="005F15DA">
        <w:rPr>
          <w:rFonts w:cs="Arial"/>
          <w:szCs w:val="22"/>
        </w:rPr>
        <w:t>h</w:t>
      </w:r>
      <w:r w:rsidRPr="005F15DA">
        <w:rPr>
          <w:rFonts w:cs="Arial"/>
          <w:szCs w:val="22"/>
        </w:rPr>
        <w:t>tigten durch die Vereinigung nicht beeinträchtigt werden, kann auf die Einwilligung verzichtet werden.</w:t>
      </w:r>
    </w:p>
    <w:p w:rsidR="00ED5466" w:rsidRPr="005F15DA" w:rsidRDefault="00ED5466" w:rsidP="00A8276A">
      <w:pPr>
        <w:tabs>
          <w:tab w:val="left" w:pos="426"/>
          <w:tab w:val="left" w:pos="851"/>
        </w:tabs>
        <w:spacing w:line="240" w:lineRule="auto"/>
        <w:ind w:left="851" w:hanging="851"/>
        <w:jc w:val="both"/>
        <w:rPr>
          <w:rFonts w:cs="Arial"/>
          <w:szCs w:val="22"/>
        </w:rPr>
      </w:pPr>
    </w:p>
    <w:p w:rsidR="009805AC" w:rsidRPr="005F15DA" w:rsidRDefault="009805AC" w:rsidP="00A8276A">
      <w:pPr>
        <w:tabs>
          <w:tab w:val="left" w:pos="426"/>
          <w:tab w:val="left" w:pos="851"/>
        </w:tabs>
        <w:spacing w:line="240" w:lineRule="auto"/>
        <w:ind w:left="851" w:hanging="851"/>
        <w:jc w:val="both"/>
        <w:rPr>
          <w:rFonts w:cs="Arial"/>
          <w:szCs w:val="22"/>
        </w:rPr>
      </w:pPr>
      <w:r w:rsidRPr="005F15DA">
        <w:rPr>
          <w:rFonts w:cs="Arial"/>
          <w:szCs w:val="22"/>
        </w:rPr>
        <w:tab/>
      </w:r>
      <w:r w:rsidRPr="005F15DA">
        <w:rPr>
          <w:rFonts w:cs="Arial"/>
          <w:szCs w:val="22"/>
        </w:rPr>
        <w:tab/>
        <w:t>Sind Dienstbarkeiten, Vor- oder Anmerkungen zugunsten der betroffenen Grundst</w:t>
      </w:r>
      <w:r w:rsidRPr="005F15DA">
        <w:rPr>
          <w:rFonts w:cs="Arial"/>
          <w:szCs w:val="22"/>
        </w:rPr>
        <w:t>ü</w:t>
      </w:r>
      <w:r w:rsidRPr="005F15DA">
        <w:rPr>
          <w:rFonts w:cs="Arial"/>
          <w:szCs w:val="22"/>
        </w:rPr>
        <w:t>cke eingetragen, müssen die Belasteten einwilligen; wenn sich die Belastung nicht vergrössert, kann auf die Einwilligung der belasteten Grundeigentümer verzichtet werden.</w:t>
      </w:r>
    </w:p>
    <w:p w:rsidR="00185D99" w:rsidRDefault="00185D99" w:rsidP="00861D85">
      <w:pPr>
        <w:tabs>
          <w:tab w:val="left" w:pos="426"/>
          <w:tab w:val="left" w:pos="851"/>
        </w:tabs>
        <w:spacing w:line="240" w:lineRule="auto"/>
        <w:jc w:val="both"/>
        <w:rPr>
          <w:rFonts w:cs="Arial"/>
          <w:szCs w:val="22"/>
        </w:rPr>
      </w:pPr>
    </w:p>
    <w:p w:rsidR="00ED5466" w:rsidRPr="005F15DA" w:rsidRDefault="00ED5466" w:rsidP="00861D85">
      <w:pPr>
        <w:tabs>
          <w:tab w:val="left" w:pos="426"/>
          <w:tab w:val="left" w:pos="851"/>
        </w:tabs>
        <w:spacing w:line="240" w:lineRule="auto"/>
        <w:jc w:val="both"/>
        <w:rPr>
          <w:rFonts w:cs="Arial"/>
          <w:szCs w:val="22"/>
        </w:rPr>
      </w:pPr>
    </w:p>
    <w:p w:rsidR="00185D99" w:rsidRPr="005F15DA" w:rsidRDefault="00185D99" w:rsidP="00A8276A">
      <w:pPr>
        <w:pStyle w:val="berschrift5"/>
      </w:pPr>
      <w:r w:rsidRPr="005F15DA">
        <w:lastRenderedPageBreak/>
        <w:t>c.</w:t>
      </w:r>
      <w:r w:rsidRPr="005F15DA">
        <w:tab/>
        <w:t xml:space="preserve">Ungerechtfertigter Eintrag </w:t>
      </w:r>
    </w:p>
    <w:p w:rsidR="00185D99" w:rsidRPr="005F15DA" w:rsidRDefault="00185D99" w:rsidP="00861D85">
      <w:pPr>
        <w:tabs>
          <w:tab w:val="left" w:pos="426"/>
          <w:tab w:val="left" w:pos="851"/>
        </w:tabs>
        <w:spacing w:line="240" w:lineRule="auto"/>
        <w:ind w:left="851" w:hanging="851"/>
        <w:jc w:val="both"/>
        <w:rPr>
          <w:rFonts w:cs="Arial"/>
          <w:szCs w:val="22"/>
        </w:rPr>
      </w:pPr>
      <w:r w:rsidRPr="005F15DA">
        <w:rPr>
          <w:rFonts w:cs="Arial"/>
          <w:szCs w:val="22"/>
        </w:rPr>
        <w:tab/>
      </w:r>
      <w:r w:rsidRPr="005F15DA">
        <w:rPr>
          <w:rFonts w:cs="Arial"/>
          <w:szCs w:val="22"/>
        </w:rPr>
        <w:tab/>
      </w:r>
      <w:r w:rsidR="001F6801" w:rsidRPr="005F15DA">
        <w:rPr>
          <w:rFonts w:cs="Arial"/>
          <w:szCs w:val="22"/>
        </w:rPr>
        <w:t xml:space="preserve">(Art. 975 ZGB) </w:t>
      </w:r>
      <w:r w:rsidRPr="005F15DA">
        <w:rPr>
          <w:rFonts w:cs="Arial"/>
          <w:szCs w:val="22"/>
        </w:rPr>
        <w:t>Wenn ein dingliches Recht ungerechtfertigt eingetragen ist, oder wenn ein richtiger Eintrag ungerechtfertigterweise gelöscht oder verändert worden ist, kann Jeder, der dadurch in seinen dinglichen Rechten verletzt ist, die Löschung oder Abänderung des Eintrages verlangen (Grundbuchberichtigungsklage</w:t>
      </w:r>
      <w:r w:rsidR="00765B7D" w:rsidRPr="005F15DA">
        <w:rPr>
          <w:rFonts w:cs="Arial"/>
          <w:szCs w:val="22"/>
        </w:rPr>
        <w:t>, siehe auch Art. 977 ZGB)</w:t>
      </w:r>
      <w:r w:rsidRPr="005F15DA">
        <w:rPr>
          <w:rFonts w:cs="Arial"/>
          <w:szCs w:val="22"/>
        </w:rPr>
        <w:t>.</w:t>
      </w:r>
    </w:p>
    <w:p w:rsidR="00185D99" w:rsidRDefault="00185D99" w:rsidP="00861D85">
      <w:pPr>
        <w:tabs>
          <w:tab w:val="left" w:pos="426"/>
          <w:tab w:val="left" w:pos="851"/>
        </w:tabs>
        <w:spacing w:line="240" w:lineRule="auto"/>
        <w:jc w:val="both"/>
        <w:rPr>
          <w:rFonts w:cs="Arial"/>
          <w:szCs w:val="22"/>
        </w:rPr>
      </w:pPr>
    </w:p>
    <w:p w:rsidR="00ED5466" w:rsidRPr="005F15DA" w:rsidRDefault="00ED5466" w:rsidP="00861D85">
      <w:pPr>
        <w:tabs>
          <w:tab w:val="left" w:pos="426"/>
          <w:tab w:val="left" w:pos="851"/>
        </w:tabs>
        <w:spacing w:line="240" w:lineRule="auto"/>
        <w:jc w:val="both"/>
        <w:rPr>
          <w:rFonts w:cs="Arial"/>
          <w:szCs w:val="22"/>
        </w:rPr>
      </w:pPr>
    </w:p>
    <w:p w:rsidR="00185D99" w:rsidRPr="005F15DA" w:rsidRDefault="00185D99" w:rsidP="00A8276A">
      <w:pPr>
        <w:pStyle w:val="berschrift5"/>
      </w:pPr>
      <w:r w:rsidRPr="005F15DA">
        <w:t>d.</w:t>
      </w:r>
      <w:r w:rsidRPr="005F15DA">
        <w:tab/>
        <w:t xml:space="preserve">Erleichterte Löschung </w:t>
      </w:r>
    </w:p>
    <w:p w:rsidR="00185D99" w:rsidRPr="005F15DA" w:rsidRDefault="00185D99" w:rsidP="00861D85">
      <w:pPr>
        <w:tabs>
          <w:tab w:val="left" w:pos="426"/>
          <w:tab w:val="left" w:pos="851"/>
        </w:tabs>
        <w:spacing w:line="240" w:lineRule="auto"/>
        <w:ind w:left="851" w:hanging="851"/>
        <w:jc w:val="both"/>
        <w:rPr>
          <w:rFonts w:cs="Arial"/>
          <w:szCs w:val="22"/>
        </w:rPr>
      </w:pPr>
      <w:r w:rsidRPr="005F15DA">
        <w:rPr>
          <w:rFonts w:cs="Arial"/>
          <w:szCs w:val="22"/>
        </w:rPr>
        <w:tab/>
      </w:r>
      <w:r w:rsidRPr="005F15DA">
        <w:rPr>
          <w:rFonts w:cs="Arial"/>
          <w:szCs w:val="22"/>
        </w:rPr>
        <w:tab/>
      </w:r>
      <w:r w:rsidR="00A8276A" w:rsidRPr="005F15DA">
        <w:rPr>
          <w:rFonts w:cs="Arial"/>
          <w:szCs w:val="22"/>
        </w:rPr>
        <w:t xml:space="preserve">(Art. 976 ZGB) </w:t>
      </w:r>
      <w:r w:rsidRPr="005F15DA">
        <w:rPr>
          <w:rFonts w:cs="Arial"/>
          <w:szCs w:val="22"/>
        </w:rPr>
        <w:t xml:space="preserve">Das Grundbuchamt kann </w:t>
      </w:r>
      <w:r w:rsidRPr="005F15DA">
        <w:rPr>
          <w:rFonts w:cs="Arial"/>
          <w:szCs w:val="22"/>
          <w:u w:val="single"/>
        </w:rPr>
        <w:t>zweifelsfrei bedeutungslose Einträge</w:t>
      </w:r>
      <w:r w:rsidRPr="005F15DA">
        <w:rPr>
          <w:rFonts w:cs="Arial"/>
          <w:szCs w:val="22"/>
        </w:rPr>
        <w:t xml:space="preserve"> von Amtes wegen löschen. Dabei handelt es sich um </w:t>
      </w:r>
    </w:p>
    <w:p w:rsidR="00185D99" w:rsidRPr="005F15DA" w:rsidRDefault="00185D99" w:rsidP="00ED5466">
      <w:pPr>
        <w:tabs>
          <w:tab w:val="left" w:pos="426"/>
          <w:tab w:val="left" w:pos="851"/>
          <w:tab w:val="left" w:pos="1134"/>
        </w:tabs>
        <w:spacing w:line="240" w:lineRule="auto"/>
        <w:jc w:val="both"/>
        <w:rPr>
          <w:rFonts w:cs="Arial"/>
          <w:szCs w:val="22"/>
        </w:rPr>
      </w:pPr>
      <w:r w:rsidRPr="005F15DA">
        <w:rPr>
          <w:rFonts w:cs="Arial"/>
          <w:szCs w:val="22"/>
        </w:rPr>
        <w:tab/>
      </w:r>
      <w:r w:rsidRPr="005F15DA">
        <w:rPr>
          <w:rFonts w:cs="Arial"/>
          <w:szCs w:val="22"/>
        </w:rPr>
        <w:tab/>
      </w:r>
      <w:r w:rsidR="00ED5466">
        <w:rPr>
          <w:rFonts w:cs="Arial"/>
          <w:szCs w:val="22"/>
        </w:rPr>
        <w:t>-</w:t>
      </w:r>
      <w:r w:rsidR="00ED5466">
        <w:rPr>
          <w:rFonts w:cs="Arial"/>
          <w:szCs w:val="22"/>
        </w:rPr>
        <w:tab/>
      </w:r>
      <w:r w:rsidRPr="005F15DA">
        <w:rPr>
          <w:rFonts w:cs="Arial"/>
          <w:szCs w:val="22"/>
        </w:rPr>
        <w:t xml:space="preserve">befristete Einträge, für welche die Frist abgelaufen ist, </w:t>
      </w:r>
    </w:p>
    <w:p w:rsidR="00185D99" w:rsidRPr="005F15DA" w:rsidRDefault="00185D99" w:rsidP="00ED5466">
      <w:pPr>
        <w:tabs>
          <w:tab w:val="left" w:pos="426"/>
          <w:tab w:val="left" w:pos="851"/>
          <w:tab w:val="left" w:pos="1134"/>
        </w:tabs>
        <w:spacing w:line="240" w:lineRule="auto"/>
        <w:jc w:val="both"/>
        <w:rPr>
          <w:rFonts w:cs="Arial"/>
          <w:szCs w:val="22"/>
        </w:rPr>
      </w:pPr>
      <w:r w:rsidRPr="005F15DA">
        <w:rPr>
          <w:rFonts w:cs="Arial"/>
          <w:szCs w:val="22"/>
        </w:rPr>
        <w:tab/>
      </w:r>
      <w:r w:rsidRPr="005F15DA">
        <w:rPr>
          <w:rFonts w:cs="Arial"/>
          <w:szCs w:val="22"/>
        </w:rPr>
        <w:tab/>
      </w:r>
      <w:r w:rsidR="00ED5466">
        <w:rPr>
          <w:rFonts w:cs="Arial"/>
          <w:szCs w:val="22"/>
        </w:rPr>
        <w:t>-</w:t>
      </w:r>
      <w:r w:rsidR="00ED5466">
        <w:rPr>
          <w:rFonts w:cs="Arial"/>
          <w:szCs w:val="22"/>
        </w:rPr>
        <w:tab/>
      </w:r>
      <w:r w:rsidRPr="005F15DA">
        <w:rPr>
          <w:rFonts w:cs="Arial"/>
          <w:szCs w:val="22"/>
        </w:rPr>
        <w:t xml:space="preserve">unübertragbare und unvererbliche Rechte von verstorbenen Personen, </w:t>
      </w:r>
    </w:p>
    <w:p w:rsidR="00185D99" w:rsidRPr="005F15DA" w:rsidRDefault="00185D99" w:rsidP="00ED5466">
      <w:pPr>
        <w:tabs>
          <w:tab w:val="left" w:pos="426"/>
          <w:tab w:val="left" w:pos="851"/>
          <w:tab w:val="left" w:pos="1134"/>
        </w:tabs>
        <w:spacing w:line="240" w:lineRule="auto"/>
        <w:ind w:left="1134" w:hanging="1134"/>
        <w:jc w:val="both"/>
        <w:rPr>
          <w:rFonts w:cs="Arial"/>
          <w:szCs w:val="22"/>
        </w:rPr>
      </w:pPr>
      <w:r w:rsidRPr="005F15DA">
        <w:rPr>
          <w:rFonts w:cs="Arial"/>
          <w:szCs w:val="22"/>
        </w:rPr>
        <w:tab/>
      </w:r>
      <w:r w:rsidRPr="005F15DA">
        <w:rPr>
          <w:rFonts w:cs="Arial"/>
          <w:szCs w:val="22"/>
        </w:rPr>
        <w:tab/>
      </w:r>
      <w:r w:rsidR="00ED5466">
        <w:rPr>
          <w:rFonts w:cs="Arial"/>
          <w:szCs w:val="22"/>
        </w:rPr>
        <w:t>-</w:t>
      </w:r>
      <w:r w:rsidR="00ED5466">
        <w:rPr>
          <w:rFonts w:cs="Arial"/>
          <w:szCs w:val="22"/>
        </w:rPr>
        <w:tab/>
      </w:r>
      <w:r w:rsidRPr="005F15DA">
        <w:rPr>
          <w:rFonts w:cs="Arial"/>
          <w:szCs w:val="22"/>
        </w:rPr>
        <w:t>Einträge, welche das Grundstück wegen der örtlichen Lage nicht betreffen kö</w:t>
      </w:r>
      <w:r w:rsidRPr="005F15DA">
        <w:rPr>
          <w:rFonts w:cs="Arial"/>
          <w:szCs w:val="22"/>
        </w:rPr>
        <w:t>n</w:t>
      </w:r>
      <w:r w:rsidRPr="005F15DA">
        <w:rPr>
          <w:rFonts w:cs="Arial"/>
          <w:szCs w:val="22"/>
        </w:rPr>
        <w:t>nen,</w:t>
      </w:r>
    </w:p>
    <w:p w:rsidR="00185D99" w:rsidRDefault="00185D99" w:rsidP="00ED5466">
      <w:pPr>
        <w:tabs>
          <w:tab w:val="left" w:pos="426"/>
          <w:tab w:val="left" w:pos="851"/>
          <w:tab w:val="left" w:pos="1134"/>
        </w:tabs>
        <w:spacing w:line="240" w:lineRule="auto"/>
        <w:jc w:val="both"/>
        <w:rPr>
          <w:rFonts w:cs="Arial"/>
          <w:szCs w:val="22"/>
        </w:rPr>
      </w:pPr>
      <w:r w:rsidRPr="005F15DA">
        <w:rPr>
          <w:rFonts w:cs="Arial"/>
          <w:szCs w:val="22"/>
        </w:rPr>
        <w:tab/>
      </w:r>
      <w:r w:rsidRPr="005F15DA">
        <w:rPr>
          <w:rFonts w:cs="Arial"/>
          <w:szCs w:val="22"/>
        </w:rPr>
        <w:tab/>
      </w:r>
      <w:r w:rsidR="00ED5466">
        <w:rPr>
          <w:rFonts w:cs="Arial"/>
          <w:szCs w:val="22"/>
        </w:rPr>
        <w:t>-</w:t>
      </w:r>
      <w:r w:rsidR="00ED5466">
        <w:rPr>
          <w:rFonts w:cs="Arial"/>
          <w:szCs w:val="22"/>
        </w:rPr>
        <w:tab/>
      </w:r>
      <w:r w:rsidRPr="005F15DA">
        <w:rPr>
          <w:rFonts w:cs="Arial"/>
          <w:szCs w:val="22"/>
        </w:rPr>
        <w:t>Einträge, welche ein untergegangenes Grundstück betreffen.</w:t>
      </w:r>
    </w:p>
    <w:p w:rsidR="00ED5466" w:rsidRPr="005F15DA" w:rsidRDefault="00ED5466" w:rsidP="00861D85">
      <w:pPr>
        <w:tabs>
          <w:tab w:val="left" w:pos="426"/>
          <w:tab w:val="left" w:pos="851"/>
        </w:tabs>
        <w:spacing w:line="240" w:lineRule="auto"/>
        <w:jc w:val="both"/>
        <w:rPr>
          <w:rFonts w:cs="Arial"/>
          <w:szCs w:val="22"/>
        </w:rPr>
      </w:pPr>
    </w:p>
    <w:p w:rsidR="00185D99" w:rsidRDefault="00765B7D" w:rsidP="00861D85">
      <w:pPr>
        <w:tabs>
          <w:tab w:val="left" w:pos="426"/>
          <w:tab w:val="left" w:pos="851"/>
        </w:tabs>
        <w:spacing w:line="240" w:lineRule="auto"/>
        <w:ind w:left="851" w:hanging="851"/>
        <w:jc w:val="both"/>
        <w:rPr>
          <w:rFonts w:cs="Arial"/>
          <w:szCs w:val="22"/>
        </w:rPr>
      </w:pPr>
      <w:r w:rsidRPr="005F15DA">
        <w:rPr>
          <w:rFonts w:cs="Arial"/>
          <w:szCs w:val="22"/>
        </w:rPr>
        <w:tab/>
      </w:r>
      <w:r w:rsidRPr="005F15DA">
        <w:rPr>
          <w:rFonts w:cs="Arial"/>
          <w:szCs w:val="22"/>
        </w:rPr>
        <w:tab/>
        <w:t xml:space="preserve">Zudem kann jede belastete Person die Löschung eines Eintrages verlangen, wenn dieser nach den Belegen oder den Umständen das Grundstück nicht betrifft und </w:t>
      </w:r>
      <w:r w:rsidRPr="005F15DA">
        <w:rPr>
          <w:rFonts w:cs="Arial"/>
          <w:szCs w:val="22"/>
          <w:u w:val="single"/>
        </w:rPr>
        <w:t>höchstwahrscheinlich seine rechtliche Bedeutung verloren</w:t>
      </w:r>
      <w:r w:rsidRPr="005F15DA">
        <w:rPr>
          <w:rFonts w:cs="Arial"/>
          <w:szCs w:val="22"/>
        </w:rPr>
        <w:t xml:space="preserve"> hat. In diesen Fällen muss das Grundbuchamt dem Berechtigten die Löschung avisieren (Einsprachefrist 30 T</w:t>
      </w:r>
      <w:r w:rsidRPr="005F15DA">
        <w:rPr>
          <w:rFonts w:cs="Arial"/>
          <w:szCs w:val="22"/>
        </w:rPr>
        <w:t>a</w:t>
      </w:r>
      <w:r w:rsidRPr="005F15DA">
        <w:rPr>
          <w:rFonts w:cs="Arial"/>
          <w:szCs w:val="22"/>
        </w:rPr>
        <w:t>ge).</w:t>
      </w:r>
    </w:p>
    <w:p w:rsidR="00ED5466" w:rsidRPr="005F15DA" w:rsidRDefault="00ED5466" w:rsidP="00861D85">
      <w:pPr>
        <w:tabs>
          <w:tab w:val="left" w:pos="426"/>
          <w:tab w:val="left" w:pos="851"/>
        </w:tabs>
        <w:spacing w:line="240" w:lineRule="auto"/>
        <w:ind w:left="851" w:hanging="851"/>
        <w:jc w:val="both"/>
        <w:rPr>
          <w:rFonts w:cs="Arial"/>
          <w:szCs w:val="22"/>
        </w:rPr>
      </w:pPr>
    </w:p>
    <w:p w:rsidR="00765B7D" w:rsidRPr="005F15DA" w:rsidRDefault="00765B7D" w:rsidP="00861D85">
      <w:pPr>
        <w:tabs>
          <w:tab w:val="left" w:pos="426"/>
          <w:tab w:val="left" w:pos="851"/>
        </w:tabs>
        <w:spacing w:line="240" w:lineRule="auto"/>
        <w:ind w:left="851" w:hanging="851"/>
        <w:jc w:val="both"/>
        <w:rPr>
          <w:rFonts w:cs="Arial"/>
          <w:szCs w:val="22"/>
        </w:rPr>
      </w:pPr>
      <w:r w:rsidRPr="005F15DA">
        <w:rPr>
          <w:rFonts w:cs="Arial"/>
          <w:szCs w:val="22"/>
        </w:rPr>
        <w:tab/>
      </w:r>
      <w:r w:rsidRPr="005F15DA">
        <w:rPr>
          <w:rFonts w:cs="Arial"/>
          <w:szCs w:val="22"/>
        </w:rPr>
        <w:tab/>
        <w:t>Wenn sich in einem bestimmten Gebiet die Verhältnisse tatsächlich oder rechtlich verändert haben und deswegen eine grössere Zahl von Dienstbarkeiten, Vor- oder Anmerkungen ganz oder weitgehend hinfällig geworden sind oder die Lage nicht mehr bestimmbar ist, kann die vom Kanton bezeichnete Behörde die Bereinigung in diesem Gebiet anordnen (</w:t>
      </w:r>
      <w:r w:rsidRPr="005F15DA">
        <w:rPr>
          <w:rFonts w:cs="Arial"/>
          <w:szCs w:val="22"/>
          <w:u w:val="single"/>
        </w:rPr>
        <w:t>Öffentliches Bereinigungsverfahren</w:t>
      </w:r>
      <w:r w:rsidRPr="005F15DA">
        <w:rPr>
          <w:rFonts w:cs="Arial"/>
          <w:szCs w:val="22"/>
        </w:rPr>
        <w:t>, Art. 976c ZGB).</w:t>
      </w:r>
    </w:p>
    <w:p w:rsidR="00DD75D0" w:rsidRPr="005F15DA" w:rsidRDefault="00DD75D0" w:rsidP="00861D85">
      <w:pPr>
        <w:spacing w:line="240" w:lineRule="auto"/>
        <w:jc w:val="both"/>
        <w:rPr>
          <w:rFonts w:cs="Arial"/>
          <w:szCs w:val="22"/>
        </w:rPr>
      </w:pPr>
    </w:p>
    <w:p w:rsidR="00DA7957" w:rsidRPr="005F15DA" w:rsidRDefault="00DA7957" w:rsidP="00861D85">
      <w:pPr>
        <w:spacing w:line="240" w:lineRule="auto"/>
        <w:jc w:val="both"/>
        <w:rPr>
          <w:rFonts w:cs="Arial"/>
          <w:szCs w:val="22"/>
        </w:rPr>
      </w:pPr>
    </w:p>
    <w:p w:rsidR="00DA7957" w:rsidRPr="005F15DA" w:rsidRDefault="005B0708" w:rsidP="001F6801">
      <w:pPr>
        <w:pStyle w:val="berschrift4"/>
      </w:pPr>
      <w:r w:rsidRPr="005F15DA">
        <w:t>4.</w:t>
      </w:r>
      <w:r w:rsidRPr="005F15DA">
        <w:tab/>
      </w:r>
      <w:r w:rsidR="00DA7957" w:rsidRPr="005F15DA">
        <w:t>Die Grundbuchanmeldung</w:t>
      </w:r>
    </w:p>
    <w:p w:rsidR="00F26F4B" w:rsidRPr="005F15DA" w:rsidRDefault="00F26F4B" w:rsidP="00861D85">
      <w:pPr>
        <w:spacing w:line="240" w:lineRule="auto"/>
        <w:ind w:left="426"/>
        <w:jc w:val="both"/>
        <w:rPr>
          <w:rFonts w:cs="Arial"/>
          <w:spacing w:val="-2"/>
          <w:szCs w:val="22"/>
        </w:rPr>
      </w:pPr>
      <w:r w:rsidRPr="005F15DA">
        <w:rPr>
          <w:rFonts w:cs="Arial"/>
          <w:spacing w:val="-2"/>
          <w:szCs w:val="22"/>
        </w:rPr>
        <w:t>Für eine Änderung im Grundbuch sind notwendig:</w:t>
      </w:r>
    </w:p>
    <w:p w:rsidR="00F26F4B" w:rsidRPr="005F15DA" w:rsidRDefault="00F26F4B" w:rsidP="009D34F3">
      <w:pPr>
        <w:pStyle w:val="Listenabsatz"/>
        <w:numPr>
          <w:ilvl w:val="0"/>
          <w:numId w:val="28"/>
        </w:numPr>
        <w:spacing w:line="240" w:lineRule="auto"/>
        <w:ind w:left="851" w:hanging="284"/>
        <w:jc w:val="both"/>
        <w:rPr>
          <w:rFonts w:cs="Arial"/>
          <w:spacing w:val="-2"/>
          <w:szCs w:val="22"/>
        </w:rPr>
      </w:pPr>
      <w:r w:rsidRPr="005F15DA">
        <w:rPr>
          <w:rFonts w:cs="Arial"/>
          <w:spacing w:val="-2"/>
          <w:szCs w:val="22"/>
        </w:rPr>
        <w:t xml:space="preserve">Das </w:t>
      </w:r>
      <w:r w:rsidRPr="005F15DA">
        <w:rPr>
          <w:rFonts w:cs="Arial"/>
          <w:spacing w:val="-2"/>
          <w:szCs w:val="22"/>
          <w:u w:val="single"/>
        </w:rPr>
        <w:t>Verpflichtungsgeschäft</w:t>
      </w:r>
      <w:r w:rsidRPr="005F15DA">
        <w:rPr>
          <w:rFonts w:cs="Arial"/>
          <w:spacing w:val="-2"/>
          <w:szCs w:val="22"/>
        </w:rPr>
        <w:t xml:space="preserve"> = die Urkunde,</w:t>
      </w:r>
    </w:p>
    <w:p w:rsidR="00F26F4B" w:rsidRPr="005F15DA" w:rsidRDefault="00F26F4B" w:rsidP="009D34F3">
      <w:pPr>
        <w:pStyle w:val="Listenabsatz"/>
        <w:numPr>
          <w:ilvl w:val="0"/>
          <w:numId w:val="28"/>
        </w:numPr>
        <w:spacing w:line="240" w:lineRule="auto"/>
        <w:ind w:left="851" w:hanging="284"/>
        <w:jc w:val="both"/>
        <w:rPr>
          <w:rFonts w:cs="Arial"/>
          <w:spacing w:val="-2"/>
          <w:szCs w:val="22"/>
        </w:rPr>
      </w:pPr>
      <w:r w:rsidRPr="005F15DA">
        <w:rPr>
          <w:rFonts w:cs="Arial"/>
          <w:spacing w:val="-2"/>
          <w:szCs w:val="22"/>
        </w:rPr>
        <w:t xml:space="preserve">die </w:t>
      </w:r>
      <w:r w:rsidRPr="005F15DA">
        <w:rPr>
          <w:rFonts w:cs="Arial"/>
          <w:spacing w:val="-2"/>
          <w:szCs w:val="22"/>
          <w:u w:val="single"/>
        </w:rPr>
        <w:t>Eintragungsbewilligung</w:t>
      </w:r>
      <w:r w:rsidRPr="005F15DA">
        <w:rPr>
          <w:rFonts w:cs="Arial"/>
          <w:spacing w:val="-2"/>
          <w:szCs w:val="22"/>
        </w:rPr>
        <w:t xml:space="preserve"> der Parteien (normalerweise in der Urkunde) und</w:t>
      </w:r>
    </w:p>
    <w:p w:rsidR="00F26F4B" w:rsidRPr="005F15DA" w:rsidRDefault="00F26F4B" w:rsidP="009D34F3">
      <w:pPr>
        <w:pStyle w:val="Listenabsatz"/>
        <w:numPr>
          <w:ilvl w:val="0"/>
          <w:numId w:val="28"/>
        </w:numPr>
        <w:spacing w:line="240" w:lineRule="auto"/>
        <w:ind w:left="851" w:hanging="284"/>
        <w:jc w:val="both"/>
        <w:rPr>
          <w:rFonts w:cs="Arial"/>
          <w:spacing w:val="-2"/>
          <w:szCs w:val="22"/>
        </w:rPr>
      </w:pPr>
      <w:r w:rsidRPr="005F15DA">
        <w:rPr>
          <w:rFonts w:cs="Arial"/>
          <w:spacing w:val="-2"/>
          <w:szCs w:val="22"/>
        </w:rPr>
        <w:t xml:space="preserve">das </w:t>
      </w:r>
      <w:r w:rsidRPr="005F15DA">
        <w:rPr>
          <w:rFonts w:cs="Arial"/>
          <w:spacing w:val="-2"/>
          <w:szCs w:val="22"/>
          <w:u w:val="single"/>
        </w:rPr>
        <w:t>Verfügungsgeschäft</w:t>
      </w:r>
      <w:r w:rsidRPr="005F15DA">
        <w:rPr>
          <w:rFonts w:cs="Arial"/>
          <w:spacing w:val="-2"/>
          <w:szCs w:val="22"/>
        </w:rPr>
        <w:t xml:space="preserve"> = die Anmeldung des Geschäftes beim Grundbuchamt.</w:t>
      </w:r>
    </w:p>
    <w:p w:rsidR="00F26F4B" w:rsidRPr="005F15DA" w:rsidRDefault="00F26F4B" w:rsidP="00861D85">
      <w:pPr>
        <w:spacing w:line="240" w:lineRule="auto"/>
        <w:ind w:left="426"/>
        <w:jc w:val="both"/>
        <w:rPr>
          <w:rFonts w:cs="Arial"/>
          <w:spacing w:val="-2"/>
          <w:szCs w:val="22"/>
        </w:rPr>
      </w:pPr>
    </w:p>
    <w:p w:rsidR="00F26F4B" w:rsidRPr="005F15DA" w:rsidRDefault="00F26F4B" w:rsidP="00861D85">
      <w:pPr>
        <w:spacing w:line="240" w:lineRule="auto"/>
        <w:ind w:left="426"/>
        <w:jc w:val="both"/>
        <w:rPr>
          <w:rFonts w:cs="Arial"/>
          <w:spacing w:val="-2"/>
          <w:szCs w:val="22"/>
        </w:rPr>
      </w:pPr>
      <w:r w:rsidRPr="005F15DA">
        <w:rPr>
          <w:rFonts w:cs="Arial"/>
          <w:spacing w:val="-2"/>
          <w:szCs w:val="22"/>
        </w:rPr>
        <w:t xml:space="preserve">Das </w:t>
      </w:r>
      <w:r w:rsidRPr="005F15DA">
        <w:rPr>
          <w:rFonts w:cs="Arial"/>
          <w:b/>
          <w:spacing w:val="-2"/>
          <w:szCs w:val="22"/>
        </w:rPr>
        <w:t>Verpflichtungsgeschäft</w:t>
      </w:r>
      <w:r w:rsidRPr="005F15DA">
        <w:rPr>
          <w:rFonts w:cs="Arial"/>
          <w:spacing w:val="-2"/>
          <w:szCs w:val="22"/>
        </w:rPr>
        <w:t xml:space="preserve"> ist die Urkunde, mittels welcher eine Änderung im Grun</w:t>
      </w:r>
      <w:r w:rsidRPr="005F15DA">
        <w:rPr>
          <w:rFonts w:cs="Arial"/>
          <w:spacing w:val="-2"/>
          <w:szCs w:val="22"/>
        </w:rPr>
        <w:t>d</w:t>
      </w:r>
      <w:r w:rsidRPr="005F15DA">
        <w:rPr>
          <w:rFonts w:cs="Arial"/>
          <w:spacing w:val="-2"/>
          <w:szCs w:val="22"/>
        </w:rPr>
        <w:t>buch bewirkt werden soll (Kaufvertrag, Pfandrechtserrichtung</w:t>
      </w:r>
      <w:r w:rsidR="00ED5466">
        <w:rPr>
          <w:rFonts w:cs="Arial"/>
          <w:spacing w:val="-2"/>
          <w:szCs w:val="22"/>
        </w:rPr>
        <w:t>, Dienstbarkeitsvertrag, usw.).</w:t>
      </w:r>
    </w:p>
    <w:p w:rsidR="00F26F4B" w:rsidRPr="005F15DA" w:rsidRDefault="00F26F4B" w:rsidP="00861D85">
      <w:pPr>
        <w:spacing w:line="240" w:lineRule="auto"/>
        <w:ind w:left="426"/>
        <w:jc w:val="both"/>
        <w:rPr>
          <w:rFonts w:cs="Arial"/>
          <w:spacing w:val="-2"/>
          <w:szCs w:val="22"/>
        </w:rPr>
      </w:pPr>
    </w:p>
    <w:p w:rsidR="00F26F4B" w:rsidRPr="005F15DA" w:rsidRDefault="00F26F4B" w:rsidP="00861D85">
      <w:pPr>
        <w:spacing w:line="240" w:lineRule="auto"/>
        <w:ind w:left="426"/>
        <w:jc w:val="both"/>
        <w:rPr>
          <w:rFonts w:cs="Arial"/>
          <w:spacing w:val="-2"/>
          <w:szCs w:val="22"/>
        </w:rPr>
      </w:pPr>
      <w:r w:rsidRPr="005F15DA">
        <w:rPr>
          <w:rFonts w:cs="Arial"/>
          <w:spacing w:val="-2"/>
          <w:szCs w:val="22"/>
        </w:rPr>
        <w:t xml:space="preserve">Im Verpflichtungsgeschäft müssen die Parteien die </w:t>
      </w:r>
      <w:r w:rsidRPr="005F15DA">
        <w:rPr>
          <w:rFonts w:cs="Arial"/>
          <w:b/>
          <w:spacing w:val="-2"/>
          <w:szCs w:val="22"/>
        </w:rPr>
        <w:t>Eintragungsbewilligung</w:t>
      </w:r>
      <w:r w:rsidRPr="005F15DA">
        <w:rPr>
          <w:rFonts w:cs="Arial"/>
          <w:spacing w:val="-2"/>
          <w:szCs w:val="22"/>
        </w:rPr>
        <w:t>, d.h. die Ei</w:t>
      </w:r>
      <w:r w:rsidRPr="005F15DA">
        <w:rPr>
          <w:rFonts w:cs="Arial"/>
          <w:spacing w:val="-2"/>
          <w:szCs w:val="22"/>
        </w:rPr>
        <w:t>n</w:t>
      </w:r>
      <w:r w:rsidRPr="005F15DA">
        <w:rPr>
          <w:rFonts w:cs="Arial"/>
          <w:spacing w:val="-2"/>
          <w:szCs w:val="22"/>
        </w:rPr>
        <w:t xml:space="preserve">willigung zur Vornahme aller sich aus der Urkunde ergebenden Änderungen im Grundbuch, erteilen. </w:t>
      </w:r>
    </w:p>
    <w:p w:rsidR="00F26F4B" w:rsidRPr="005F15DA" w:rsidRDefault="00F26F4B" w:rsidP="00861D85">
      <w:pPr>
        <w:spacing w:line="240" w:lineRule="auto"/>
        <w:ind w:left="426"/>
        <w:jc w:val="both"/>
        <w:rPr>
          <w:rFonts w:cs="Arial"/>
          <w:spacing w:val="-2"/>
          <w:szCs w:val="22"/>
        </w:rPr>
      </w:pPr>
    </w:p>
    <w:p w:rsidR="00F26F4B" w:rsidRPr="005F15DA" w:rsidRDefault="00F26F4B" w:rsidP="00861D85">
      <w:pPr>
        <w:spacing w:line="240" w:lineRule="auto"/>
        <w:ind w:left="426"/>
        <w:jc w:val="both"/>
        <w:rPr>
          <w:rFonts w:cs="Arial"/>
          <w:spacing w:val="-2"/>
          <w:szCs w:val="22"/>
        </w:rPr>
      </w:pPr>
      <w:r w:rsidRPr="005F15DA">
        <w:rPr>
          <w:rFonts w:cs="Arial"/>
          <w:spacing w:val="-2"/>
          <w:szCs w:val="22"/>
        </w:rPr>
        <w:t>Mit der Anmeldung des Geschäftes beim Grundbuchamt wird über das Geschäft verfügt (</w:t>
      </w:r>
      <w:r w:rsidRPr="005F15DA">
        <w:rPr>
          <w:rFonts w:cs="Arial"/>
          <w:b/>
          <w:spacing w:val="-2"/>
          <w:szCs w:val="22"/>
        </w:rPr>
        <w:t>Verfügungsgeschäft</w:t>
      </w:r>
      <w:r w:rsidRPr="005F15DA">
        <w:rPr>
          <w:rFonts w:cs="Arial"/>
          <w:spacing w:val="-2"/>
          <w:szCs w:val="22"/>
        </w:rPr>
        <w:t>).</w:t>
      </w:r>
    </w:p>
    <w:p w:rsidR="00F26F4B" w:rsidRPr="005F15DA" w:rsidRDefault="00F26F4B" w:rsidP="00861D85">
      <w:pPr>
        <w:spacing w:line="240" w:lineRule="auto"/>
        <w:ind w:left="426"/>
        <w:jc w:val="both"/>
        <w:rPr>
          <w:rFonts w:cs="Arial"/>
          <w:spacing w:val="-2"/>
          <w:szCs w:val="22"/>
        </w:rPr>
      </w:pPr>
    </w:p>
    <w:p w:rsidR="00F26F4B" w:rsidRPr="005F15DA" w:rsidRDefault="00F26F4B" w:rsidP="00861D85">
      <w:pPr>
        <w:spacing w:line="240" w:lineRule="auto"/>
        <w:ind w:left="426"/>
        <w:jc w:val="both"/>
        <w:rPr>
          <w:rFonts w:cs="Arial"/>
          <w:spacing w:val="-2"/>
          <w:szCs w:val="22"/>
        </w:rPr>
      </w:pPr>
      <w:r w:rsidRPr="005F15DA">
        <w:rPr>
          <w:rFonts w:cs="Arial"/>
          <w:spacing w:val="-2"/>
          <w:szCs w:val="22"/>
        </w:rPr>
        <w:t xml:space="preserve">Öffentliche Urkunden müssen vom beurkundenden Notar zur Eintragung im Grundbuch angemeldet werden; der Notar gilt als zur Anmeldung berechtigt. </w:t>
      </w:r>
    </w:p>
    <w:p w:rsidR="00F26F4B" w:rsidRPr="005F15DA" w:rsidRDefault="00F26F4B" w:rsidP="00861D85">
      <w:pPr>
        <w:spacing w:line="240" w:lineRule="auto"/>
        <w:ind w:left="426"/>
        <w:jc w:val="both"/>
        <w:rPr>
          <w:rFonts w:cs="Arial"/>
          <w:spacing w:val="-2"/>
          <w:szCs w:val="22"/>
        </w:rPr>
      </w:pPr>
    </w:p>
    <w:p w:rsidR="00F26F4B" w:rsidRPr="005F15DA" w:rsidRDefault="00F26F4B" w:rsidP="00861D85">
      <w:pPr>
        <w:spacing w:line="240" w:lineRule="auto"/>
        <w:ind w:left="426"/>
        <w:jc w:val="both"/>
        <w:rPr>
          <w:rFonts w:cs="Arial"/>
          <w:spacing w:val="-2"/>
          <w:szCs w:val="22"/>
        </w:rPr>
      </w:pPr>
      <w:r w:rsidRPr="005F15DA">
        <w:rPr>
          <w:rFonts w:cs="Arial"/>
          <w:spacing w:val="-2"/>
          <w:szCs w:val="22"/>
        </w:rPr>
        <w:t>Einfach-schriftliche Rechtsgeschäfte können vom verfügungsberechtigten Eigentümer a</w:t>
      </w:r>
      <w:r w:rsidRPr="005F15DA">
        <w:rPr>
          <w:rFonts w:cs="Arial"/>
          <w:spacing w:val="-2"/>
          <w:szCs w:val="22"/>
        </w:rPr>
        <w:t>n</w:t>
      </w:r>
      <w:r w:rsidRPr="005F15DA">
        <w:rPr>
          <w:rFonts w:cs="Arial"/>
          <w:spacing w:val="-2"/>
          <w:szCs w:val="22"/>
        </w:rPr>
        <w:t>gemeldet werden; wenn ein Notar die Anmeldung vornehmen soll, muss eine spezielle E</w:t>
      </w:r>
      <w:r w:rsidRPr="005F15DA">
        <w:rPr>
          <w:rFonts w:cs="Arial"/>
          <w:spacing w:val="-2"/>
          <w:szCs w:val="22"/>
        </w:rPr>
        <w:t>r</w:t>
      </w:r>
      <w:r w:rsidRPr="005F15DA">
        <w:rPr>
          <w:rFonts w:cs="Arial"/>
          <w:spacing w:val="-2"/>
          <w:szCs w:val="22"/>
        </w:rPr>
        <w:t>mächtigung an den Notar erfolgen.</w:t>
      </w:r>
    </w:p>
    <w:p w:rsidR="00F26F4B" w:rsidRPr="005F15DA" w:rsidRDefault="00F26F4B" w:rsidP="00861D85">
      <w:pPr>
        <w:spacing w:line="240" w:lineRule="auto"/>
        <w:ind w:left="426"/>
        <w:jc w:val="both"/>
        <w:rPr>
          <w:rFonts w:cs="Arial"/>
          <w:spacing w:val="-2"/>
          <w:szCs w:val="22"/>
        </w:rPr>
      </w:pPr>
    </w:p>
    <w:p w:rsidR="00F26F4B" w:rsidRPr="005F15DA" w:rsidRDefault="00F26F4B" w:rsidP="00861D85">
      <w:pPr>
        <w:spacing w:line="240" w:lineRule="auto"/>
        <w:ind w:left="426"/>
        <w:jc w:val="both"/>
        <w:rPr>
          <w:rFonts w:cs="Arial"/>
          <w:spacing w:val="-2"/>
          <w:szCs w:val="22"/>
        </w:rPr>
      </w:pPr>
      <w:r w:rsidRPr="005F15DA">
        <w:rPr>
          <w:rFonts w:cs="Arial"/>
          <w:spacing w:val="-2"/>
          <w:szCs w:val="22"/>
        </w:rPr>
        <w:lastRenderedPageBreak/>
        <w:t xml:space="preserve">Die Grundbuchanmeldung muss </w:t>
      </w:r>
      <w:r w:rsidRPr="005F15DA">
        <w:rPr>
          <w:rFonts w:cs="Arial"/>
          <w:b/>
          <w:spacing w:val="-2"/>
          <w:szCs w:val="22"/>
        </w:rPr>
        <w:t>unbedingt und vorbehaltlos</w:t>
      </w:r>
      <w:r w:rsidRPr="005F15DA">
        <w:rPr>
          <w:rFonts w:cs="Arial"/>
          <w:spacing w:val="-2"/>
          <w:szCs w:val="22"/>
        </w:rPr>
        <w:t xml:space="preserve"> sein. Bei Bedingungen und Vorbehalten muss deshalb durch den Notar ausdrücklich festgehalten werden, dass diese erfüllt sind (entweder direkt im Vertrag „mit der Grundbuchanmeldung gelten alle Bedi</w:t>
      </w:r>
      <w:r w:rsidRPr="005F15DA">
        <w:rPr>
          <w:rFonts w:cs="Arial"/>
          <w:spacing w:val="-2"/>
          <w:szCs w:val="22"/>
        </w:rPr>
        <w:t>n</w:t>
      </w:r>
      <w:r w:rsidRPr="005F15DA">
        <w:rPr>
          <w:rFonts w:cs="Arial"/>
          <w:spacing w:val="-2"/>
          <w:szCs w:val="22"/>
        </w:rPr>
        <w:t>gungen dieses Vertrages als erfüllt“, oder in Briefform oder als Zusatzerklärung auf der Grundbuchanmeldung).</w:t>
      </w:r>
    </w:p>
    <w:p w:rsidR="00F26F4B" w:rsidRPr="005F15DA" w:rsidRDefault="00F26F4B" w:rsidP="00861D85">
      <w:pPr>
        <w:spacing w:line="240" w:lineRule="auto"/>
        <w:ind w:left="426"/>
        <w:jc w:val="both"/>
        <w:rPr>
          <w:rFonts w:cs="Arial"/>
          <w:spacing w:val="-2"/>
          <w:szCs w:val="22"/>
        </w:rPr>
      </w:pPr>
    </w:p>
    <w:p w:rsidR="00F26F4B" w:rsidRPr="005F15DA" w:rsidRDefault="00F26F4B" w:rsidP="00861D85">
      <w:pPr>
        <w:spacing w:line="240" w:lineRule="auto"/>
        <w:ind w:left="426"/>
        <w:jc w:val="both"/>
        <w:rPr>
          <w:rFonts w:cs="Arial"/>
          <w:spacing w:val="-2"/>
          <w:szCs w:val="22"/>
        </w:rPr>
      </w:pPr>
      <w:r w:rsidRPr="005F15DA">
        <w:rPr>
          <w:rFonts w:cs="Arial"/>
          <w:spacing w:val="-2"/>
          <w:szCs w:val="22"/>
        </w:rPr>
        <w:t xml:space="preserve">Bei der Grundbuchanmeldung müssen </w:t>
      </w:r>
      <w:r w:rsidRPr="005F15DA">
        <w:rPr>
          <w:rFonts w:cs="Arial"/>
          <w:b/>
          <w:spacing w:val="-2"/>
          <w:szCs w:val="22"/>
        </w:rPr>
        <w:t>alle Eintragungsvoraussetzungen erfüllt</w:t>
      </w:r>
      <w:r w:rsidRPr="005F15DA">
        <w:rPr>
          <w:rFonts w:cs="Arial"/>
          <w:spacing w:val="-2"/>
          <w:szCs w:val="22"/>
        </w:rPr>
        <w:t xml:space="preserve"> sein (a</w:t>
      </w:r>
      <w:r w:rsidRPr="005F15DA">
        <w:rPr>
          <w:rFonts w:cs="Arial"/>
          <w:spacing w:val="-2"/>
          <w:szCs w:val="22"/>
        </w:rPr>
        <w:t>l</w:t>
      </w:r>
      <w:r w:rsidRPr="005F15DA">
        <w:rPr>
          <w:rFonts w:cs="Arial"/>
          <w:spacing w:val="-2"/>
          <w:szCs w:val="22"/>
        </w:rPr>
        <w:t>le Beilagen vorhanden, alle Bewilligungen rechtskräftig, usw.).</w:t>
      </w:r>
    </w:p>
    <w:p w:rsidR="00F26F4B" w:rsidRPr="005F15DA" w:rsidRDefault="00F26F4B" w:rsidP="00861D85">
      <w:pPr>
        <w:spacing w:line="240" w:lineRule="auto"/>
        <w:ind w:left="426"/>
        <w:jc w:val="both"/>
        <w:rPr>
          <w:rFonts w:cs="Arial"/>
          <w:spacing w:val="-2"/>
          <w:szCs w:val="22"/>
        </w:rPr>
      </w:pPr>
    </w:p>
    <w:p w:rsidR="00F26F4B" w:rsidRPr="005F15DA" w:rsidRDefault="00F26F4B" w:rsidP="00861D85">
      <w:pPr>
        <w:spacing w:line="240" w:lineRule="auto"/>
        <w:ind w:left="426"/>
        <w:jc w:val="both"/>
        <w:rPr>
          <w:rFonts w:cs="Arial"/>
          <w:spacing w:val="-2"/>
          <w:szCs w:val="22"/>
        </w:rPr>
      </w:pPr>
      <w:r w:rsidRPr="005F15DA">
        <w:rPr>
          <w:rFonts w:cs="Arial"/>
          <w:spacing w:val="-2"/>
          <w:szCs w:val="22"/>
        </w:rPr>
        <w:t>Auf der Grundbuchanmeldung sind sämtliche im Grundbuch und Gläubigerregister vorz</w:t>
      </w:r>
      <w:r w:rsidRPr="005F15DA">
        <w:rPr>
          <w:rFonts w:cs="Arial"/>
          <w:spacing w:val="-2"/>
          <w:szCs w:val="22"/>
        </w:rPr>
        <w:t>u</w:t>
      </w:r>
      <w:r w:rsidRPr="005F15DA">
        <w:rPr>
          <w:rFonts w:cs="Arial"/>
          <w:spacing w:val="-2"/>
          <w:szCs w:val="22"/>
        </w:rPr>
        <w:t>nehmenden Einschreibungen stichwortartig aufzuführen. Grundbuchanmeldung und Ve</w:t>
      </w:r>
      <w:r w:rsidRPr="005F15DA">
        <w:rPr>
          <w:rFonts w:cs="Arial"/>
          <w:spacing w:val="-2"/>
          <w:szCs w:val="22"/>
        </w:rPr>
        <w:t>r</w:t>
      </w:r>
      <w:r w:rsidRPr="005F15DA">
        <w:rPr>
          <w:rFonts w:cs="Arial"/>
          <w:spacing w:val="-2"/>
          <w:szCs w:val="22"/>
        </w:rPr>
        <w:t>tragsausfertigung bilden zusammen den Rechtsgrundausweis für das Grundbuchamt. Z</w:t>
      </w:r>
      <w:r w:rsidRPr="005F15DA">
        <w:rPr>
          <w:rFonts w:cs="Arial"/>
          <w:spacing w:val="-2"/>
          <w:szCs w:val="22"/>
        </w:rPr>
        <w:t>u</w:t>
      </w:r>
      <w:r w:rsidRPr="005F15DA">
        <w:rPr>
          <w:rFonts w:cs="Arial"/>
          <w:spacing w:val="-2"/>
          <w:szCs w:val="22"/>
        </w:rPr>
        <w:t>dem muss dem Grundbuchamt die Deklaration für die Handänderungssteuer eingereicht werden. Gleichzeitig mit der Grundbuchanmeldung ist die Handänderungssteuer zu beza</w:t>
      </w:r>
      <w:r w:rsidRPr="005F15DA">
        <w:rPr>
          <w:rFonts w:cs="Arial"/>
          <w:spacing w:val="-2"/>
          <w:szCs w:val="22"/>
        </w:rPr>
        <w:t>h</w:t>
      </w:r>
      <w:r w:rsidRPr="005F15DA">
        <w:rPr>
          <w:rFonts w:cs="Arial"/>
          <w:spacing w:val="-2"/>
          <w:szCs w:val="22"/>
        </w:rPr>
        <w:t>len.</w:t>
      </w:r>
    </w:p>
    <w:p w:rsidR="00F26F4B" w:rsidRPr="005F15DA" w:rsidRDefault="00F26F4B" w:rsidP="00861D85">
      <w:pPr>
        <w:spacing w:line="240" w:lineRule="auto"/>
        <w:ind w:left="426"/>
        <w:jc w:val="both"/>
        <w:rPr>
          <w:rFonts w:cs="Arial"/>
          <w:spacing w:val="-2"/>
          <w:szCs w:val="22"/>
        </w:rPr>
      </w:pPr>
    </w:p>
    <w:p w:rsidR="00F26F4B" w:rsidRPr="005F15DA" w:rsidRDefault="00F26F4B" w:rsidP="00861D85">
      <w:pPr>
        <w:spacing w:line="240" w:lineRule="auto"/>
        <w:ind w:left="426"/>
        <w:jc w:val="both"/>
        <w:rPr>
          <w:rFonts w:cs="Arial"/>
          <w:spacing w:val="-2"/>
          <w:szCs w:val="22"/>
        </w:rPr>
      </w:pPr>
      <w:r w:rsidRPr="005F15DA">
        <w:rPr>
          <w:rFonts w:cs="Arial"/>
          <w:spacing w:val="-2"/>
          <w:szCs w:val="22"/>
        </w:rPr>
        <w:t>Solange ein Geschäft beim Grundbuch angemeldet aber noch nicht im Hauptbuch eing</w:t>
      </w:r>
      <w:r w:rsidRPr="005F15DA">
        <w:rPr>
          <w:rFonts w:cs="Arial"/>
          <w:spacing w:val="-2"/>
          <w:szCs w:val="22"/>
        </w:rPr>
        <w:t>e</w:t>
      </w:r>
      <w:r w:rsidRPr="005F15DA">
        <w:rPr>
          <w:rFonts w:cs="Arial"/>
          <w:spacing w:val="-2"/>
          <w:szCs w:val="22"/>
        </w:rPr>
        <w:t>tragen ist, kann der Notar (im Namen der Vertragsparteien) das Geschäft zurückziehen. Ein einseitiger Rückzug durch eine Vertragspartei ist nicht möglich. Ein bereits im Haup</w:t>
      </w:r>
      <w:r w:rsidRPr="005F15DA">
        <w:rPr>
          <w:rFonts w:cs="Arial"/>
          <w:spacing w:val="-2"/>
          <w:szCs w:val="22"/>
        </w:rPr>
        <w:t>t</w:t>
      </w:r>
      <w:r w:rsidRPr="005F15DA">
        <w:rPr>
          <w:rFonts w:cs="Arial"/>
          <w:spacing w:val="-2"/>
          <w:szCs w:val="22"/>
        </w:rPr>
        <w:t>buch eingetragenes Geschäft kann nicht mehr zurückgezogen werden.</w:t>
      </w:r>
    </w:p>
    <w:p w:rsidR="00F26F4B" w:rsidRPr="005F15DA" w:rsidRDefault="00F26F4B" w:rsidP="00861D85">
      <w:pPr>
        <w:spacing w:line="240" w:lineRule="auto"/>
        <w:ind w:left="426"/>
        <w:jc w:val="both"/>
        <w:rPr>
          <w:rFonts w:cs="Arial"/>
          <w:spacing w:val="-2"/>
          <w:szCs w:val="22"/>
        </w:rPr>
      </w:pPr>
    </w:p>
    <w:p w:rsidR="00F26F4B" w:rsidRPr="005F15DA" w:rsidRDefault="00F26F4B" w:rsidP="00861D85">
      <w:pPr>
        <w:spacing w:line="240" w:lineRule="auto"/>
        <w:ind w:left="426"/>
        <w:jc w:val="both"/>
        <w:rPr>
          <w:rFonts w:cs="Arial"/>
          <w:spacing w:val="-2"/>
          <w:szCs w:val="22"/>
        </w:rPr>
      </w:pPr>
      <w:r w:rsidRPr="005F15DA">
        <w:rPr>
          <w:rFonts w:cs="Arial"/>
          <w:spacing w:val="-2"/>
          <w:szCs w:val="22"/>
        </w:rPr>
        <w:t>Wenn das angemeldete Geschäft nicht den gesetzlichen Anforderungen entspricht, muss es vom Grundbuchamt abgewiesen werden. Die Abweisungsverfügung ist zu begründen.</w:t>
      </w:r>
    </w:p>
    <w:p w:rsidR="00DA7957" w:rsidRPr="005F15DA" w:rsidRDefault="00DA7957" w:rsidP="00861D85">
      <w:pPr>
        <w:tabs>
          <w:tab w:val="left" w:pos="426"/>
        </w:tabs>
        <w:spacing w:line="240" w:lineRule="auto"/>
        <w:jc w:val="both"/>
        <w:rPr>
          <w:rFonts w:cs="Arial"/>
          <w:szCs w:val="22"/>
        </w:rPr>
      </w:pPr>
    </w:p>
    <w:p w:rsidR="00DD75D0" w:rsidRPr="005F15DA" w:rsidRDefault="00DD75D0" w:rsidP="00861D85">
      <w:pPr>
        <w:spacing w:line="240" w:lineRule="auto"/>
        <w:jc w:val="both"/>
        <w:rPr>
          <w:rFonts w:cs="Arial"/>
          <w:szCs w:val="22"/>
        </w:rPr>
      </w:pPr>
    </w:p>
    <w:p w:rsidR="00DD75D0" w:rsidRPr="005F15DA" w:rsidRDefault="00DD75D0" w:rsidP="00861D85">
      <w:pPr>
        <w:spacing w:line="240" w:lineRule="auto"/>
        <w:jc w:val="both"/>
        <w:rPr>
          <w:rFonts w:cs="Arial"/>
          <w:szCs w:val="22"/>
        </w:rPr>
      </w:pPr>
    </w:p>
    <w:p w:rsidR="00DD75D0" w:rsidRPr="005F15DA" w:rsidRDefault="00DD75D0" w:rsidP="00861D85">
      <w:pPr>
        <w:spacing w:line="240" w:lineRule="auto"/>
        <w:jc w:val="both"/>
        <w:rPr>
          <w:rFonts w:cs="Arial"/>
          <w:szCs w:val="22"/>
        </w:rPr>
      </w:pPr>
    </w:p>
    <w:p w:rsidR="00DD75D0" w:rsidRPr="005F15DA" w:rsidRDefault="00DD75D0" w:rsidP="00E36E8F">
      <w:pPr>
        <w:pStyle w:val="berschrift2"/>
      </w:pPr>
      <w:bookmarkStart w:id="166" w:name="_Toc432175686"/>
      <w:r w:rsidRPr="005F15DA">
        <w:t>IX. Übergangsbestimmungen</w:t>
      </w:r>
      <w:bookmarkEnd w:id="166"/>
    </w:p>
    <w:p w:rsidR="00E90D39" w:rsidRPr="005F15DA" w:rsidRDefault="00E90D39" w:rsidP="00E90D39">
      <w:r w:rsidRPr="005F15DA">
        <w:t>_______________________________</w:t>
      </w:r>
      <w:r w:rsidR="00ED5466">
        <w:t>_____</w:t>
      </w:r>
    </w:p>
    <w:p w:rsidR="00DD75D0" w:rsidRPr="005F15DA" w:rsidRDefault="00DD75D0" w:rsidP="00861D85">
      <w:pPr>
        <w:spacing w:line="240" w:lineRule="auto"/>
        <w:jc w:val="both"/>
        <w:rPr>
          <w:rFonts w:cs="Arial"/>
          <w:szCs w:val="22"/>
        </w:rPr>
      </w:pPr>
    </w:p>
    <w:p w:rsidR="00DD75D0" w:rsidRPr="005F15DA" w:rsidRDefault="00DD75D0" w:rsidP="00861D85">
      <w:pPr>
        <w:spacing w:line="240" w:lineRule="auto"/>
        <w:jc w:val="both"/>
        <w:rPr>
          <w:rFonts w:cs="Arial"/>
          <w:szCs w:val="22"/>
        </w:rPr>
      </w:pPr>
      <w:r w:rsidRPr="005F15DA">
        <w:rPr>
          <w:rFonts w:cs="Arial"/>
          <w:szCs w:val="22"/>
        </w:rPr>
        <w:t xml:space="preserve">Die Übergangsbestimmungen des Sachenrechts finden sich </w:t>
      </w:r>
      <w:r w:rsidR="0026094D" w:rsidRPr="005F15DA">
        <w:rPr>
          <w:rFonts w:cs="Arial"/>
          <w:szCs w:val="22"/>
        </w:rPr>
        <w:t>ab Art. 17 des Schlusstitels zum ZGB.</w:t>
      </w:r>
    </w:p>
    <w:p w:rsidR="00DD75D0" w:rsidRPr="005F15DA" w:rsidRDefault="00DD75D0" w:rsidP="00861D85">
      <w:pPr>
        <w:spacing w:line="240" w:lineRule="auto"/>
        <w:jc w:val="both"/>
        <w:rPr>
          <w:rFonts w:cs="Arial"/>
          <w:szCs w:val="22"/>
        </w:rPr>
      </w:pPr>
    </w:p>
    <w:p w:rsidR="00DD75D0" w:rsidRPr="005F15DA" w:rsidRDefault="00DD75D0" w:rsidP="00861D85">
      <w:pPr>
        <w:spacing w:line="240" w:lineRule="auto"/>
        <w:jc w:val="both"/>
        <w:rPr>
          <w:rFonts w:cs="Arial"/>
          <w:szCs w:val="22"/>
        </w:rPr>
      </w:pPr>
    </w:p>
    <w:p w:rsidR="00046ACE" w:rsidRPr="005F15DA" w:rsidRDefault="00046ACE" w:rsidP="00861D85">
      <w:pPr>
        <w:spacing w:line="240" w:lineRule="auto"/>
        <w:jc w:val="both"/>
        <w:rPr>
          <w:rFonts w:cs="Arial"/>
          <w:szCs w:val="22"/>
        </w:rPr>
      </w:pPr>
    </w:p>
    <w:p w:rsidR="00DD75D0" w:rsidRPr="005F15DA" w:rsidRDefault="00DD75D0" w:rsidP="00861D85">
      <w:pPr>
        <w:spacing w:line="240" w:lineRule="auto"/>
        <w:jc w:val="both"/>
        <w:rPr>
          <w:rFonts w:cs="Arial"/>
          <w:szCs w:val="22"/>
        </w:rPr>
      </w:pPr>
    </w:p>
    <w:p w:rsidR="00DD75D0" w:rsidRPr="005F15DA" w:rsidRDefault="0026094D" w:rsidP="00E36E8F">
      <w:pPr>
        <w:pStyle w:val="berschrift2"/>
      </w:pPr>
      <w:bookmarkStart w:id="167" w:name="_Toc432175687"/>
      <w:r w:rsidRPr="005F15DA">
        <w:t>X</w:t>
      </w:r>
      <w:r w:rsidR="00DD75D0" w:rsidRPr="005F15DA">
        <w:t xml:space="preserve">. </w:t>
      </w:r>
      <w:r w:rsidRPr="005F15DA">
        <w:t>Grundbuchverordnung</w:t>
      </w:r>
      <w:bookmarkEnd w:id="167"/>
    </w:p>
    <w:p w:rsidR="00E90D39" w:rsidRPr="005F15DA" w:rsidRDefault="00E90D39" w:rsidP="00E90D39">
      <w:r w:rsidRPr="005F15DA">
        <w:t>_______________________________</w:t>
      </w:r>
      <w:r w:rsidR="00ED5466">
        <w:t>_</w:t>
      </w:r>
    </w:p>
    <w:p w:rsidR="00F92FB6" w:rsidRPr="005F15DA" w:rsidRDefault="00F92FB6" w:rsidP="00861D85">
      <w:pPr>
        <w:spacing w:line="240" w:lineRule="auto"/>
        <w:jc w:val="both"/>
        <w:rPr>
          <w:rFonts w:cs="Arial"/>
          <w:szCs w:val="22"/>
        </w:rPr>
      </w:pPr>
    </w:p>
    <w:p w:rsidR="00383D9B" w:rsidRPr="005F15DA" w:rsidRDefault="0026094D" w:rsidP="00861D85">
      <w:pPr>
        <w:spacing w:line="240" w:lineRule="auto"/>
        <w:jc w:val="both"/>
        <w:rPr>
          <w:rFonts w:cs="Arial"/>
          <w:szCs w:val="22"/>
        </w:rPr>
      </w:pPr>
      <w:r w:rsidRPr="005F15DA">
        <w:rPr>
          <w:rFonts w:cs="Arial"/>
          <w:szCs w:val="22"/>
        </w:rPr>
        <w:t xml:space="preserve">Am 1. Januar 2012 ist die neue total revidierte Grundbuchverordnung </w:t>
      </w:r>
      <w:r w:rsidR="00F910D1" w:rsidRPr="005F15DA">
        <w:rPr>
          <w:rFonts w:cs="Arial"/>
          <w:szCs w:val="22"/>
        </w:rPr>
        <w:t xml:space="preserve">(GBV) </w:t>
      </w:r>
      <w:r w:rsidRPr="005F15DA">
        <w:rPr>
          <w:rFonts w:cs="Arial"/>
          <w:szCs w:val="22"/>
        </w:rPr>
        <w:t>in Kraft getreten.</w:t>
      </w:r>
      <w:r w:rsidR="00F92FB6" w:rsidRPr="005F15DA">
        <w:rPr>
          <w:rFonts w:cs="Arial"/>
          <w:szCs w:val="22"/>
        </w:rPr>
        <w:t xml:space="preserve"> Weil die GBV für das Notariat von grosser Bedeutung ist, finden Sie nachstehend einen ku</w:t>
      </w:r>
      <w:r w:rsidR="00F92FB6" w:rsidRPr="005F15DA">
        <w:rPr>
          <w:rFonts w:cs="Arial"/>
          <w:szCs w:val="22"/>
        </w:rPr>
        <w:t>r</w:t>
      </w:r>
      <w:r w:rsidR="00F92FB6" w:rsidRPr="005F15DA">
        <w:rPr>
          <w:rFonts w:cs="Arial"/>
          <w:szCs w:val="22"/>
        </w:rPr>
        <w:t>zen Abriss.</w:t>
      </w:r>
    </w:p>
    <w:p w:rsidR="0026094D" w:rsidRPr="005F15DA" w:rsidRDefault="0026094D" w:rsidP="00861D85">
      <w:pPr>
        <w:spacing w:line="240" w:lineRule="auto"/>
        <w:jc w:val="both"/>
        <w:rPr>
          <w:rFonts w:cs="Arial"/>
          <w:szCs w:val="22"/>
        </w:rPr>
      </w:pPr>
    </w:p>
    <w:p w:rsidR="00075B9F" w:rsidRPr="005F15DA" w:rsidRDefault="00075B9F" w:rsidP="00861D85">
      <w:pPr>
        <w:spacing w:line="240" w:lineRule="auto"/>
        <w:jc w:val="both"/>
        <w:rPr>
          <w:rFonts w:cs="Arial"/>
          <w:szCs w:val="22"/>
        </w:rPr>
      </w:pPr>
    </w:p>
    <w:p w:rsidR="0026094D" w:rsidRPr="005F15DA" w:rsidRDefault="00A8276A" w:rsidP="005759BE">
      <w:pPr>
        <w:pStyle w:val="berschrift3"/>
        <w:rPr>
          <w:lang w:val="de-CH"/>
        </w:rPr>
      </w:pPr>
      <w:bookmarkStart w:id="168" w:name="_Toc432175688"/>
      <w:r w:rsidRPr="005F15DA">
        <w:rPr>
          <w:lang w:val="de-CH"/>
        </w:rPr>
        <w:t>1.</w:t>
      </w:r>
      <w:r w:rsidRPr="005F15DA">
        <w:rPr>
          <w:lang w:val="de-CH"/>
        </w:rPr>
        <w:tab/>
        <w:t>A</w:t>
      </w:r>
      <w:r w:rsidR="0026094D" w:rsidRPr="005F15DA">
        <w:rPr>
          <w:lang w:val="de-CH"/>
        </w:rPr>
        <w:t>llgemeine Bestimmungen</w:t>
      </w:r>
      <w:bookmarkEnd w:id="168"/>
      <w:r w:rsidR="00F92FB6" w:rsidRPr="005F15DA">
        <w:rPr>
          <w:lang w:val="de-CH"/>
        </w:rPr>
        <w:t xml:space="preserve"> </w:t>
      </w:r>
    </w:p>
    <w:p w:rsidR="00F92FB6" w:rsidRPr="005F15DA" w:rsidRDefault="00F92FB6" w:rsidP="00F92FB6"/>
    <w:p w:rsidR="00075B9F" w:rsidRPr="005F15DA" w:rsidRDefault="0026094D" w:rsidP="00A8276A">
      <w:pPr>
        <w:pStyle w:val="berschrift4"/>
        <w:tabs>
          <w:tab w:val="left" w:pos="851"/>
        </w:tabs>
      </w:pPr>
      <w:r w:rsidRPr="005F15DA">
        <w:tab/>
        <w:t>1.</w:t>
      </w:r>
      <w:r w:rsidRPr="005F15DA">
        <w:tab/>
        <w:t>Gegenstand und Begriffe</w:t>
      </w:r>
      <w:r w:rsidR="000843E5" w:rsidRPr="005F15DA">
        <w:t xml:space="preserve"> </w:t>
      </w:r>
      <w:r w:rsidR="00C64C8C" w:rsidRPr="005F15DA">
        <w:t>(Art. 1 - 3 GBV)</w:t>
      </w:r>
    </w:p>
    <w:p w:rsidR="00075B9F" w:rsidRPr="005F15DA" w:rsidRDefault="00075B9F" w:rsidP="00861D85">
      <w:pPr>
        <w:tabs>
          <w:tab w:val="left" w:pos="426"/>
          <w:tab w:val="left" w:pos="851"/>
        </w:tabs>
        <w:spacing w:line="240" w:lineRule="auto"/>
        <w:ind w:left="851" w:hanging="851"/>
        <w:jc w:val="both"/>
        <w:rPr>
          <w:rFonts w:cs="Arial"/>
          <w:szCs w:val="22"/>
        </w:rPr>
      </w:pPr>
      <w:r w:rsidRPr="005F15DA">
        <w:rPr>
          <w:rFonts w:cs="Arial"/>
          <w:szCs w:val="22"/>
        </w:rPr>
        <w:tab/>
      </w:r>
      <w:r w:rsidRPr="005F15DA">
        <w:rPr>
          <w:rFonts w:cs="Arial"/>
          <w:szCs w:val="22"/>
        </w:rPr>
        <w:tab/>
        <w:t xml:space="preserve">Die GBV regelt die </w:t>
      </w:r>
    </w:p>
    <w:p w:rsidR="00075B9F" w:rsidRPr="005F15DA" w:rsidRDefault="00075B9F" w:rsidP="009D34F3">
      <w:pPr>
        <w:pStyle w:val="Listenabsatz"/>
        <w:numPr>
          <w:ilvl w:val="1"/>
          <w:numId w:val="29"/>
        </w:numPr>
        <w:tabs>
          <w:tab w:val="left" w:pos="426"/>
          <w:tab w:val="left" w:pos="851"/>
        </w:tabs>
        <w:spacing w:line="240" w:lineRule="auto"/>
        <w:jc w:val="both"/>
        <w:rPr>
          <w:rFonts w:cs="Arial"/>
          <w:szCs w:val="22"/>
        </w:rPr>
      </w:pPr>
      <w:r w:rsidRPr="005F15DA">
        <w:rPr>
          <w:rFonts w:cs="Arial"/>
          <w:szCs w:val="22"/>
        </w:rPr>
        <w:t xml:space="preserve">Organisation der Grundbuchführung, </w:t>
      </w:r>
    </w:p>
    <w:p w:rsidR="00075B9F" w:rsidRPr="005F15DA" w:rsidRDefault="00075B9F" w:rsidP="009D34F3">
      <w:pPr>
        <w:pStyle w:val="Listenabsatz"/>
        <w:numPr>
          <w:ilvl w:val="1"/>
          <w:numId w:val="29"/>
        </w:numPr>
        <w:tabs>
          <w:tab w:val="left" w:pos="426"/>
          <w:tab w:val="left" w:pos="851"/>
        </w:tabs>
        <w:spacing w:line="240" w:lineRule="auto"/>
        <w:jc w:val="both"/>
        <w:rPr>
          <w:rFonts w:cs="Arial"/>
          <w:szCs w:val="22"/>
        </w:rPr>
      </w:pPr>
      <w:r w:rsidRPr="005F15DA">
        <w:rPr>
          <w:rFonts w:cs="Arial"/>
          <w:szCs w:val="22"/>
        </w:rPr>
        <w:t xml:space="preserve">Aufbau, Inhalt und Rechtswirkungen des Grundbuches, </w:t>
      </w:r>
    </w:p>
    <w:p w:rsidR="00075B9F" w:rsidRPr="005F15DA" w:rsidRDefault="00075B9F" w:rsidP="009D34F3">
      <w:pPr>
        <w:pStyle w:val="Listenabsatz"/>
        <w:numPr>
          <w:ilvl w:val="1"/>
          <w:numId w:val="29"/>
        </w:numPr>
        <w:tabs>
          <w:tab w:val="left" w:pos="426"/>
          <w:tab w:val="left" w:pos="851"/>
        </w:tabs>
        <w:spacing w:line="240" w:lineRule="auto"/>
        <w:jc w:val="both"/>
        <w:rPr>
          <w:rFonts w:cs="Arial"/>
          <w:szCs w:val="22"/>
        </w:rPr>
      </w:pPr>
      <w:r w:rsidRPr="005F15DA">
        <w:rPr>
          <w:rFonts w:cs="Arial"/>
          <w:szCs w:val="22"/>
        </w:rPr>
        <w:t xml:space="preserve">den elektronischen Verkehr mit dem Grundbuchamt, </w:t>
      </w:r>
    </w:p>
    <w:p w:rsidR="00075B9F" w:rsidRPr="005F15DA" w:rsidRDefault="00075B9F" w:rsidP="009D34F3">
      <w:pPr>
        <w:pStyle w:val="Listenabsatz"/>
        <w:numPr>
          <w:ilvl w:val="1"/>
          <w:numId w:val="29"/>
        </w:numPr>
        <w:tabs>
          <w:tab w:val="left" w:pos="426"/>
          <w:tab w:val="left" w:pos="851"/>
        </w:tabs>
        <w:spacing w:line="240" w:lineRule="auto"/>
        <w:jc w:val="both"/>
        <w:rPr>
          <w:rFonts w:cs="Arial"/>
          <w:szCs w:val="22"/>
        </w:rPr>
      </w:pPr>
      <w:r w:rsidRPr="005F15DA">
        <w:rPr>
          <w:rFonts w:cs="Arial"/>
          <w:szCs w:val="22"/>
        </w:rPr>
        <w:lastRenderedPageBreak/>
        <w:t>das Verfahren zur Eintragung, Änderung und Löschung von dinglichen Rec</w:t>
      </w:r>
      <w:r w:rsidRPr="005F15DA">
        <w:rPr>
          <w:rFonts w:cs="Arial"/>
          <w:szCs w:val="22"/>
        </w:rPr>
        <w:t>h</w:t>
      </w:r>
      <w:r w:rsidRPr="005F15DA">
        <w:rPr>
          <w:rFonts w:cs="Arial"/>
          <w:szCs w:val="22"/>
        </w:rPr>
        <w:t xml:space="preserve">ten an Grundstücken sowie von Vormerkungen und Anmerkungen, </w:t>
      </w:r>
    </w:p>
    <w:p w:rsidR="00075B9F" w:rsidRPr="005F15DA" w:rsidRDefault="00075B9F" w:rsidP="009D34F3">
      <w:pPr>
        <w:pStyle w:val="Listenabsatz"/>
        <w:numPr>
          <w:ilvl w:val="1"/>
          <w:numId w:val="29"/>
        </w:numPr>
        <w:tabs>
          <w:tab w:val="left" w:pos="426"/>
          <w:tab w:val="left" w:pos="851"/>
        </w:tabs>
        <w:spacing w:line="240" w:lineRule="auto"/>
        <w:jc w:val="both"/>
        <w:rPr>
          <w:rFonts w:cs="Arial"/>
          <w:szCs w:val="22"/>
        </w:rPr>
      </w:pPr>
      <w:r w:rsidRPr="005F15DA">
        <w:rPr>
          <w:rFonts w:cs="Arial"/>
          <w:szCs w:val="22"/>
        </w:rPr>
        <w:t>die Auskunftserteilung und die Einsichtnahme in das Grundbuch.</w:t>
      </w:r>
    </w:p>
    <w:p w:rsidR="00075B9F" w:rsidRPr="005F15DA" w:rsidRDefault="00075B9F" w:rsidP="00861D85">
      <w:pPr>
        <w:tabs>
          <w:tab w:val="left" w:pos="426"/>
          <w:tab w:val="left" w:pos="851"/>
        </w:tabs>
        <w:spacing w:line="240" w:lineRule="auto"/>
        <w:ind w:left="851" w:hanging="851"/>
        <w:jc w:val="both"/>
        <w:rPr>
          <w:rFonts w:cs="Arial"/>
          <w:szCs w:val="22"/>
        </w:rPr>
      </w:pPr>
      <w:r w:rsidRPr="005F15DA">
        <w:rPr>
          <w:rFonts w:cs="Arial"/>
          <w:szCs w:val="22"/>
        </w:rPr>
        <w:tab/>
      </w:r>
      <w:r w:rsidRPr="005F15DA">
        <w:rPr>
          <w:rFonts w:cs="Arial"/>
          <w:szCs w:val="22"/>
        </w:rPr>
        <w:tab/>
        <w:t xml:space="preserve">In Art. 2 GBV werden die Begriffe </w:t>
      </w:r>
    </w:p>
    <w:p w:rsidR="00075B9F" w:rsidRPr="005F15DA" w:rsidRDefault="00075B9F" w:rsidP="009D34F3">
      <w:pPr>
        <w:pStyle w:val="Listenabsatz"/>
        <w:numPr>
          <w:ilvl w:val="1"/>
          <w:numId w:val="30"/>
        </w:numPr>
        <w:tabs>
          <w:tab w:val="left" w:pos="426"/>
          <w:tab w:val="left" w:pos="851"/>
        </w:tabs>
        <w:spacing w:line="240" w:lineRule="auto"/>
        <w:jc w:val="both"/>
        <w:rPr>
          <w:rFonts w:cs="Arial"/>
          <w:szCs w:val="22"/>
        </w:rPr>
      </w:pPr>
      <w:r w:rsidRPr="005F15DA">
        <w:rPr>
          <w:rFonts w:cs="Arial"/>
          <w:szCs w:val="22"/>
        </w:rPr>
        <w:t xml:space="preserve">Liegenschaft, </w:t>
      </w:r>
    </w:p>
    <w:p w:rsidR="00075B9F" w:rsidRPr="005F15DA" w:rsidRDefault="00075B9F" w:rsidP="009D34F3">
      <w:pPr>
        <w:pStyle w:val="Listenabsatz"/>
        <w:numPr>
          <w:ilvl w:val="1"/>
          <w:numId w:val="30"/>
        </w:numPr>
        <w:tabs>
          <w:tab w:val="left" w:pos="426"/>
          <w:tab w:val="left" w:pos="851"/>
        </w:tabs>
        <w:spacing w:line="240" w:lineRule="auto"/>
        <w:jc w:val="both"/>
        <w:rPr>
          <w:rFonts w:cs="Arial"/>
          <w:szCs w:val="22"/>
        </w:rPr>
      </w:pPr>
      <w:r w:rsidRPr="005F15DA">
        <w:rPr>
          <w:rFonts w:cs="Arial"/>
          <w:szCs w:val="22"/>
        </w:rPr>
        <w:t xml:space="preserve">Grundbuch, </w:t>
      </w:r>
    </w:p>
    <w:p w:rsidR="00075B9F" w:rsidRPr="005F15DA" w:rsidRDefault="00075B9F" w:rsidP="009D34F3">
      <w:pPr>
        <w:pStyle w:val="Listenabsatz"/>
        <w:numPr>
          <w:ilvl w:val="1"/>
          <w:numId w:val="30"/>
        </w:numPr>
        <w:tabs>
          <w:tab w:val="left" w:pos="426"/>
          <w:tab w:val="left" w:pos="851"/>
        </w:tabs>
        <w:spacing w:line="240" w:lineRule="auto"/>
        <w:jc w:val="both"/>
        <w:rPr>
          <w:rFonts w:cs="Arial"/>
          <w:szCs w:val="22"/>
        </w:rPr>
      </w:pPr>
      <w:r w:rsidRPr="005F15DA">
        <w:rPr>
          <w:rFonts w:cs="Arial"/>
          <w:szCs w:val="22"/>
        </w:rPr>
        <w:t xml:space="preserve">Hauptbuch, </w:t>
      </w:r>
    </w:p>
    <w:p w:rsidR="00075B9F" w:rsidRPr="005F15DA" w:rsidRDefault="00075B9F" w:rsidP="009D34F3">
      <w:pPr>
        <w:pStyle w:val="Listenabsatz"/>
        <w:numPr>
          <w:ilvl w:val="1"/>
          <w:numId w:val="30"/>
        </w:numPr>
        <w:tabs>
          <w:tab w:val="left" w:pos="426"/>
          <w:tab w:val="left" w:pos="851"/>
        </w:tabs>
        <w:spacing w:line="240" w:lineRule="auto"/>
        <w:jc w:val="both"/>
        <w:rPr>
          <w:rFonts w:cs="Arial"/>
          <w:szCs w:val="22"/>
        </w:rPr>
      </w:pPr>
      <w:r w:rsidRPr="005F15DA">
        <w:rPr>
          <w:rFonts w:cs="Arial"/>
          <w:szCs w:val="22"/>
        </w:rPr>
        <w:t xml:space="preserve">Hauptbuchblatt, </w:t>
      </w:r>
    </w:p>
    <w:p w:rsidR="00075B9F" w:rsidRPr="005F15DA" w:rsidRDefault="00075B9F" w:rsidP="009D34F3">
      <w:pPr>
        <w:pStyle w:val="Listenabsatz"/>
        <w:numPr>
          <w:ilvl w:val="1"/>
          <w:numId w:val="30"/>
        </w:numPr>
        <w:tabs>
          <w:tab w:val="left" w:pos="426"/>
          <w:tab w:val="left" w:pos="851"/>
        </w:tabs>
        <w:spacing w:line="240" w:lineRule="auto"/>
        <w:jc w:val="both"/>
        <w:rPr>
          <w:rFonts w:cs="Arial"/>
          <w:szCs w:val="22"/>
        </w:rPr>
      </w:pPr>
      <w:r w:rsidRPr="005F15DA">
        <w:rPr>
          <w:rFonts w:cs="Arial"/>
          <w:szCs w:val="22"/>
        </w:rPr>
        <w:t xml:space="preserve">Tagebuch, </w:t>
      </w:r>
    </w:p>
    <w:p w:rsidR="00075B9F" w:rsidRPr="005F15DA" w:rsidRDefault="00075B9F" w:rsidP="009D34F3">
      <w:pPr>
        <w:pStyle w:val="Listenabsatz"/>
        <w:numPr>
          <w:ilvl w:val="1"/>
          <w:numId w:val="30"/>
        </w:numPr>
        <w:tabs>
          <w:tab w:val="left" w:pos="426"/>
          <w:tab w:val="left" w:pos="851"/>
        </w:tabs>
        <w:spacing w:line="240" w:lineRule="auto"/>
        <w:jc w:val="both"/>
        <w:rPr>
          <w:rFonts w:cs="Arial"/>
          <w:szCs w:val="22"/>
        </w:rPr>
      </w:pPr>
      <w:r w:rsidRPr="005F15DA">
        <w:rPr>
          <w:rFonts w:cs="Arial"/>
          <w:szCs w:val="22"/>
        </w:rPr>
        <w:t xml:space="preserve">Plan für das Grundbuch und </w:t>
      </w:r>
    </w:p>
    <w:p w:rsidR="00075B9F" w:rsidRPr="005F15DA" w:rsidRDefault="00075B9F" w:rsidP="009D34F3">
      <w:pPr>
        <w:pStyle w:val="Listenabsatz"/>
        <w:numPr>
          <w:ilvl w:val="1"/>
          <w:numId w:val="30"/>
        </w:numPr>
        <w:tabs>
          <w:tab w:val="left" w:pos="426"/>
          <w:tab w:val="left" w:pos="851"/>
        </w:tabs>
        <w:spacing w:line="240" w:lineRule="auto"/>
        <w:jc w:val="both"/>
        <w:rPr>
          <w:rFonts w:cs="Arial"/>
          <w:szCs w:val="22"/>
        </w:rPr>
      </w:pPr>
      <w:r w:rsidRPr="005F15DA">
        <w:rPr>
          <w:rFonts w:cs="Arial"/>
          <w:szCs w:val="22"/>
        </w:rPr>
        <w:t xml:space="preserve">Beleg </w:t>
      </w:r>
    </w:p>
    <w:p w:rsidR="00075B9F" w:rsidRPr="005F15DA" w:rsidRDefault="00075B9F" w:rsidP="00861D85">
      <w:pPr>
        <w:tabs>
          <w:tab w:val="left" w:pos="426"/>
          <w:tab w:val="left" w:pos="851"/>
        </w:tabs>
        <w:spacing w:line="240" w:lineRule="auto"/>
        <w:ind w:left="851" w:hanging="851"/>
        <w:jc w:val="both"/>
        <w:rPr>
          <w:rFonts w:cs="Arial"/>
          <w:szCs w:val="22"/>
        </w:rPr>
      </w:pPr>
      <w:r w:rsidRPr="005F15DA">
        <w:rPr>
          <w:rFonts w:cs="Arial"/>
          <w:szCs w:val="22"/>
        </w:rPr>
        <w:tab/>
      </w:r>
      <w:r w:rsidRPr="005F15DA">
        <w:rPr>
          <w:rFonts w:cs="Arial"/>
          <w:szCs w:val="22"/>
        </w:rPr>
        <w:tab/>
        <w:t>erläutert.</w:t>
      </w:r>
    </w:p>
    <w:p w:rsidR="00075B9F" w:rsidRPr="005F15DA" w:rsidRDefault="00075B9F" w:rsidP="00861D85">
      <w:pPr>
        <w:tabs>
          <w:tab w:val="left" w:pos="426"/>
          <w:tab w:val="left" w:pos="851"/>
        </w:tabs>
        <w:spacing w:line="240" w:lineRule="auto"/>
        <w:ind w:left="851" w:hanging="851"/>
        <w:jc w:val="both"/>
        <w:rPr>
          <w:rFonts w:cs="Arial"/>
          <w:szCs w:val="22"/>
        </w:rPr>
      </w:pPr>
      <w:r w:rsidRPr="005F15DA">
        <w:rPr>
          <w:rFonts w:cs="Arial"/>
          <w:szCs w:val="22"/>
        </w:rPr>
        <w:tab/>
      </w:r>
      <w:r w:rsidRPr="005F15DA">
        <w:rPr>
          <w:rFonts w:cs="Arial"/>
          <w:szCs w:val="22"/>
        </w:rPr>
        <w:tab/>
        <w:t>In Art. 3 GBV wird die Gleichwertigkeit der Formen (Papier und EDV) geregelt.</w:t>
      </w:r>
    </w:p>
    <w:p w:rsidR="00075B9F" w:rsidRDefault="00075B9F" w:rsidP="00861D85">
      <w:pPr>
        <w:tabs>
          <w:tab w:val="left" w:pos="426"/>
          <w:tab w:val="left" w:pos="851"/>
        </w:tabs>
        <w:spacing w:line="240" w:lineRule="auto"/>
        <w:ind w:left="851" w:hanging="851"/>
        <w:jc w:val="both"/>
        <w:rPr>
          <w:rFonts w:cs="Arial"/>
          <w:szCs w:val="22"/>
        </w:rPr>
      </w:pPr>
    </w:p>
    <w:p w:rsidR="00ED5466" w:rsidRPr="005F15DA" w:rsidRDefault="00ED5466" w:rsidP="00861D85">
      <w:pPr>
        <w:tabs>
          <w:tab w:val="left" w:pos="426"/>
          <w:tab w:val="left" w:pos="851"/>
        </w:tabs>
        <w:spacing w:line="240" w:lineRule="auto"/>
        <w:ind w:left="851" w:hanging="851"/>
        <w:jc w:val="both"/>
        <w:rPr>
          <w:rFonts w:cs="Arial"/>
          <w:szCs w:val="22"/>
        </w:rPr>
      </w:pPr>
    </w:p>
    <w:p w:rsidR="00075B9F" w:rsidRPr="005F15DA" w:rsidRDefault="0026094D" w:rsidP="00A8276A">
      <w:pPr>
        <w:pStyle w:val="berschrift4"/>
        <w:tabs>
          <w:tab w:val="left" w:pos="851"/>
        </w:tabs>
      </w:pPr>
      <w:r w:rsidRPr="005F15DA">
        <w:tab/>
        <w:t>2.</w:t>
      </w:r>
      <w:r w:rsidRPr="005F15DA">
        <w:tab/>
        <w:t>Behörden, Amtssprache und Eröffnung von Entscheiden</w:t>
      </w:r>
      <w:r w:rsidR="00C64C8C" w:rsidRPr="005F15DA">
        <w:t xml:space="preserve"> (Art. 4 - 7 GBV)</w:t>
      </w:r>
    </w:p>
    <w:p w:rsidR="00075B9F" w:rsidRDefault="00075B9F" w:rsidP="00861D85">
      <w:pPr>
        <w:tabs>
          <w:tab w:val="left" w:pos="426"/>
          <w:tab w:val="left" w:pos="851"/>
        </w:tabs>
        <w:spacing w:line="240" w:lineRule="auto"/>
        <w:ind w:left="851" w:hanging="851"/>
        <w:jc w:val="both"/>
        <w:rPr>
          <w:rFonts w:cs="Arial"/>
          <w:szCs w:val="22"/>
        </w:rPr>
      </w:pPr>
      <w:r w:rsidRPr="005F15DA">
        <w:rPr>
          <w:rFonts w:cs="Arial"/>
          <w:szCs w:val="22"/>
        </w:rPr>
        <w:tab/>
      </w:r>
      <w:r w:rsidRPr="005F15DA">
        <w:rPr>
          <w:rFonts w:cs="Arial"/>
          <w:szCs w:val="22"/>
        </w:rPr>
        <w:tab/>
        <w:t>Die Kantone sind zuständig für die Organisation der Grundbuchämter sowie die Grundbuchführung.</w:t>
      </w:r>
    </w:p>
    <w:p w:rsidR="00ED5466" w:rsidRPr="005F15DA" w:rsidRDefault="00ED5466" w:rsidP="00861D85">
      <w:pPr>
        <w:tabs>
          <w:tab w:val="left" w:pos="426"/>
          <w:tab w:val="left" w:pos="851"/>
        </w:tabs>
        <w:spacing w:line="240" w:lineRule="auto"/>
        <w:ind w:left="851" w:hanging="851"/>
        <w:jc w:val="both"/>
        <w:rPr>
          <w:rFonts w:cs="Arial"/>
          <w:szCs w:val="22"/>
        </w:rPr>
      </w:pPr>
    </w:p>
    <w:p w:rsidR="00753F51" w:rsidRDefault="00753F51" w:rsidP="00861D85">
      <w:pPr>
        <w:tabs>
          <w:tab w:val="left" w:pos="426"/>
          <w:tab w:val="left" w:pos="851"/>
        </w:tabs>
        <w:spacing w:line="240" w:lineRule="auto"/>
        <w:ind w:left="851" w:hanging="851"/>
        <w:jc w:val="both"/>
        <w:rPr>
          <w:rFonts w:cs="Arial"/>
          <w:szCs w:val="22"/>
        </w:rPr>
      </w:pPr>
      <w:r w:rsidRPr="005F15DA">
        <w:rPr>
          <w:rFonts w:cs="Arial"/>
          <w:szCs w:val="22"/>
        </w:rPr>
        <w:tab/>
      </w:r>
      <w:r w:rsidRPr="005F15DA">
        <w:rPr>
          <w:rFonts w:cs="Arial"/>
          <w:szCs w:val="22"/>
        </w:rPr>
        <w:tab/>
        <w:t>Die Amtssprache wird durch die Kantone festgelegt. Im Kanton Bern ist Deutsch die Amtssprache für die Grundbuchämter</w:t>
      </w:r>
      <w:r w:rsidR="002A0B5A" w:rsidRPr="005F15DA">
        <w:rPr>
          <w:rFonts w:cs="Arial"/>
          <w:szCs w:val="22"/>
        </w:rPr>
        <w:t xml:space="preserve"> </w:t>
      </w:r>
      <w:r w:rsidRPr="005F15DA">
        <w:rPr>
          <w:rFonts w:cs="Arial"/>
          <w:szCs w:val="22"/>
        </w:rPr>
        <w:t>Bern-Mittelland, Emmental-Oberaargau, Obe</w:t>
      </w:r>
      <w:r w:rsidRPr="005F15DA">
        <w:rPr>
          <w:rFonts w:cs="Arial"/>
          <w:szCs w:val="22"/>
        </w:rPr>
        <w:t>r</w:t>
      </w:r>
      <w:r w:rsidRPr="005F15DA">
        <w:rPr>
          <w:rFonts w:cs="Arial"/>
          <w:szCs w:val="22"/>
        </w:rPr>
        <w:t>land (Thun, Interlaken und Frutigen)</w:t>
      </w:r>
      <w:r w:rsidR="002A0B5A" w:rsidRPr="005F15DA">
        <w:rPr>
          <w:rFonts w:cs="Arial"/>
          <w:szCs w:val="22"/>
        </w:rPr>
        <w:t>; für das Grundbuchamt Berner Jura ist die Amtssprache Französisch und für das Grundbuchamt Seeland sind sowohl Franz</w:t>
      </w:r>
      <w:r w:rsidR="002A0B5A" w:rsidRPr="005F15DA">
        <w:rPr>
          <w:rFonts w:cs="Arial"/>
          <w:szCs w:val="22"/>
        </w:rPr>
        <w:t>ö</w:t>
      </w:r>
      <w:r w:rsidR="002A0B5A" w:rsidRPr="005F15DA">
        <w:rPr>
          <w:rFonts w:cs="Arial"/>
          <w:szCs w:val="22"/>
        </w:rPr>
        <w:t>sisch wie auch Deutsch Amtssprache. Rechtsgrundausweise und Beilagen sind dem Grundbuchamt in der jeweiligen Amtssprache einzureichen.</w:t>
      </w:r>
    </w:p>
    <w:p w:rsidR="00ED5466" w:rsidRPr="005F15DA" w:rsidRDefault="00ED5466" w:rsidP="00861D85">
      <w:pPr>
        <w:tabs>
          <w:tab w:val="left" w:pos="426"/>
          <w:tab w:val="left" w:pos="851"/>
        </w:tabs>
        <w:spacing w:line="240" w:lineRule="auto"/>
        <w:ind w:left="851" w:hanging="851"/>
        <w:jc w:val="both"/>
        <w:rPr>
          <w:rFonts w:cs="Arial"/>
          <w:szCs w:val="22"/>
        </w:rPr>
      </w:pPr>
    </w:p>
    <w:p w:rsidR="002A0B5A" w:rsidRDefault="002A0B5A" w:rsidP="00861D85">
      <w:pPr>
        <w:tabs>
          <w:tab w:val="left" w:pos="426"/>
          <w:tab w:val="left" w:pos="851"/>
        </w:tabs>
        <w:spacing w:line="240" w:lineRule="auto"/>
        <w:ind w:left="851" w:hanging="851"/>
        <w:jc w:val="both"/>
        <w:rPr>
          <w:rFonts w:cs="Arial"/>
          <w:szCs w:val="22"/>
        </w:rPr>
      </w:pPr>
      <w:r w:rsidRPr="005F15DA">
        <w:rPr>
          <w:rFonts w:cs="Arial"/>
          <w:szCs w:val="22"/>
        </w:rPr>
        <w:tab/>
      </w:r>
      <w:r w:rsidRPr="005F15DA">
        <w:rPr>
          <w:rFonts w:cs="Arial"/>
          <w:szCs w:val="22"/>
        </w:rPr>
        <w:tab/>
        <w:t>Die Oberaufsicht über die Grundbuchführung liegt beim Bund.</w:t>
      </w:r>
    </w:p>
    <w:p w:rsidR="00ED5466" w:rsidRPr="005F15DA" w:rsidRDefault="00ED5466" w:rsidP="00861D85">
      <w:pPr>
        <w:tabs>
          <w:tab w:val="left" w:pos="426"/>
          <w:tab w:val="left" w:pos="851"/>
        </w:tabs>
        <w:spacing w:line="240" w:lineRule="auto"/>
        <w:ind w:left="851" w:hanging="851"/>
        <w:jc w:val="both"/>
        <w:rPr>
          <w:rFonts w:cs="Arial"/>
          <w:szCs w:val="22"/>
        </w:rPr>
      </w:pPr>
    </w:p>
    <w:p w:rsidR="002A0B5A" w:rsidRPr="005F15DA" w:rsidRDefault="002A0B5A" w:rsidP="00861D85">
      <w:pPr>
        <w:tabs>
          <w:tab w:val="left" w:pos="426"/>
          <w:tab w:val="left" w:pos="851"/>
        </w:tabs>
        <w:spacing w:line="240" w:lineRule="auto"/>
        <w:ind w:left="851" w:hanging="851"/>
        <w:jc w:val="both"/>
        <w:rPr>
          <w:rFonts w:cs="Arial"/>
          <w:szCs w:val="22"/>
        </w:rPr>
      </w:pPr>
      <w:r w:rsidRPr="005F15DA">
        <w:rPr>
          <w:rFonts w:cs="Arial"/>
          <w:szCs w:val="22"/>
        </w:rPr>
        <w:tab/>
      </w:r>
      <w:r w:rsidRPr="005F15DA">
        <w:rPr>
          <w:rFonts w:cs="Arial"/>
          <w:szCs w:val="22"/>
        </w:rPr>
        <w:tab/>
        <w:t>Beschwerdeentscheide der Grundbuchämter sind dem Eidgenössischen Amt für Grundbuch- und Bodenrecht zuzustellen.</w:t>
      </w:r>
    </w:p>
    <w:p w:rsidR="00075B9F" w:rsidRDefault="00075B9F" w:rsidP="00861D85">
      <w:pPr>
        <w:tabs>
          <w:tab w:val="left" w:pos="426"/>
          <w:tab w:val="left" w:pos="851"/>
        </w:tabs>
        <w:spacing w:line="240" w:lineRule="auto"/>
        <w:ind w:left="851" w:hanging="851"/>
        <w:jc w:val="both"/>
        <w:rPr>
          <w:rFonts w:cs="Arial"/>
          <w:szCs w:val="22"/>
        </w:rPr>
      </w:pPr>
    </w:p>
    <w:p w:rsidR="00ED5466" w:rsidRPr="005F15DA" w:rsidRDefault="00ED5466" w:rsidP="00861D85">
      <w:pPr>
        <w:tabs>
          <w:tab w:val="left" w:pos="426"/>
          <w:tab w:val="left" w:pos="851"/>
        </w:tabs>
        <w:spacing w:line="240" w:lineRule="auto"/>
        <w:ind w:left="851" w:hanging="851"/>
        <w:jc w:val="both"/>
        <w:rPr>
          <w:rFonts w:cs="Arial"/>
          <w:szCs w:val="22"/>
        </w:rPr>
      </w:pPr>
    </w:p>
    <w:p w:rsidR="002A0B5A" w:rsidRPr="005F15DA" w:rsidRDefault="001713D3" w:rsidP="00A8276A">
      <w:pPr>
        <w:pStyle w:val="berschrift4"/>
        <w:tabs>
          <w:tab w:val="left" w:pos="851"/>
        </w:tabs>
      </w:pPr>
      <w:r w:rsidRPr="005F15DA">
        <w:tab/>
        <w:t>3.</w:t>
      </w:r>
      <w:r w:rsidRPr="005F15DA">
        <w:tab/>
        <w:t>Führung, Inhalt und Rechtswirkungen des Grundbuchs</w:t>
      </w:r>
      <w:r w:rsidR="00C64C8C" w:rsidRPr="005F15DA">
        <w:t xml:space="preserve"> (Art. 8 - 15 GBV)</w:t>
      </w:r>
    </w:p>
    <w:p w:rsidR="002A0B5A" w:rsidRDefault="002A0B5A" w:rsidP="00861D85">
      <w:pPr>
        <w:tabs>
          <w:tab w:val="left" w:pos="426"/>
          <w:tab w:val="left" w:pos="851"/>
        </w:tabs>
        <w:spacing w:line="240" w:lineRule="auto"/>
        <w:ind w:left="851" w:hanging="851"/>
        <w:jc w:val="both"/>
        <w:rPr>
          <w:rFonts w:cs="Arial"/>
          <w:szCs w:val="22"/>
        </w:rPr>
      </w:pPr>
      <w:r w:rsidRPr="005F15DA">
        <w:rPr>
          <w:rFonts w:cs="Arial"/>
          <w:szCs w:val="22"/>
        </w:rPr>
        <w:tab/>
      </w:r>
      <w:r w:rsidRPr="005F15DA">
        <w:rPr>
          <w:rFonts w:cs="Arial"/>
          <w:szCs w:val="22"/>
        </w:rPr>
        <w:tab/>
        <w:t>Jeder Grundbuchkreis führt ein Hauptbuch und ein Tagebuch.</w:t>
      </w:r>
    </w:p>
    <w:p w:rsidR="00ED5466" w:rsidRPr="005F15DA" w:rsidRDefault="00ED5466" w:rsidP="00861D85">
      <w:pPr>
        <w:tabs>
          <w:tab w:val="left" w:pos="426"/>
          <w:tab w:val="left" w:pos="851"/>
        </w:tabs>
        <w:spacing w:line="240" w:lineRule="auto"/>
        <w:ind w:left="851" w:hanging="851"/>
        <w:jc w:val="both"/>
        <w:rPr>
          <w:rFonts w:cs="Arial"/>
          <w:szCs w:val="22"/>
        </w:rPr>
      </w:pPr>
    </w:p>
    <w:p w:rsidR="002A0B5A" w:rsidRDefault="002A0B5A" w:rsidP="00861D85">
      <w:pPr>
        <w:tabs>
          <w:tab w:val="left" w:pos="426"/>
          <w:tab w:val="left" w:pos="851"/>
        </w:tabs>
        <w:spacing w:line="240" w:lineRule="auto"/>
        <w:ind w:left="851" w:hanging="851"/>
        <w:jc w:val="both"/>
        <w:rPr>
          <w:rFonts w:cs="Arial"/>
          <w:szCs w:val="22"/>
        </w:rPr>
      </w:pPr>
      <w:r w:rsidRPr="005F15DA">
        <w:rPr>
          <w:rFonts w:cs="Arial"/>
          <w:szCs w:val="22"/>
        </w:rPr>
        <w:tab/>
      </w:r>
      <w:r w:rsidRPr="005F15DA">
        <w:rPr>
          <w:rFonts w:cs="Arial"/>
          <w:szCs w:val="22"/>
        </w:rPr>
        <w:tab/>
        <w:t>Das Hauptbuchblatt besteht aus den Abteilungen Eigentum, Dienstbarkeiten, Grun</w:t>
      </w:r>
      <w:r w:rsidRPr="005F15DA">
        <w:rPr>
          <w:rFonts w:cs="Arial"/>
          <w:szCs w:val="22"/>
        </w:rPr>
        <w:t>d</w:t>
      </w:r>
      <w:r w:rsidRPr="005F15DA">
        <w:rPr>
          <w:rFonts w:cs="Arial"/>
          <w:szCs w:val="22"/>
        </w:rPr>
        <w:t>lasten, Grundpfandrechte, Vormerkungen, Anmerkungen, wobei Dienstbarkeiten und Grundlasten in der gleichen Abteilung aufgeführt werden können.</w:t>
      </w:r>
    </w:p>
    <w:p w:rsidR="00ED5466" w:rsidRPr="005F15DA" w:rsidRDefault="00ED5466" w:rsidP="00861D85">
      <w:pPr>
        <w:tabs>
          <w:tab w:val="left" w:pos="426"/>
          <w:tab w:val="left" w:pos="851"/>
        </w:tabs>
        <w:spacing w:line="240" w:lineRule="auto"/>
        <w:ind w:left="851" w:hanging="851"/>
        <w:jc w:val="both"/>
        <w:rPr>
          <w:rFonts w:cs="Arial"/>
          <w:szCs w:val="22"/>
        </w:rPr>
      </w:pPr>
    </w:p>
    <w:p w:rsidR="002A0B5A" w:rsidRDefault="002A0B5A" w:rsidP="00861D85">
      <w:pPr>
        <w:tabs>
          <w:tab w:val="left" w:pos="426"/>
          <w:tab w:val="left" w:pos="851"/>
        </w:tabs>
        <w:spacing w:line="240" w:lineRule="auto"/>
        <w:ind w:left="851" w:hanging="851"/>
        <w:jc w:val="both"/>
        <w:rPr>
          <w:rFonts w:cs="Arial"/>
          <w:szCs w:val="22"/>
        </w:rPr>
      </w:pPr>
      <w:r w:rsidRPr="005F15DA">
        <w:rPr>
          <w:rFonts w:cs="Arial"/>
          <w:szCs w:val="22"/>
        </w:rPr>
        <w:tab/>
      </w:r>
      <w:r w:rsidRPr="005F15DA">
        <w:rPr>
          <w:rFonts w:cs="Arial"/>
          <w:szCs w:val="22"/>
        </w:rPr>
        <w:tab/>
      </w:r>
      <w:r w:rsidR="000B0FB1" w:rsidRPr="005F15DA">
        <w:rPr>
          <w:rFonts w:cs="Arial"/>
          <w:szCs w:val="22"/>
        </w:rPr>
        <w:t>Das Tagebuch wird chronologisch geführt (Eintragungen in der Reihenfolge des Ei</w:t>
      </w:r>
      <w:r w:rsidR="000B0FB1" w:rsidRPr="005F15DA">
        <w:rPr>
          <w:rFonts w:cs="Arial"/>
          <w:szCs w:val="22"/>
        </w:rPr>
        <w:t>n</w:t>
      </w:r>
      <w:r w:rsidR="000B0FB1" w:rsidRPr="005F15DA">
        <w:rPr>
          <w:rFonts w:cs="Arial"/>
          <w:szCs w:val="22"/>
        </w:rPr>
        <w:t>ganges).</w:t>
      </w:r>
    </w:p>
    <w:p w:rsidR="00ED5466" w:rsidRPr="005F15DA" w:rsidRDefault="00ED5466" w:rsidP="00861D85">
      <w:pPr>
        <w:tabs>
          <w:tab w:val="left" w:pos="426"/>
          <w:tab w:val="left" w:pos="851"/>
        </w:tabs>
        <w:spacing w:line="240" w:lineRule="auto"/>
        <w:ind w:left="851" w:hanging="851"/>
        <w:jc w:val="both"/>
        <w:rPr>
          <w:rFonts w:cs="Arial"/>
          <w:szCs w:val="22"/>
        </w:rPr>
      </w:pPr>
    </w:p>
    <w:p w:rsidR="000B0FB1" w:rsidRPr="005F15DA" w:rsidRDefault="000B0FB1" w:rsidP="00861D85">
      <w:pPr>
        <w:tabs>
          <w:tab w:val="left" w:pos="426"/>
          <w:tab w:val="left" w:pos="851"/>
        </w:tabs>
        <w:spacing w:line="240" w:lineRule="auto"/>
        <w:ind w:left="851" w:hanging="851"/>
        <w:jc w:val="both"/>
        <w:rPr>
          <w:rFonts w:cs="Arial"/>
          <w:szCs w:val="22"/>
        </w:rPr>
      </w:pPr>
      <w:r w:rsidRPr="005F15DA">
        <w:rPr>
          <w:rFonts w:cs="Arial"/>
          <w:szCs w:val="22"/>
        </w:rPr>
        <w:tab/>
      </w:r>
      <w:r w:rsidRPr="005F15DA">
        <w:rPr>
          <w:rFonts w:cs="Arial"/>
          <w:szCs w:val="22"/>
        </w:rPr>
        <w:tab/>
        <w:t>Beim Papiergrundbuch können ein Eigentümerregister und ein Gläubigerregister geführt werden; das Grundbuchamt kann weitere Hilfsregister führen.</w:t>
      </w:r>
    </w:p>
    <w:p w:rsidR="000B0FB1" w:rsidRDefault="000B0FB1" w:rsidP="00861D85">
      <w:pPr>
        <w:tabs>
          <w:tab w:val="left" w:pos="426"/>
          <w:tab w:val="left" w:pos="851"/>
        </w:tabs>
        <w:spacing w:line="240" w:lineRule="auto"/>
        <w:ind w:left="851" w:hanging="851"/>
        <w:jc w:val="both"/>
        <w:rPr>
          <w:rFonts w:cs="Arial"/>
          <w:szCs w:val="22"/>
        </w:rPr>
      </w:pPr>
    </w:p>
    <w:p w:rsidR="00ED5466" w:rsidRPr="005F15DA" w:rsidRDefault="00ED5466" w:rsidP="00861D85">
      <w:pPr>
        <w:tabs>
          <w:tab w:val="left" w:pos="426"/>
          <w:tab w:val="left" w:pos="851"/>
        </w:tabs>
        <w:spacing w:line="240" w:lineRule="auto"/>
        <w:ind w:left="851" w:hanging="851"/>
        <w:jc w:val="both"/>
        <w:rPr>
          <w:rFonts w:cs="Arial"/>
          <w:szCs w:val="22"/>
        </w:rPr>
      </w:pPr>
    </w:p>
    <w:p w:rsidR="000B0FB1" w:rsidRPr="005F15DA" w:rsidRDefault="001713D3" w:rsidP="00A8276A">
      <w:pPr>
        <w:pStyle w:val="berschrift4"/>
        <w:tabs>
          <w:tab w:val="left" w:pos="851"/>
        </w:tabs>
        <w:ind w:left="851"/>
      </w:pPr>
      <w:r w:rsidRPr="005F15DA">
        <w:t>4.</w:t>
      </w:r>
      <w:r w:rsidRPr="005F15DA">
        <w:tab/>
        <w:t>Aufnahme, Identifikation, Darstellung und Beschreibung von Grundst</w:t>
      </w:r>
      <w:r w:rsidRPr="005F15DA">
        <w:t>ü</w:t>
      </w:r>
      <w:r w:rsidRPr="005F15DA">
        <w:t>cken</w:t>
      </w:r>
      <w:r w:rsidR="00C64C8C" w:rsidRPr="005F15DA">
        <w:t xml:space="preserve"> (Art. 16 - 23 GBV)</w:t>
      </w:r>
    </w:p>
    <w:p w:rsidR="000B0FB1" w:rsidRDefault="000B0FB1" w:rsidP="00861D85">
      <w:pPr>
        <w:tabs>
          <w:tab w:val="left" w:pos="426"/>
          <w:tab w:val="left" w:pos="851"/>
        </w:tabs>
        <w:spacing w:line="240" w:lineRule="auto"/>
        <w:ind w:left="851" w:hanging="851"/>
        <w:jc w:val="both"/>
        <w:rPr>
          <w:rFonts w:cs="Arial"/>
          <w:szCs w:val="22"/>
        </w:rPr>
      </w:pPr>
      <w:r w:rsidRPr="005F15DA">
        <w:rPr>
          <w:rFonts w:cs="Arial"/>
          <w:szCs w:val="22"/>
        </w:rPr>
        <w:tab/>
      </w:r>
      <w:r w:rsidRPr="005F15DA">
        <w:rPr>
          <w:rFonts w:cs="Arial"/>
          <w:szCs w:val="22"/>
        </w:rPr>
        <w:tab/>
        <w:t xml:space="preserve">Die örtliche Zuständigkeit des Grundbuchamtes richtet sich nach der örtlichen Lage des Grundstückes. </w:t>
      </w:r>
    </w:p>
    <w:p w:rsidR="00ED5466" w:rsidRPr="005F15DA" w:rsidRDefault="00ED5466" w:rsidP="00861D85">
      <w:pPr>
        <w:tabs>
          <w:tab w:val="left" w:pos="426"/>
          <w:tab w:val="left" w:pos="851"/>
        </w:tabs>
        <w:spacing w:line="240" w:lineRule="auto"/>
        <w:ind w:left="851" w:hanging="851"/>
        <w:jc w:val="both"/>
        <w:rPr>
          <w:rFonts w:cs="Arial"/>
          <w:szCs w:val="22"/>
        </w:rPr>
      </w:pPr>
    </w:p>
    <w:p w:rsidR="000B0FB1" w:rsidRDefault="000B0FB1" w:rsidP="00861D85">
      <w:pPr>
        <w:tabs>
          <w:tab w:val="left" w:pos="426"/>
          <w:tab w:val="left" w:pos="851"/>
        </w:tabs>
        <w:spacing w:line="240" w:lineRule="auto"/>
        <w:ind w:left="851" w:hanging="851"/>
        <w:jc w:val="both"/>
        <w:rPr>
          <w:rFonts w:cs="Arial"/>
          <w:szCs w:val="22"/>
        </w:rPr>
      </w:pPr>
      <w:r w:rsidRPr="005F15DA">
        <w:rPr>
          <w:rFonts w:cs="Arial"/>
          <w:szCs w:val="22"/>
        </w:rPr>
        <w:lastRenderedPageBreak/>
        <w:tab/>
      </w:r>
      <w:r w:rsidRPr="005F15DA">
        <w:rPr>
          <w:rFonts w:cs="Arial"/>
          <w:szCs w:val="22"/>
        </w:rPr>
        <w:tab/>
        <w:t>Damit ein Grundstück im Grundbuch aufgenommen werden kann, muss es im Grundbuchplan eingezeichnet werden, zudem muss ein Hauptbuchblatt eröffnet und eine Grundstückbeschreibung erstellt werden.</w:t>
      </w:r>
    </w:p>
    <w:p w:rsidR="00ED5466" w:rsidRPr="005F15DA" w:rsidRDefault="00ED5466" w:rsidP="00861D85">
      <w:pPr>
        <w:tabs>
          <w:tab w:val="left" w:pos="426"/>
          <w:tab w:val="left" w:pos="851"/>
        </w:tabs>
        <w:spacing w:line="240" w:lineRule="auto"/>
        <w:ind w:left="851" w:hanging="851"/>
        <w:jc w:val="both"/>
        <w:rPr>
          <w:rFonts w:cs="Arial"/>
          <w:szCs w:val="22"/>
        </w:rPr>
      </w:pPr>
    </w:p>
    <w:p w:rsidR="000B0FB1" w:rsidRDefault="000B0FB1" w:rsidP="00861D85">
      <w:pPr>
        <w:tabs>
          <w:tab w:val="left" w:pos="426"/>
          <w:tab w:val="left" w:pos="851"/>
        </w:tabs>
        <w:spacing w:line="240" w:lineRule="auto"/>
        <w:ind w:left="851" w:hanging="851"/>
        <w:jc w:val="both"/>
        <w:rPr>
          <w:rFonts w:cs="Arial"/>
          <w:szCs w:val="22"/>
        </w:rPr>
      </w:pPr>
      <w:r w:rsidRPr="005F15DA">
        <w:rPr>
          <w:rFonts w:cs="Arial"/>
          <w:szCs w:val="22"/>
        </w:rPr>
        <w:tab/>
      </w:r>
      <w:r w:rsidRPr="005F15DA">
        <w:rPr>
          <w:rFonts w:cs="Arial"/>
          <w:szCs w:val="22"/>
        </w:rPr>
        <w:tab/>
        <w:t>Jedes in das Grundbuch aufgenommene Grundstück muss so bezeichnet werden, dass es landesweit eindeutig identifizierbar ist.</w:t>
      </w:r>
    </w:p>
    <w:p w:rsidR="00ED5466" w:rsidRPr="005F15DA" w:rsidRDefault="00ED5466" w:rsidP="00861D85">
      <w:pPr>
        <w:tabs>
          <w:tab w:val="left" w:pos="426"/>
          <w:tab w:val="left" w:pos="851"/>
        </w:tabs>
        <w:spacing w:line="240" w:lineRule="auto"/>
        <w:ind w:left="851" w:hanging="851"/>
        <w:jc w:val="both"/>
        <w:rPr>
          <w:rFonts w:cs="Arial"/>
          <w:szCs w:val="22"/>
        </w:rPr>
      </w:pPr>
    </w:p>
    <w:p w:rsidR="000B0FB1" w:rsidRDefault="000B0FB1" w:rsidP="00861D85">
      <w:pPr>
        <w:tabs>
          <w:tab w:val="left" w:pos="426"/>
          <w:tab w:val="left" w:pos="851"/>
        </w:tabs>
        <w:spacing w:line="240" w:lineRule="auto"/>
        <w:ind w:left="851" w:hanging="851"/>
        <w:jc w:val="both"/>
        <w:rPr>
          <w:rFonts w:cs="Arial"/>
          <w:szCs w:val="22"/>
        </w:rPr>
      </w:pPr>
      <w:r w:rsidRPr="005F15DA">
        <w:rPr>
          <w:rFonts w:cs="Arial"/>
          <w:szCs w:val="22"/>
        </w:rPr>
        <w:tab/>
      </w:r>
      <w:r w:rsidRPr="005F15DA">
        <w:rPr>
          <w:rFonts w:cs="Arial"/>
          <w:szCs w:val="22"/>
        </w:rPr>
        <w:tab/>
        <w:t xml:space="preserve">Die Grundstückbeschreibung enthält Angaben </w:t>
      </w:r>
      <w:r w:rsidR="00E535F7" w:rsidRPr="005F15DA">
        <w:rPr>
          <w:rFonts w:cs="Arial"/>
          <w:szCs w:val="22"/>
        </w:rPr>
        <w:t>über Lage (Adresse), Bodenfläche, Bodenbedeckung, Gebäude, Steuerwert, bei SDR allenfalls die flächenmässige Au</w:t>
      </w:r>
      <w:r w:rsidR="00E535F7" w:rsidRPr="005F15DA">
        <w:rPr>
          <w:rFonts w:cs="Arial"/>
          <w:szCs w:val="22"/>
        </w:rPr>
        <w:t>s</w:t>
      </w:r>
      <w:r w:rsidR="00E535F7" w:rsidRPr="005F15DA">
        <w:rPr>
          <w:rFonts w:cs="Arial"/>
          <w:szCs w:val="22"/>
        </w:rPr>
        <w:t>dehnung, bei StWE die Anzahl Räume und die Lage. Diese Angaben haben keine Grundbuchwirkung.</w:t>
      </w:r>
    </w:p>
    <w:p w:rsidR="00ED5466" w:rsidRPr="005F15DA" w:rsidRDefault="00ED5466" w:rsidP="00861D85">
      <w:pPr>
        <w:tabs>
          <w:tab w:val="left" w:pos="426"/>
          <w:tab w:val="left" w:pos="851"/>
        </w:tabs>
        <w:spacing w:line="240" w:lineRule="auto"/>
        <w:ind w:left="851" w:hanging="851"/>
        <w:jc w:val="both"/>
        <w:rPr>
          <w:rFonts w:cs="Arial"/>
          <w:szCs w:val="22"/>
        </w:rPr>
      </w:pPr>
    </w:p>
    <w:p w:rsidR="00E535F7" w:rsidRDefault="00E535F7" w:rsidP="00861D85">
      <w:pPr>
        <w:tabs>
          <w:tab w:val="left" w:pos="426"/>
          <w:tab w:val="left" w:pos="851"/>
        </w:tabs>
        <w:spacing w:line="240" w:lineRule="auto"/>
        <w:ind w:left="851" w:hanging="851"/>
        <w:jc w:val="both"/>
        <w:rPr>
          <w:rFonts w:cs="Arial"/>
          <w:szCs w:val="22"/>
        </w:rPr>
      </w:pPr>
      <w:r w:rsidRPr="005F15DA">
        <w:rPr>
          <w:rFonts w:cs="Arial"/>
          <w:szCs w:val="22"/>
        </w:rPr>
        <w:tab/>
      </w:r>
      <w:r w:rsidRPr="005F15DA">
        <w:rPr>
          <w:rFonts w:cs="Arial"/>
          <w:szCs w:val="22"/>
        </w:rPr>
        <w:tab/>
        <w:t>Grundstücke sind im Grundbuchplan darzustellen.</w:t>
      </w:r>
    </w:p>
    <w:p w:rsidR="00ED5466" w:rsidRPr="005F15DA" w:rsidRDefault="00ED5466" w:rsidP="00861D85">
      <w:pPr>
        <w:tabs>
          <w:tab w:val="left" w:pos="426"/>
          <w:tab w:val="left" w:pos="851"/>
        </w:tabs>
        <w:spacing w:line="240" w:lineRule="auto"/>
        <w:ind w:left="851" w:hanging="851"/>
        <w:jc w:val="both"/>
        <w:rPr>
          <w:rFonts w:cs="Arial"/>
          <w:szCs w:val="22"/>
        </w:rPr>
      </w:pPr>
    </w:p>
    <w:p w:rsidR="00E535F7" w:rsidRDefault="00E535F7" w:rsidP="00861D85">
      <w:pPr>
        <w:tabs>
          <w:tab w:val="left" w:pos="426"/>
          <w:tab w:val="left" w:pos="851"/>
        </w:tabs>
        <w:spacing w:line="240" w:lineRule="auto"/>
        <w:ind w:left="851" w:hanging="851"/>
        <w:jc w:val="both"/>
        <w:rPr>
          <w:rFonts w:cs="Arial"/>
          <w:szCs w:val="22"/>
        </w:rPr>
      </w:pPr>
      <w:r w:rsidRPr="005F15DA">
        <w:rPr>
          <w:rFonts w:cs="Arial"/>
          <w:szCs w:val="22"/>
        </w:rPr>
        <w:tab/>
      </w:r>
      <w:r w:rsidRPr="005F15DA">
        <w:rPr>
          <w:rFonts w:cs="Arial"/>
          <w:szCs w:val="22"/>
        </w:rPr>
        <w:tab/>
        <w:t>Selbständige und dauernde Rechte können auf Begehren des Berechtigten ins Grundbuch aufgenommen werden, wenn sie auf mindestens 30 Jahre oder auf u</w:t>
      </w:r>
      <w:r w:rsidRPr="005F15DA">
        <w:rPr>
          <w:rFonts w:cs="Arial"/>
          <w:szCs w:val="22"/>
        </w:rPr>
        <w:t>n</w:t>
      </w:r>
      <w:r w:rsidRPr="005F15DA">
        <w:rPr>
          <w:rFonts w:cs="Arial"/>
          <w:szCs w:val="22"/>
        </w:rPr>
        <w:t>bestimmte Zeit begründet wurden und übertragbar sind (z.B. Baurecht, Quelle</w:t>
      </w:r>
      <w:r w:rsidRPr="005F15DA">
        <w:rPr>
          <w:rFonts w:cs="Arial"/>
          <w:szCs w:val="22"/>
        </w:rPr>
        <w:t>n</w:t>
      </w:r>
      <w:r w:rsidRPr="005F15DA">
        <w:rPr>
          <w:rFonts w:cs="Arial"/>
          <w:szCs w:val="22"/>
        </w:rPr>
        <w:t>recht), oder wenn es sich um auf mindestens 30 Jahre verliehene Wasserrechte an öffentlichen Gewässern handelt. Auf schriftliches Begehren des Berechtigten können auch Bergwerke ins Grundbuch aufgenommen werden. Für SDR und Bergwerke wird in diesem Fall ein neues Hauptbuchblatt eröffnet.</w:t>
      </w:r>
    </w:p>
    <w:p w:rsidR="00ED5466" w:rsidRPr="005F15DA" w:rsidRDefault="00ED5466" w:rsidP="00861D85">
      <w:pPr>
        <w:tabs>
          <w:tab w:val="left" w:pos="426"/>
          <w:tab w:val="left" w:pos="851"/>
        </w:tabs>
        <w:spacing w:line="240" w:lineRule="auto"/>
        <w:ind w:left="851" w:hanging="851"/>
        <w:jc w:val="both"/>
        <w:rPr>
          <w:rFonts w:cs="Arial"/>
          <w:szCs w:val="22"/>
        </w:rPr>
      </w:pPr>
    </w:p>
    <w:p w:rsidR="00E535F7" w:rsidRPr="005F15DA" w:rsidRDefault="00E535F7" w:rsidP="00861D85">
      <w:pPr>
        <w:tabs>
          <w:tab w:val="left" w:pos="426"/>
          <w:tab w:val="left" w:pos="851"/>
        </w:tabs>
        <w:spacing w:line="240" w:lineRule="auto"/>
        <w:ind w:left="851" w:hanging="851"/>
        <w:jc w:val="both"/>
        <w:rPr>
          <w:rFonts w:cs="Arial"/>
          <w:szCs w:val="22"/>
        </w:rPr>
      </w:pPr>
      <w:r w:rsidRPr="005F15DA">
        <w:rPr>
          <w:rFonts w:cs="Arial"/>
          <w:szCs w:val="22"/>
        </w:rPr>
        <w:tab/>
      </w:r>
      <w:r w:rsidRPr="005F15DA">
        <w:rPr>
          <w:rFonts w:cs="Arial"/>
          <w:szCs w:val="22"/>
        </w:rPr>
        <w:tab/>
        <w:t>Miteigentumsanteile werden als Grundstücke ins Grundbuch aufgenommen, wenn sie mit einem Grundpfandrecht belastet werden oder wenn es sich um Stockwerke</w:t>
      </w:r>
      <w:r w:rsidRPr="005F15DA">
        <w:rPr>
          <w:rFonts w:cs="Arial"/>
          <w:szCs w:val="22"/>
        </w:rPr>
        <w:t>i</w:t>
      </w:r>
      <w:r w:rsidRPr="005F15DA">
        <w:rPr>
          <w:rFonts w:cs="Arial"/>
          <w:szCs w:val="22"/>
        </w:rPr>
        <w:t xml:space="preserve">gentum handelt. Zudem kann das Grundbuchamt selber die Aufnahme </w:t>
      </w:r>
      <w:r w:rsidR="000B27E4" w:rsidRPr="005F15DA">
        <w:rPr>
          <w:rFonts w:cs="Arial"/>
          <w:szCs w:val="22"/>
        </w:rPr>
        <w:t xml:space="preserve">eines ME-Anteils </w:t>
      </w:r>
      <w:r w:rsidRPr="005F15DA">
        <w:rPr>
          <w:rFonts w:cs="Arial"/>
          <w:szCs w:val="22"/>
        </w:rPr>
        <w:t xml:space="preserve">als Grundstück </w:t>
      </w:r>
      <w:r w:rsidR="000B27E4" w:rsidRPr="005F15DA">
        <w:rPr>
          <w:rFonts w:cs="Arial"/>
          <w:szCs w:val="22"/>
        </w:rPr>
        <w:t>beschliessen. Bezüglich der genauen grundbuchlichen Au</w:t>
      </w:r>
      <w:r w:rsidR="000B27E4" w:rsidRPr="005F15DA">
        <w:rPr>
          <w:rFonts w:cs="Arial"/>
          <w:szCs w:val="22"/>
        </w:rPr>
        <w:t>s</w:t>
      </w:r>
      <w:r w:rsidR="000B27E4" w:rsidRPr="005F15DA">
        <w:rPr>
          <w:rFonts w:cs="Arial"/>
          <w:szCs w:val="22"/>
        </w:rPr>
        <w:t>gestaltung siehe Art. 23 GBV.</w:t>
      </w:r>
    </w:p>
    <w:p w:rsidR="000B0FB1" w:rsidRDefault="000B0FB1" w:rsidP="00861D85">
      <w:pPr>
        <w:tabs>
          <w:tab w:val="left" w:pos="426"/>
          <w:tab w:val="left" w:pos="851"/>
        </w:tabs>
        <w:spacing w:line="240" w:lineRule="auto"/>
        <w:jc w:val="both"/>
        <w:rPr>
          <w:rFonts w:cs="Arial"/>
          <w:szCs w:val="22"/>
        </w:rPr>
      </w:pPr>
    </w:p>
    <w:p w:rsidR="00ED5466" w:rsidRPr="005F15DA" w:rsidRDefault="00ED5466" w:rsidP="00861D85">
      <w:pPr>
        <w:tabs>
          <w:tab w:val="left" w:pos="426"/>
          <w:tab w:val="left" w:pos="851"/>
        </w:tabs>
        <w:spacing w:line="240" w:lineRule="auto"/>
        <w:jc w:val="both"/>
        <w:rPr>
          <w:rFonts w:cs="Arial"/>
          <w:szCs w:val="22"/>
        </w:rPr>
      </w:pPr>
    </w:p>
    <w:p w:rsidR="001713D3" w:rsidRPr="005F15DA" w:rsidRDefault="001713D3" w:rsidP="00A8276A">
      <w:pPr>
        <w:pStyle w:val="berschrift4"/>
        <w:tabs>
          <w:tab w:val="left" w:pos="851"/>
        </w:tabs>
      </w:pPr>
      <w:r w:rsidRPr="005F15DA">
        <w:tab/>
        <w:t>5.</w:t>
      </w:r>
      <w:r w:rsidRPr="005F15DA">
        <w:tab/>
        <w:t>Übertragung und Schliessung eines Hauptblatts</w:t>
      </w:r>
      <w:r w:rsidR="00C64C8C" w:rsidRPr="005F15DA">
        <w:t xml:space="preserve"> (Art. 24 - 25 GBV)</w:t>
      </w:r>
    </w:p>
    <w:p w:rsidR="000B0FB1" w:rsidRDefault="000B27E4" w:rsidP="00861D85">
      <w:pPr>
        <w:tabs>
          <w:tab w:val="left" w:pos="426"/>
          <w:tab w:val="left" w:pos="851"/>
        </w:tabs>
        <w:spacing w:line="240" w:lineRule="auto"/>
        <w:ind w:left="851" w:hanging="851"/>
        <w:jc w:val="both"/>
        <w:rPr>
          <w:rFonts w:cs="Arial"/>
          <w:szCs w:val="22"/>
        </w:rPr>
      </w:pPr>
      <w:r w:rsidRPr="005F15DA">
        <w:rPr>
          <w:rFonts w:cs="Arial"/>
          <w:szCs w:val="22"/>
        </w:rPr>
        <w:tab/>
      </w:r>
      <w:r w:rsidRPr="005F15DA">
        <w:rPr>
          <w:rFonts w:cs="Arial"/>
          <w:szCs w:val="22"/>
        </w:rPr>
        <w:tab/>
        <w:t>Wenn im Papiergrundbuch die Einträge unübersichtlich geworden sind, kann das Grundbuchamt die nicht gelöschten Einträge auf ein neues Hauptbuchblatt mit der bisherigen Nummer übertragen.</w:t>
      </w:r>
    </w:p>
    <w:p w:rsidR="00ED5466" w:rsidRPr="005F15DA" w:rsidRDefault="00ED5466" w:rsidP="00861D85">
      <w:pPr>
        <w:tabs>
          <w:tab w:val="left" w:pos="426"/>
          <w:tab w:val="left" w:pos="851"/>
        </w:tabs>
        <w:spacing w:line="240" w:lineRule="auto"/>
        <w:ind w:left="851" w:hanging="851"/>
        <w:jc w:val="both"/>
        <w:rPr>
          <w:rFonts w:cs="Arial"/>
          <w:szCs w:val="22"/>
        </w:rPr>
      </w:pPr>
    </w:p>
    <w:p w:rsidR="000B27E4" w:rsidRPr="005F15DA" w:rsidRDefault="000B27E4" w:rsidP="00861D85">
      <w:pPr>
        <w:tabs>
          <w:tab w:val="left" w:pos="426"/>
          <w:tab w:val="left" w:pos="851"/>
        </w:tabs>
        <w:spacing w:line="240" w:lineRule="auto"/>
        <w:ind w:left="851" w:hanging="851"/>
        <w:jc w:val="both"/>
        <w:rPr>
          <w:rFonts w:cs="Arial"/>
          <w:szCs w:val="22"/>
        </w:rPr>
      </w:pPr>
      <w:r w:rsidRPr="005F15DA">
        <w:rPr>
          <w:rFonts w:cs="Arial"/>
          <w:szCs w:val="22"/>
        </w:rPr>
        <w:tab/>
      </w:r>
      <w:r w:rsidRPr="005F15DA">
        <w:rPr>
          <w:rFonts w:cs="Arial"/>
          <w:szCs w:val="22"/>
        </w:rPr>
        <w:tab/>
        <w:t>Ein Hauptbuchblatt kann erst geschlossen werden, wenn alle Einträge gelöscht sind (Anwendungsfall: Zusammenlegung von Grundstücken).</w:t>
      </w:r>
    </w:p>
    <w:p w:rsidR="000B27E4" w:rsidRDefault="000B27E4" w:rsidP="00861D85">
      <w:pPr>
        <w:tabs>
          <w:tab w:val="left" w:pos="426"/>
          <w:tab w:val="left" w:pos="851"/>
        </w:tabs>
        <w:spacing w:line="240" w:lineRule="auto"/>
        <w:ind w:left="851" w:hanging="851"/>
        <w:jc w:val="both"/>
        <w:rPr>
          <w:rFonts w:cs="Arial"/>
          <w:szCs w:val="22"/>
        </w:rPr>
      </w:pPr>
    </w:p>
    <w:p w:rsidR="00ED5466" w:rsidRPr="005F15DA" w:rsidRDefault="00ED5466" w:rsidP="00861D85">
      <w:pPr>
        <w:tabs>
          <w:tab w:val="left" w:pos="426"/>
          <w:tab w:val="left" w:pos="851"/>
        </w:tabs>
        <w:spacing w:line="240" w:lineRule="auto"/>
        <w:ind w:left="851" w:hanging="851"/>
        <w:jc w:val="both"/>
        <w:rPr>
          <w:rFonts w:cs="Arial"/>
          <w:szCs w:val="22"/>
        </w:rPr>
      </w:pPr>
    </w:p>
    <w:p w:rsidR="000B27E4" w:rsidRPr="005F15DA" w:rsidRDefault="001713D3" w:rsidP="00A8276A">
      <w:pPr>
        <w:pStyle w:val="berschrift4"/>
        <w:tabs>
          <w:tab w:val="left" w:pos="851"/>
        </w:tabs>
      </w:pPr>
      <w:r w:rsidRPr="005F15DA">
        <w:tab/>
        <w:t>6.</w:t>
      </w:r>
      <w:r w:rsidRPr="005F15DA">
        <w:tab/>
        <w:t>Öffentlichkeit des Grundbuchs</w:t>
      </w:r>
      <w:r w:rsidR="00C64C8C" w:rsidRPr="005F15DA">
        <w:t xml:space="preserve"> (Art. 26 - 34 GBV)</w:t>
      </w:r>
    </w:p>
    <w:p w:rsidR="000B27E4" w:rsidRDefault="00491067" w:rsidP="00861D85">
      <w:pPr>
        <w:tabs>
          <w:tab w:val="left" w:pos="426"/>
          <w:tab w:val="left" w:pos="851"/>
        </w:tabs>
        <w:spacing w:line="240" w:lineRule="auto"/>
        <w:ind w:left="851" w:hanging="851"/>
        <w:jc w:val="both"/>
        <w:rPr>
          <w:rFonts w:cs="Arial"/>
          <w:szCs w:val="22"/>
        </w:rPr>
      </w:pPr>
      <w:r w:rsidRPr="005F15DA">
        <w:rPr>
          <w:rFonts w:cs="Arial"/>
          <w:szCs w:val="22"/>
        </w:rPr>
        <w:tab/>
      </w:r>
      <w:r w:rsidRPr="005F15DA">
        <w:rPr>
          <w:rFonts w:cs="Arial"/>
          <w:szCs w:val="22"/>
        </w:rPr>
        <w:tab/>
        <w:t>Jede Person kann Einsicht in das Grundbuch nehmen; öffentlich zugänglich sind Grundstücknummer und Beschreibung, Eigentümer, Eigentumsform, Erwerbsdatum, Dienstbarkeiten, Grundlasten, Anmerkungen (ohne Grundbuchsperren, Veräuss</w:t>
      </w:r>
      <w:r w:rsidRPr="005F15DA">
        <w:rPr>
          <w:rFonts w:cs="Arial"/>
          <w:szCs w:val="22"/>
        </w:rPr>
        <w:t>e</w:t>
      </w:r>
      <w:r w:rsidRPr="005F15DA">
        <w:rPr>
          <w:rFonts w:cs="Arial"/>
          <w:szCs w:val="22"/>
        </w:rPr>
        <w:t>rungsbeschränkungen, usw. gem. Art. 26 Ziffer 1 Bst. c GBV).</w:t>
      </w:r>
    </w:p>
    <w:p w:rsidR="00ED5466" w:rsidRPr="005F15DA" w:rsidRDefault="00ED5466" w:rsidP="00861D85">
      <w:pPr>
        <w:tabs>
          <w:tab w:val="left" w:pos="426"/>
          <w:tab w:val="left" w:pos="851"/>
        </w:tabs>
        <w:spacing w:line="240" w:lineRule="auto"/>
        <w:ind w:left="851" w:hanging="851"/>
        <w:jc w:val="both"/>
        <w:rPr>
          <w:rFonts w:cs="Arial"/>
          <w:szCs w:val="22"/>
        </w:rPr>
      </w:pPr>
    </w:p>
    <w:p w:rsidR="00491067" w:rsidRDefault="00491067" w:rsidP="00861D85">
      <w:pPr>
        <w:tabs>
          <w:tab w:val="left" w:pos="426"/>
          <w:tab w:val="left" w:pos="851"/>
        </w:tabs>
        <w:spacing w:line="240" w:lineRule="auto"/>
        <w:ind w:left="851" w:hanging="851"/>
        <w:jc w:val="both"/>
        <w:rPr>
          <w:rFonts w:cs="Arial"/>
          <w:szCs w:val="22"/>
        </w:rPr>
      </w:pPr>
      <w:r w:rsidRPr="005F15DA">
        <w:rPr>
          <w:rFonts w:cs="Arial"/>
          <w:szCs w:val="22"/>
        </w:rPr>
        <w:tab/>
      </w:r>
      <w:r w:rsidRPr="005F15DA">
        <w:rPr>
          <w:rFonts w:cs="Arial"/>
          <w:szCs w:val="22"/>
        </w:rPr>
        <w:tab/>
        <w:t>Die Kantone können die vorstehenden Angaben via Internet öffentlich zugänglich machen.</w:t>
      </w:r>
    </w:p>
    <w:p w:rsidR="00ED5466" w:rsidRPr="005F15DA" w:rsidRDefault="00ED5466" w:rsidP="00861D85">
      <w:pPr>
        <w:tabs>
          <w:tab w:val="left" w:pos="426"/>
          <w:tab w:val="left" w:pos="851"/>
        </w:tabs>
        <w:spacing w:line="240" w:lineRule="auto"/>
        <w:ind w:left="851" w:hanging="851"/>
        <w:jc w:val="both"/>
        <w:rPr>
          <w:rFonts w:cs="Arial"/>
          <w:szCs w:val="22"/>
        </w:rPr>
      </w:pPr>
    </w:p>
    <w:p w:rsidR="00491067" w:rsidRDefault="00491067" w:rsidP="00861D85">
      <w:pPr>
        <w:tabs>
          <w:tab w:val="left" w:pos="426"/>
          <w:tab w:val="left" w:pos="851"/>
        </w:tabs>
        <w:spacing w:line="240" w:lineRule="auto"/>
        <w:ind w:left="851" w:hanging="851"/>
        <w:jc w:val="both"/>
        <w:rPr>
          <w:rFonts w:cs="Arial"/>
          <w:szCs w:val="22"/>
        </w:rPr>
      </w:pPr>
      <w:r w:rsidRPr="005F15DA">
        <w:rPr>
          <w:rFonts w:cs="Arial"/>
          <w:szCs w:val="22"/>
        </w:rPr>
        <w:tab/>
      </w:r>
      <w:r w:rsidRPr="005F15DA">
        <w:rPr>
          <w:rFonts w:cs="Arial"/>
          <w:szCs w:val="22"/>
        </w:rPr>
        <w:tab/>
      </w:r>
      <w:r w:rsidR="005844CD" w:rsidRPr="005F15DA">
        <w:rPr>
          <w:rFonts w:cs="Arial"/>
          <w:szCs w:val="22"/>
        </w:rPr>
        <w:t>Urkundspersonen (Notaren), Geometern, Steuerbehörden, Gemeinden, Banken, usw. können mittels besonderer Vereinbarung Zugang zu den Daten des Haup</w:t>
      </w:r>
      <w:r w:rsidR="005844CD" w:rsidRPr="005F15DA">
        <w:rPr>
          <w:rFonts w:cs="Arial"/>
          <w:szCs w:val="22"/>
        </w:rPr>
        <w:t>t</w:t>
      </w:r>
      <w:r w:rsidR="005844CD" w:rsidRPr="005F15DA">
        <w:rPr>
          <w:rFonts w:cs="Arial"/>
          <w:szCs w:val="22"/>
        </w:rPr>
        <w:t>buchs, des Tagebuchs und der Hilfsregister, erhalten (im Kanton Bern das koste</w:t>
      </w:r>
      <w:r w:rsidR="005844CD" w:rsidRPr="005F15DA">
        <w:rPr>
          <w:rFonts w:cs="Arial"/>
          <w:szCs w:val="22"/>
        </w:rPr>
        <w:t>n</w:t>
      </w:r>
      <w:r w:rsidR="005844CD" w:rsidRPr="005F15DA">
        <w:rPr>
          <w:rFonts w:cs="Arial"/>
          <w:szCs w:val="22"/>
        </w:rPr>
        <w:t>pflichtige Grudis). Die Details für den erweiterten Zugang sind in Art. 29 und 30 GBV geregelt.</w:t>
      </w:r>
    </w:p>
    <w:p w:rsidR="00ED5466" w:rsidRPr="005F15DA" w:rsidRDefault="00ED5466" w:rsidP="00861D85">
      <w:pPr>
        <w:tabs>
          <w:tab w:val="left" w:pos="426"/>
          <w:tab w:val="left" w:pos="851"/>
        </w:tabs>
        <w:spacing w:line="240" w:lineRule="auto"/>
        <w:ind w:left="851" w:hanging="851"/>
        <w:jc w:val="both"/>
        <w:rPr>
          <w:rFonts w:cs="Arial"/>
          <w:szCs w:val="22"/>
        </w:rPr>
      </w:pPr>
    </w:p>
    <w:p w:rsidR="005844CD" w:rsidRPr="005F15DA" w:rsidRDefault="005844CD" w:rsidP="00861D85">
      <w:pPr>
        <w:tabs>
          <w:tab w:val="left" w:pos="426"/>
          <w:tab w:val="left" w:pos="851"/>
        </w:tabs>
        <w:spacing w:line="240" w:lineRule="auto"/>
        <w:ind w:left="851" w:hanging="851"/>
        <w:jc w:val="both"/>
        <w:rPr>
          <w:rFonts w:cs="Arial"/>
          <w:szCs w:val="22"/>
        </w:rPr>
      </w:pPr>
      <w:r w:rsidRPr="005F15DA">
        <w:rPr>
          <w:rFonts w:cs="Arial"/>
          <w:szCs w:val="22"/>
        </w:rPr>
        <w:lastRenderedPageBreak/>
        <w:tab/>
      </w:r>
      <w:r w:rsidRPr="005F15DA">
        <w:rPr>
          <w:rFonts w:cs="Arial"/>
          <w:szCs w:val="22"/>
        </w:rPr>
        <w:tab/>
        <w:t>Der Hauptbuchauszug gibt die rechtswirksamen Daten eines bestimmten Grundst</w:t>
      </w:r>
      <w:r w:rsidRPr="005F15DA">
        <w:rPr>
          <w:rFonts w:cs="Arial"/>
          <w:szCs w:val="22"/>
        </w:rPr>
        <w:t>ü</w:t>
      </w:r>
      <w:r w:rsidRPr="005F15DA">
        <w:rPr>
          <w:rFonts w:cs="Arial"/>
          <w:szCs w:val="22"/>
        </w:rPr>
        <w:t xml:space="preserve">ckes wieder. </w:t>
      </w:r>
    </w:p>
    <w:p w:rsidR="000B0FB1" w:rsidRDefault="000B0FB1" w:rsidP="00861D85">
      <w:pPr>
        <w:tabs>
          <w:tab w:val="left" w:pos="426"/>
          <w:tab w:val="left" w:pos="851"/>
        </w:tabs>
        <w:spacing w:line="240" w:lineRule="auto"/>
        <w:ind w:left="851" w:hanging="851"/>
        <w:jc w:val="both"/>
        <w:rPr>
          <w:rFonts w:cs="Arial"/>
          <w:szCs w:val="22"/>
        </w:rPr>
      </w:pPr>
    </w:p>
    <w:p w:rsidR="00ED5466" w:rsidRPr="005F15DA" w:rsidRDefault="00ED5466" w:rsidP="00861D85">
      <w:pPr>
        <w:tabs>
          <w:tab w:val="left" w:pos="426"/>
          <w:tab w:val="left" w:pos="851"/>
        </w:tabs>
        <w:spacing w:line="240" w:lineRule="auto"/>
        <w:ind w:left="851" w:hanging="851"/>
        <w:jc w:val="both"/>
        <w:rPr>
          <w:rFonts w:cs="Arial"/>
          <w:szCs w:val="22"/>
        </w:rPr>
      </w:pPr>
    </w:p>
    <w:p w:rsidR="005844CD" w:rsidRPr="005F15DA" w:rsidRDefault="001713D3" w:rsidP="00A8276A">
      <w:pPr>
        <w:pStyle w:val="berschrift4"/>
        <w:tabs>
          <w:tab w:val="left" w:pos="851"/>
        </w:tabs>
      </w:pPr>
      <w:r w:rsidRPr="005F15DA">
        <w:tab/>
        <w:t>7.</w:t>
      </w:r>
      <w:r w:rsidRPr="005F15DA">
        <w:tab/>
        <w:t>Datensicherheit und Aufbewahrungspflicht</w:t>
      </w:r>
      <w:r w:rsidR="00C64C8C" w:rsidRPr="005F15DA">
        <w:t xml:space="preserve"> (Art. 35 - 37 GBV)</w:t>
      </w:r>
    </w:p>
    <w:p w:rsidR="005844CD" w:rsidRDefault="005844CD" w:rsidP="00861D85">
      <w:pPr>
        <w:tabs>
          <w:tab w:val="left" w:pos="426"/>
          <w:tab w:val="left" w:pos="851"/>
        </w:tabs>
        <w:spacing w:line="240" w:lineRule="auto"/>
        <w:ind w:left="851" w:hanging="851"/>
        <w:jc w:val="both"/>
        <w:rPr>
          <w:rFonts w:cs="Arial"/>
          <w:szCs w:val="22"/>
        </w:rPr>
      </w:pPr>
      <w:r w:rsidRPr="005F15DA">
        <w:rPr>
          <w:rFonts w:cs="Arial"/>
          <w:szCs w:val="22"/>
        </w:rPr>
        <w:tab/>
      </w:r>
      <w:r w:rsidRPr="005F15DA">
        <w:rPr>
          <w:rFonts w:cs="Arial"/>
          <w:szCs w:val="22"/>
        </w:rPr>
        <w:tab/>
        <w:t xml:space="preserve">Die Daten des EDV-Grundbuchs inkl. </w:t>
      </w:r>
      <w:proofErr w:type="gramStart"/>
      <w:r w:rsidRPr="005F15DA">
        <w:rPr>
          <w:rFonts w:cs="Arial"/>
          <w:szCs w:val="22"/>
        </w:rPr>
        <w:t>elektronische</w:t>
      </w:r>
      <w:proofErr w:type="gramEnd"/>
      <w:r w:rsidRPr="005F15DA">
        <w:rPr>
          <w:rFonts w:cs="Arial"/>
          <w:szCs w:val="22"/>
        </w:rPr>
        <w:t xml:space="preserve"> Belege werden gespeichert und gesichert.</w:t>
      </w:r>
    </w:p>
    <w:p w:rsidR="00ED5466" w:rsidRPr="005F15DA" w:rsidRDefault="00ED5466" w:rsidP="00861D85">
      <w:pPr>
        <w:tabs>
          <w:tab w:val="left" w:pos="426"/>
          <w:tab w:val="left" w:pos="851"/>
        </w:tabs>
        <w:spacing w:line="240" w:lineRule="auto"/>
        <w:ind w:left="851" w:hanging="851"/>
        <w:jc w:val="both"/>
        <w:rPr>
          <w:rFonts w:cs="Arial"/>
          <w:szCs w:val="22"/>
        </w:rPr>
      </w:pPr>
    </w:p>
    <w:p w:rsidR="005844CD" w:rsidRPr="005F15DA" w:rsidRDefault="005844CD" w:rsidP="00861D85">
      <w:pPr>
        <w:tabs>
          <w:tab w:val="left" w:pos="426"/>
          <w:tab w:val="left" w:pos="851"/>
        </w:tabs>
        <w:spacing w:line="240" w:lineRule="auto"/>
        <w:ind w:left="851" w:hanging="851"/>
        <w:jc w:val="both"/>
        <w:rPr>
          <w:rFonts w:cs="Arial"/>
          <w:szCs w:val="22"/>
        </w:rPr>
      </w:pPr>
      <w:r w:rsidRPr="005F15DA">
        <w:rPr>
          <w:rFonts w:cs="Arial"/>
          <w:szCs w:val="22"/>
        </w:rPr>
        <w:tab/>
      </w:r>
      <w:r w:rsidRPr="005F15DA">
        <w:rPr>
          <w:rFonts w:cs="Arial"/>
          <w:szCs w:val="22"/>
        </w:rPr>
        <w:tab/>
        <w:t>Hauptbuch und Hilfsregister des Papiergrundbuchs inkl. geschlossener Hauptblätter sind geordnet, unbefristet und sicher aufzubewahren. Das gleiche gilt für Be</w:t>
      </w:r>
      <w:r w:rsidR="00965BEF" w:rsidRPr="005F15DA">
        <w:rPr>
          <w:rFonts w:cs="Arial"/>
          <w:szCs w:val="22"/>
        </w:rPr>
        <w:t>lege (nur Rechtsgrundausweise).</w:t>
      </w:r>
    </w:p>
    <w:p w:rsidR="001713D3" w:rsidRPr="005F15DA" w:rsidRDefault="001713D3" w:rsidP="00861D85">
      <w:pPr>
        <w:tabs>
          <w:tab w:val="left" w:pos="426"/>
          <w:tab w:val="left" w:pos="851"/>
        </w:tabs>
        <w:spacing w:line="240" w:lineRule="auto"/>
        <w:jc w:val="both"/>
        <w:rPr>
          <w:rFonts w:cs="Arial"/>
          <w:szCs w:val="22"/>
        </w:rPr>
      </w:pPr>
    </w:p>
    <w:p w:rsidR="003943C2" w:rsidRPr="005F15DA" w:rsidRDefault="003943C2" w:rsidP="00861D85">
      <w:pPr>
        <w:tabs>
          <w:tab w:val="left" w:pos="426"/>
          <w:tab w:val="left" w:pos="851"/>
        </w:tabs>
        <w:spacing w:line="240" w:lineRule="auto"/>
        <w:jc w:val="both"/>
        <w:rPr>
          <w:rFonts w:cs="Arial"/>
          <w:szCs w:val="22"/>
        </w:rPr>
      </w:pPr>
    </w:p>
    <w:p w:rsidR="001713D3" w:rsidRPr="005F15DA" w:rsidRDefault="001713D3" w:rsidP="005759BE">
      <w:pPr>
        <w:pStyle w:val="berschrift3"/>
        <w:rPr>
          <w:lang w:val="de-CH"/>
        </w:rPr>
      </w:pPr>
      <w:bookmarkStart w:id="169" w:name="_Toc432175689"/>
      <w:r w:rsidRPr="005F15DA">
        <w:rPr>
          <w:lang w:val="de-CH"/>
        </w:rPr>
        <w:t>2.</w:t>
      </w:r>
      <w:r w:rsidRPr="005F15DA">
        <w:rPr>
          <w:lang w:val="de-CH"/>
        </w:rPr>
        <w:tab/>
        <w:t>Geschäftsverkehr mit dem Grundbuchamt</w:t>
      </w:r>
      <w:bookmarkEnd w:id="169"/>
      <w:r w:rsidR="00F92FB6" w:rsidRPr="005F15DA">
        <w:rPr>
          <w:lang w:val="de-CH"/>
        </w:rPr>
        <w:t xml:space="preserve"> </w:t>
      </w:r>
    </w:p>
    <w:p w:rsidR="00F92FB6" w:rsidRPr="005F15DA" w:rsidRDefault="00F92FB6" w:rsidP="00F92FB6">
      <w:pPr>
        <w:tabs>
          <w:tab w:val="left" w:pos="426"/>
          <w:tab w:val="left" w:pos="851"/>
        </w:tabs>
        <w:spacing w:line="240" w:lineRule="auto"/>
        <w:jc w:val="both"/>
        <w:rPr>
          <w:rFonts w:cs="Arial"/>
          <w:szCs w:val="22"/>
        </w:rPr>
      </w:pPr>
    </w:p>
    <w:p w:rsidR="001713D3" w:rsidRPr="005F15DA" w:rsidRDefault="001713D3" w:rsidP="00A8276A">
      <w:pPr>
        <w:pStyle w:val="berschrift4"/>
        <w:tabs>
          <w:tab w:val="left" w:pos="851"/>
        </w:tabs>
      </w:pPr>
      <w:r w:rsidRPr="005F15DA">
        <w:tab/>
        <w:t>1.</w:t>
      </w:r>
      <w:r w:rsidRPr="005F15DA">
        <w:tab/>
        <w:t>Begriff</w:t>
      </w:r>
      <w:r w:rsidR="00C64C8C" w:rsidRPr="005F15DA">
        <w:t xml:space="preserve"> (Art. 38 GBV)</w:t>
      </w:r>
    </w:p>
    <w:p w:rsidR="003943C2" w:rsidRPr="005F15DA" w:rsidRDefault="003943C2" w:rsidP="003943C2">
      <w:pPr>
        <w:tabs>
          <w:tab w:val="left" w:pos="426"/>
          <w:tab w:val="left" w:pos="851"/>
        </w:tabs>
        <w:spacing w:line="240" w:lineRule="auto"/>
        <w:ind w:left="851" w:hanging="851"/>
        <w:jc w:val="both"/>
        <w:rPr>
          <w:rFonts w:cs="Arial"/>
          <w:szCs w:val="22"/>
        </w:rPr>
      </w:pPr>
      <w:r w:rsidRPr="005F15DA">
        <w:rPr>
          <w:rFonts w:cs="Arial"/>
          <w:szCs w:val="22"/>
        </w:rPr>
        <w:tab/>
      </w:r>
      <w:r w:rsidRPr="005F15DA">
        <w:rPr>
          <w:rFonts w:cs="Arial"/>
          <w:szCs w:val="22"/>
        </w:rPr>
        <w:tab/>
        <w:t>Der Geschäftsverkehr mit dem Grundbuchamt umfasst Eingaben an das Grun</w:t>
      </w:r>
      <w:r w:rsidRPr="005F15DA">
        <w:rPr>
          <w:rFonts w:cs="Arial"/>
          <w:szCs w:val="22"/>
        </w:rPr>
        <w:t>d</w:t>
      </w:r>
      <w:r w:rsidRPr="005F15DA">
        <w:rPr>
          <w:rFonts w:cs="Arial"/>
          <w:szCs w:val="22"/>
        </w:rPr>
        <w:t>buchamt (Anmeldung, usw.) sowie Zustellungen des Grundbuchamtes an die bete</w:t>
      </w:r>
      <w:r w:rsidRPr="005F15DA">
        <w:rPr>
          <w:rFonts w:cs="Arial"/>
          <w:szCs w:val="22"/>
        </w:rPr>
        <w:t>i</w:t>
      </w:r>
      <w:r w:rsidRPr="005F15DA">
        <w:rPr>
          <w:rFonts w:cs="Arial"/>
          <w:szCs w:val="22"/>
        </w:rPr>
        <w:t>ligten Parteien (Eintragungsbescheinigungen usw.).</w:t>
      </w:r>
    </w:p>
    <w:p w:rsidR="003943C2" w:rsidRPr="005F15DA" w:rsidRDefault="003943C2" w:rsidP="00861D85">
      <w:pPr>
        <w:tabs>
          <w:tab w:val="left" w:pos="426"/>
          <w:tab w:val="left" w:pos="851"/>
        </w:tabs>
        <w:spacing w:line="240" w:lineRule="auto"/>
        <w:jc w:val="both"/>
        <w:rPr>
          <w:rFonts w:cs="Arial"/>
          <w:szCs w:val="22"/>
        </w:rPr>
      </w:pPr>
    </w:p>
    <w:p w:rsidR="001713D3" w:rsidRPr="005F15DA" w:rsidRDefault="001713D3" w:rsidP="00A8276A">
      <w:pPr>
        <w:pStyle w:val="berschrift4"/>
        <w:tabs>
          <w:tab w:val="left" w:pos="851"/>
        </w:tabs>
      </w:pPr>
      <w:r w:rsidRPr="005F15DA">
        <w:tab/>
        <w:t>2.</w:t>
      </w:r>
      <w:r w:rsidRPr="005F15DA">
        <w:tab/>
        <w:t>Elektronischer Geschäftsverkehr</w:t>
      </w:r>
      <w:r w:rsidR="00C64C8C" w:rsidRPr="005F15DA">
        <w:t xml:space="preserve"> (Art. 39 - 45 GBV)</w:t>
      </w:r>
    </w:p>
    <w:p w:rsidR="003943C2" w:rsidRPr="005F15DA" w:rsidRDefault="003943C2" w:rsidP="003943C2">
      <w:pPr>
        <w:tabs>
          <w:tab w:val="left" w:pos="426"/>
          <w:tab w:val="left" w:pos="851"/>
        </w:tabs>
        <w:spacing w:line="240" w:lineRule="auto"/>
        <w:ind w:left="851" w:hanging="851"/>
        <w:jc w:val="both"/>
        <w:rPr>
          <w:rFonts w:cs="Arial"/>
          <w:szCs w:val="22"/>
        </w:rPr>
      </w:pPr>
      <w:r w:rsidRPr="005F15DA">
        <w:rPr>
          <w:rFonts w:cs="Arial"/>
          <w:szCs w:val="22"/>
        </w:rPr>
        <w:tab/>
      </w:r>
      <w:r w:rsidRPr="005F15DA">
        <w:rPr>
          <w:rFonts w:cs="Arial"/>
          <w:szCs w:val="22"/>
        </w:rPr>
        <w:tab/>
        <w:t>Die Kantone können für ihre Grundbuchämter den elektronischen Geschäftsverkehr zulassen. Die Übermittlung erfolgt über spezielle Zustellplattformen. (Art. 39 - 45 GBV)</w:t>
      </w:r>
    </w:p>
    <w:p w:rsidR="003943C2" w:rsidRPr="005F15DA" w:rsidRDefault="003943C2" w:rsidP="00861D85">
      <w:pPr>
        <w:tabs>
          <w:tab w:val="left" w:pos="426"/>
          <w:tab w:val="left" w:pos="851"/>
        </w:tabs>
        <w:spacing w:line="240" w:lineRule="auto"/>
        <w:jc w:val="both"/>
        <w:rPr>
          <w:rFonts w:cs="Arial"/>
          <w:szCs w:val="22"/>
        </w:rPr>
      </w:pPr>
    </w:p>
    <w:p w:rsidR="001713D3" w:rsidRPr="005F15DA" w:rsidRDefault="001713D3" w:rsidP="00861D85">
      <w:pPr>
        <w:tabs>
          <w:tab w:val="left" w:pos="426"/>
          <w:tab w:val="left" w:pos="851"/>
        </w:tabs>
        <w:spacing w:line="240" w:lineRule="auto"/>
        <w:jc w:val="both"/>
        <w:rPr>
          <w:rFonts w:cs="Arial"/>
          <w:szCs w:val="22"/>
        </w:rPr>
      </w:pPr>
    </w:p>
    <w:p w:rsidR="001713D3" w:rsidRPr="005F15DA" w:rsidRDefault="001713D3" w:rsidP="005759BE">
      <w:pPr>
        <w:pStyle w:val="berschrift3"/>
        <w:rPr>
          <w:lang w:val="de-CH"/>
        </w:rPr>
      </w:pPr>
      <w:bookmarkStart w:id="170" w:name="_Toc432175690"/>
      <w:r w:rsidRPr="005F15DA">
        <w:rPr>
          <w:lang w:val="de-CH"/>
        </w:rPr>
        <w:t>3.</w:t>
      </w:r>
      <w:r w:rsidRPr="005F15DA">
        <w:rPr>
          <w:lang w:val="de-CH"/>
        </w:rPr>
        <w:tab/>
        <w:t>Eintragung, Änderung und Löschung</w:t>
      </w:r>
      <w:bookmarkEnd w:id="170"/>
      <w:r w:rsidR="00F92FB6" w:rsidRPr="005F15DA">
        <w:rPr>
          <w:lang w:val="de-CH"/>
        </w:rPr>
        <w:t xml:space="preserve"> </w:t>
      </w:r>
    </w:p>
    <w:p w:rsidR="00F92FB6" w:rsidRPr="005F15DA" w:rsidRDefault="001713D3" w:rsidP="00F92FB6">
      <w:pPr>
        <w:tabs>
          <w:tab w:val="left" w:pos="426"/>
          <w:tab w:val="left" w:pos="851"/>
        </w:tabs>
        <w:spacing w:line="240" w:lineRule="auto"/>
        <w:jc w:val="both"/>
        <w:rPr>
          <w:rFonts w:cs="Arial"/>
          <w:szCs w:val="22"/>
        </w:rPr>
      </w:pPr>
      <w:r w:rsidRPr="005F15DA">
        <w:tab/>
      </w:r>
    </w:p>
    <w:p w:rsidR="001713D3" w:rsidRPr="005F15DA" w:rsidRDefault="001713D3" w:rsidP="00A8276A">
      <w:pPr>
        <w:pStyle w:val="berschrift4"/>
        <w:tabs>
          <w:tab w:val="left" w:pos="851"/>
        </w:tabs>
      </w:pPr>
      <w:r w:rsidRPr="005F15DA">
        <w:t>1.</w:t>
      </w:r>
      <w:r w:rsidRPr="005F15DA">
        <w:tab/>
        <w:t>Anmeldung</w:t>
      </w:r>
      <w:r w:rsidR="00F92FB6" w:rsidRPr="005F15DA">
        <w:t xml:space="preserve"> (Art. 46 </w:t>
      </w:r>
      <w:r w:rsidR="00C64C8C" w:rsidRPr="005F15DA">
        <w:t>- 61 GBV)</w:t>
      </w:r>
    </w:p>
    <w:p w:rsidR="003943C2" w:rsidRPr="005F15DA" w:rsidRDefault="001713D3" w:rsidP="009D34F3">
      <w:pPr>
        <w:pStyle w:val="Listenabsatz"/>
        <w:numPr>
          <w:ilvl w:val="2"/>
          <w:numId w:val="21"/>
        </w:numPr>
        <w:tabs>
          <w:tab w:val="left" w:pos="426"/>
          <w:tab w:val="left" w:pos="851"/>
          <w:tab w:val="left" w:pos="1276"/>
        </w:tabs>
        <w:spacing w:line="240" w:lineRule="auto"/>
        <w:ind w:left="1276" w:hanging="425"/>
        <w:jc w:val="both"/>
        <w:rPr>
          <w:rFonts w:cs="Arial"/>
          <w:szCs w:val="22"/>
          <w:u w:val="single"/>
        </w:rPr>
      </w:pPr>
      <w:r w:rsidRPr="005F15DA">
        <w:rPr>
          <w:rFonts w:cs="Arial"/>
          <w:szCs w:val="22"/>
          <w:u w:val="single"/>
        </w:rPr>
        <w:t>Allgemeine Bestimmungen</w:t>
      </w:r>
    </w:p>
    <w:p w:rsidR="001713D3" w:rsidRPr="005F15DA" w:rsidRDefault="003943C2" w:rsidP="009D34F3">
      <w:pPr>
        <w:pStyle w:val="Listenabsatz"/>
        <w:numPr>
          <w:ilvl w:val="3"/>
          <w:numId w:val="21"/>
        </w:numPr>
        <w:tabs>
          <w:tab w:val="left" w:pos="426"/>
          <w:tab w:val="left" w:pos="851"/>
          <w:tab w:val="left" w:pos="1276"/>
        </w:tabs>
        <w:spacing w:line="240" w:lineRule="auto"/>
        <w:ind w:left="1560" w:hanging="284"/>
        <w:jc w:val="both"/>
        <w:rPr>
          <w:rFonts w:cs="Arial"/>
          <w:szCs w:val="22"/>
        </w:rPr>
      </w:pPr>
      <w:r w:rsidRPr="005F15DA">
        <w:rPr>
          <w:rFonts w:cs="Arial"/>
          <w:szCs w:val="22"/>
        </w:rPr>
        <w:t xml:space="preserve">Das Grundbuchamt nimmt Eintragungen nur auf </w:t>
      </w:r>
      <w:r w:rsidRPr="005F15DA">
        <w:rPr>
          <w:rFonts w:cs="Arial"/>
          <w:szCs w:val="22"/>
          <w:u w:val="single"/>
        </w:rPr>
        <w:t>Anmeldung</w:t>
      </w:r>
      <w:r w:rsidRPr="005F15DA">
        <w:rPr>
          <w:rFonts w:cs="Arial"/>
          <w:szCs w:val="22"/>
        </w:rPr>
        <w:t xml:space="preserve"> hin vor.</w:t>
      </w:r>
    </w:p>
    <w:p w:rsidR="003943C2" w:rsidRPr="005F15DA" w:rsidRDefault="003943C2" w:rsidP="009D34F3">
      <w:pPr>
        <w:pStyle w:val="Listenabsatz"/>
        <w:numPr>
          <w:ilvl w:val="3"/>
          <w:numId w:val="21"/>
        </w:numPr>
        <w:tabs>
          <w:tab w:val="left" w:pos="426"/>
          <w:tab w:val="left" w:pos="851"/>
          <w:tab w:val="left" w:pos="1276"/>
        </w:tabs>
        <w:spacing w:line="240" w:lineRule="auto"/>
        <w:ind w:left="1560" w:hanging="284"/>
        <w:jc w:val="both"/>
        <w:rPr>
          <w:rFonts w:cs="Arial"/>
          <w:szCs w:val="22"/>
        </w:rPr>
      </w:pPr>
      <w:r w:rsidRPr="005F15DA">
        <w:rPr>
          <w:rFonts w:cs="Arial"/>
          <w:szCs w:val="22"/>
        </w:rPr>
        <w:t xml:space="preserve">Die Anmeldung muss </w:t>
      </w:r>
      <w:r w:rsidRPr="005F15DA">
        <w:rPr>
          <w:rFonts w:cs="Arial"/>
          <w:szCs w:val="22"/>
          <w:u w:val="single"/>
        </w:rPr>
        <w:t>unbedingt und vorbehaltlos</w:t>
      </w:r>
      <w:r w:rsidRPr="005F15DA">
        <w:rPr>
          <w:rFonts w:cs="Arial"/>
          <w:szCs w:val="22"/>
        </w:rPr>
        <w:t xml:space="preserve"> erfolgen. Die Anmeldung kann nur mit Zustimmung der begünstigten Person zurückgezogen werden. In der Anmeldung ist jede vorzunehmende Eintragung einzeln aufzuführen. Werden mehrere Anmeldungen gleichzeitig eingereicht, die miteinander im Zusammenhang stehen, so ist anzugeben, in welcher Reihenfolge sie beha</w:t>
      </w:r>
      <w:r w:rsidRPr="005F15DA">
        <w:rPr>
          <w:rFonts w:cs="Arial"/>
          <w:szCs w:val="22"/>
        </w:rPr>
        <w:t>n</w:t>
      </w:r>
      <w:r w:rsidRPr="005F15DA">
        <w:rPr>
          <w:rFonts w:cs="Arial"/>
          <w:szCs w:val="22"/>
        </w:rPr>
        <w:t>delt werden sollen.</w:t>
      </w:r>
    </w:p>
    <w:p w:rsidR="007E5651" w:rsidRPr="005F15DA" w:rsidRDefault="007E5651" w:rsidP="009D34F3">
      <w:pPr>
        <w:pStyle w:val="Listenabsatz"/>
        <w:numPr>
          <w:ilvl w:val="3"/>
          <w:numId w:val="21"/>
        </w:numPr>
        <w:tabs>
          <w:tab w:val="left" w:pos="426"/>
          <w:tab w:val="left" w:pos="851"/>
          <w:tab w:val="left" w:pos="1276"/>
        </w:tabs>
        <w:spacing w:line="240" w:lineRule="auto"/>
        <w:ind w:left="1560" w:hanging="284"/>
        <w:jc w:val="both"/>
        <w:rPr>
          <w:rFonts w:cs="Arial"/>
          <w:szCs w:val="22"/>
        </w:rPr>
      </w:pPr>
      <w:r w:rsidRPr="005F15DA">
        <w:rPr>
          <w:rFonts w:cs="Arial"/>
          <w:szCs w:val="22"/>
        </w:rPr>
        <w:t xml:space="preserve">Die Anmeldung muss </w:t>
      </w:r>
      <w:r w:rsidRPr="005F15DA">
        <w:rPr>
          <w:rFonts w:cs="Arial"/>
          <w:szCs w:val="22"/>
          <w:u w:val="single"/>
        </w:rPr>
        <w:t>schriftlich</w:t>
      </w:r>
      <w:r w:rsidRPr="005F15DA">
        <w:rPr>
          <w:rFonts w:cs="Arial"/>
          <w:szCs w:val="22"/>
        </w:rPr>
        <w:t xml:space="preserve"> erfolgen.</w:t>
      </w:r>
    </w:p>
    <w:p w:rsidR="007E5651" w:rsidRPr="005F15DA" w:rsidRDefault="007E5651" w:rsidP="009D34F3">
      <w:pPr>
        <w:pStyle w:val="Listenabsatz"/>
        <w:numPr>
          <w:ilvl w:val="3"/>
          <w:numId w:val="21"/>
        </w:numPr>
        <w:tabs>
          <w:tab w:val="left" w:pos="426"/>
          <w:tab w:val="left" w:pos="851"/>
          <w:tab w:val="left" w:pos="1276"/>
        </w:tabs>
        <w:spacing w:line="240" w:lineRule="auto"/>
        <w:ind w:left="1560" w:hanging="284"/>
        <w:jc w:val="both"/>
        <w:rPr>
          <w:rFonts w:cs="Arial"/>
          <w:szCs w:val="22"/>
        </w:rPr>
      </w:pPr>
      <w:r w:rsidRPr="005F15DA">
        <w:rPr>
          <w:rFonts w:cs="Arial"/>
          <w:szCs w:val="22"/>
        </w:rPr>
        <w:t>Vertreter (juristische Person, usw.) müssen die Vertretungsmacht nachwe</w:t>
      </w:r>
      <w:r w:rsidRPr="005F15DA">
        <w:rPr>
          <w:rFonts w:cs="Arial"/>
          <w:szCs w:val="22"/>
        </w:rPr>
        <w:t>i</w:t>
      </w:r>
      <w:r w:rsidRPr="005F15DA">
        <w:rPr>
          <w:rFonts w:cs="Arial"/>
          <w:szCs w:val="22"/>
        </w:rPr>
        <w:t>sen.</w:t>
      </w:r>
    </w:p>
    <w:p w:rsidR="00A2301C" w:rsidRPr="005F15DA" w:rsidRDefault="007E5651" w:rsidP="009D34F3">
      <w:pPr>
        <w:pStyle w:val="Listenabsatz"/>
        <w:numPr>
          <w:ilvl w:val="3"/>
          <w:numId w:val="21"/>
        </w:numPr>
        <w:tabs>
          <w:tab w:val="left" w:pos="426"/>
          <w:tab w:val="left" w:pos="851"/>
          <w:tab w:val="left" w:pos="1276"/>
        </w:tabs>
        <w:spacing w:line="240" w:lineRule="auto"/>
        <w:ind w:left="1560" w:hanging="284"/>
        <w:jc w:val="both"/>
        <w:rPr>
          <w:rFonts w:cs="Arial"/>
          <w:szCs w:val="22"/>
        </w:rPr>
      </w:pPr>
      <w:r w:rsidRPr="005F15DA">
        <w:rPr>
          <w:rFonts w:cs="Arial"/>
          <w:szCs w:val="22"/>
        </w:rPr>
        <w:t>Die Anmeldungsbelege müssen für die verfügende und die erwerbende Pe</w:t>
      </w:r>
      <w:r w:rsidRPr="005F15DA">
        <w:rPr>
          <w:rFonts w:cs="Arial"/>
          <w:szCs w:val="22"/>
        </w:rPr>
        <w:t>r</w:t>
      </w:r>
      <w:r w:rsidRPr="005F15DA">
        <w:rPr>
          <w:rFonts w:cs="Arial"/>
          <w:szCs w:val="22"/>
        </w:rPr>
        <w:t xml:space="preserve">son die </w:t>
      </w:r>
      <w:r w:rsidRPr="005F15DA">
        <w:rPr>
          <w:rFonts w:cs="Arial"/>
          <w:szCs w:val="22"/>
          <w:u w:val="single"/>
        </w:rPr>
        <w:t>genauen Personalien</w:t>
      </w:r>
      <w:r w:rsidRPr="005F15DA">
        <w:rPr>
          <w:rFonts w:cs="Arial"/>
          <w:szCs w:val="22"/>
        </w:rPr>
        <w:t xml:space="preserve"> enthalten. </w:t>
      </w:r>
    </w:p>
    <w:p w:rsidR="00A2301C" w:rsidRPr="005F15DA" w:rsidRDefault="007E5651" w:rsidP="00A2301C">
      <w:pPr>
        <w:pStyle w:val="Listenabsatz"/>
        <w:tabs>
          <w:tab w:val="left" w:pos="426"/>
          <w:tab w:val="left" w:pos="851"/>
          <w:tab w:val="left" w:pos="1276"/>
        </w:tabs>
        <w:spacing w:line="240" w:lineRule="auto"/>
        <w:ind w:left="1560"/>
        <w:jc w:val="both"/>
        <w:rPr>
          <w:rFonts w:cs="Arial"/>
          <w:szCs w:val="22"/>
        </w:rPr>
      </w:pPr>
      <w:r w:rsidRPr="005F15DA">
        <w:rPr>
          <w:rFonts w:cs="Arial"/>
          <w:szCs w:val="22"/>
        </w:rPr>
        <w:t xml:space="preserve">Für </w:t>
      </w:r>
      <w:r w:rsidRPr="00ED5466">
        <w:rPr>
          <w:rFonts w:cs="Arial"/>
          <w:szCs w:val="22"/>
          <w:u w:val="single"/>
        </w:rPr>
        <w:t>natürliche Personen</w:t>
      </w:r>
      <w:r w:rsidRPr="005F15DA">
        <w:rPr>
          <w:rFonts w:cs="Arial"/>
          <w:szCs w:val="22"/>
        </w:rPr>
        <w:t xml:space="preserve"> sind dies: Name, Vornamen, Geburtsdatum, G</w:t>
      </w:r>
      <w:r w:rsidRPr="005F15DA">
        <w:rPr>
          <w:rFonts w:cs="Arial"/>
          <w:szCs w:val="22"/>
        </w:rPr>
        <w:t>e</w:t>
      </w:r>
      <w:r w:rsidRPr="005F15DA">
        <w:rPr>
          <w:rFonts w:cs="Arial"/>
          <w:szCs w:val="22"/>
        </w:rPr>
        <w:t xml:space="preserve">schlecht, Wohnort, Heimatort oder Staatsangehörigkeit; zudem ist eine Pass- oder ID-Kopie beizulegen. </w:t>
      </w:r>
    </w:p>
    <w:p w:rsidR="00A2301C" w:rsidRPr="005F15DA" w:rsidRDefault="007E5651" w:rsidP="00A2301C">
      <w:pPr>
        <w:pStyle w:val="Listenabsatz"/>
        <w:tabs>
          <w:tab w:val="left" w:pos="426"/>
          <w:tab w:val="left" w:pos="851"/>
          <w:tab w:val="left" w:pos="1276"/>
        </w:tabs>
        <w:spacing w:line="240" w:lineRule="auto"/>
        <w:ind w:left="1560"/>
        <w:jc w:val="both"/>
        <w:rPr>
          <w:rFonts w:cs="Arial"/>
          <w:szCs w:val="22"/>
        </w:rPr>
      </w:pPr>
      <w:r w:rsidRPr="005F15DA">
        <w:rPr>
          <w:rFonts w:cs="Arial"/>
          <w:szCs w:val="22"/>
        </w:rPr>
        <w:t xml:space="preserve">Für </w:t>
      </w:r>
      <w:r w:rsidRPr="00ED5466">
        <w:rPr>
          <w:rFonts w:cs="Arial"/>
          <w:szCs w:val="22"/>
          <w:u w:val="single"/>
        </w:rPr>
        <w:t>juristische Personen</w:t>
      </w:r>
      <w:r w:rsidRPr="005F15DA">
        <w:rPr>
          <w:rFonts w:cs="Arial"/>
          <w:szCs w:val="22"/>
        </w:rPr>
        <w:t xml:space="preserve"> usw. sind dies: die Firma (bzw. der Name), die U</w:t>
      </w:r>
      <w:r w:rsidRPr="005F15DA">
        <w:rPr>
          <w:rFonts w:cs="Arial"/>
          <w:szCs w:val="22"/>
        </w:rPr>
        <w:t>n</w:t>
      </w:r>
      <w:r w:rsidRPr="005F15DA">
        <w:rPr>
          <w:rFonts w:cs="Arial"/>
          <w:szCs w:val="22"/>
        </w:rPr>
        <w:t xml:space="preserve">ternehmens-Identifikations-Nummer (UID), der Sitz und die Rechtsform. </w:t>
      </w:r>
    </w:p>
    <w:p w:rsidR="00A2301C" w:rsidRPr="005F15DA" w:rsidRDefault="007E5651" w:rsidP="00A2301C">
      <w:pPr>
        <w:pStyle w:val="Listenabsatz"/>
        <w:tabs>
          <w:tab w:val="left" w:pos="426"/>
          <w:tab w:val="left" w:pos="851"/>
          <w:tab w:val="left" w:pos="1276"/>
        </w:tabs>
        <w:spacing w:line="240" w:lineRule="auto"/>
        <w:ind w:left="1560"/>
        <w:jc w:val="both"/>
        <w:rPr>
          <w:rFonts w:cs="Arial"/>
          <w:szCs w:val="22"/>
        </w:rPr>
      </w:pPr>
      <w:r w:rsidRPr="005F15DA">
        <w:rPr>
          <w:rFonts w:cs="Arial"/>
          <w:szCs w:val="22"/>
        </w:rPr>
        <w:t>Die Anmeldungsbelege müssen zudem die Angaben zur Beurteilung entha</w:t>
      </w:r>
      <w:r w:rsidRPr="005F15DA">
        <w:rPr>
          <w:rFonts w:cs="Arial"/>
          <w:szCs w:val="22"/>
        </w:rPr>
        <w:t>l</w:t>
      </w:r>
      <w:r w:rsidRPr="005F15DA">
        <w:rPr>
          <w:rFonts w:cs="Arial"/>
          <w:szCs w:val="22"/>
        </w:rPr>
        <w:t>ten, ob für die Verfügung über ein Grundstück die Bewilligung einer Behörde (z.B. BGBB-Bewilligung) oder die Zustimmung Dritter (z.B. Ehegatte) nötig ist.</w:t>
      </w:r>
    </w:p>
    <w:p w:rsidR="007E5651" w:rsidRPr="005F15DA" w:rsidRDefault="000B0F97" w:rsidP="00A2301C">
      <w:pPr>
        <w:pStyle w:val="Listenabsatz"/>
        <w:tabs>
          <w:tab w:val="left" w:pos="426"/>
          <w:tab w:val="left" w:pos="851"/>
          <w:tab w:val="left" w:pos="1276"/>
        </w:tabs>
        <w:spacing w:line="240" w:lineRule="auto"/>
        <w:ind w:left="1560"/>
        <w:jc w:val="both"/>
        <w:rPr>
          <w:rFonts w:cs="Arial"/>
          <w:szCs w:val="22"/>
        </w:rPr>
      </w:pPr>
      <w:r w:rsidRPr="005F15DA">
        <w:rPr>
          <w:rFonts w:cs="Arial"/>
          <w:szCs w:val="22"/>
        </w:rPr>
        <w:t>Beim Erwerb zu Gesamteigentum muss zudem das Rechtsverhältnis, we</w:t>
      </w:r>
      <w:r w:rsidRPr="005F15DA">
        <w:rPr>
          <w:rFonts w:cs="Arial"/>
          <w:szCs w:val="22"/>
        </w:rPr>
        <w:t>l</w:t>
      </w:r>
      <w:r w:rsidRPr="005F15DA">
        <w:rPr>
          <w:rFonts w:cs="Arial"/>
          <w:szCs w:val="22"/>
        </w:rPr>
        <w:t>che</w:t>
      </w:r>
      <w:r w:rsidR="00A2301C" w:rsidRPr="005F15DA">
        <w:rPr>
          <w:rFonts w:cs="Arial"/>
          <w:szCs w:val="22"/>
        </w:rPr>
        <w:t>s</w:t>
      </w:r>
      <w:r w:rsidRPr="005F15DA">
        <w:rPr>
          <w:rFonts w:cs="Arial"/>
          <w:szCs w:val="22"/>
        </w:rPr>
        <w:t xml:space="preserve"> die Gemeinschaft begründet, angegeben werden (z.B. einfache Gesel</w:t>
      </w:r>
      <w:r w:rsidRPr="005F15DA">
        <w:rPr>
          <w:rFonts w:cs="Arial"/>
          <w:szCs w:val="22"/>
        </w:rPr>
        <w:t>l</w:t>
      </w:r>
      <w:r w:rsidRPr="005F15DA">
        <w:rPr>
          <w:rFonts w:cs="Arial"/>
          <w:szCs w:val="22"/>
        </w:rPr>
        <w:t>schaft, Gütergemeinschaft).</w:t>
      </w:r>
    </w:p>
    <w:p w:rsidR="001713D3" w:rsidRPr="005F15DA" w:rsidRDefault="001713D3" w:rsidP="009D34F3">
      <w:pPr>
        <w:pStyle w:val="Listenabsatz"/>
        <w:numPr>
          <w:ilvl w:val="2"/>
          <w:numId w:val="21"/>
        </w:numPr>
        <w:tabs>
          <w:tab w:val="left" w:pos="426"/>
          <w:tab w:val="left" w:pos="851"/>
          <w:tab w:val="left" w:pos="1276"/>
        </w:tabs>
        <w:spacing w:line="240" w:lineRule="auto"/>
        <w:ind w:left="1276" w:hanging="425"/>
        <w:jc w:val="both"/>
        <w:rPr>
          <w:rFonts w:cs="Arial"/>
          <w:szCs w:val="22"/>
          <w:u w:val="single"/>
        </w:rPr>
      </w:pPr>
      <w:r w:rsidRPr="005F15DA">
        <w:rPr>
          <w:rFonts w:cs="Arial"/>
          <w:szCs w:val="22"/>
          <w:u w:val="single"/>
        </w:rPr>
        <w:lastRenderedPageBreak/>
        <w:t>Anmeldung von unmittelbaren gesetzlichen Pfandrechten</w:t>
      </w:r>
    </w:p>
    <w:p w:rsidR="000B0F97" w:rsidRPr="005F15DA" w:rsidRDefault="000B0F97" w:rsidP="000B0F97">
      <w:pPr>
        <w:pStyle w:val="Listenabsatz"/>
        <w:tabs>
          <w:tab w:val="left" w:pos="426"/>
          <w:tab w:val="left" w:pos="851"/>
          <w:tab w:val="left" w:pos="1276"/>
        </w:tabs>
        <w:spacing w:line="240" w:lineRule="auto"/>
        <w:ind w:left="1276"/>
        <w:jc w:val="both"/>
        <w:rPr>
          <w:rFonts w:cs="Arial"/>
          <w:szCs w:val="22"/>
        </w:rPr>
      </w:pPr>
      <w:r w:rsidRPr="005F15DA">
        <w:rPr>
          <w:rFonts w:cs="Arial"/>
          <w:szCs w:val="22"/>
        </w:rPr>
        <w:t>Unmittelbare gesetzliche Pfandrechte nach ZGB (Pfandrecht des Grundpfan</w:t>
      </w:r>
      <w:r w:rsidRPr="005F15DA">
        <w:rPr>
          <w:rFonts w:cs="Arial"/>
          <w:szCs w:val="22"/>
        </w:rPr>
        <w:t>d</w:t>
      </w:r>
      <w:r w:rsidRPr="005F15DA">
        <w:rPr>
          <w:rFonts w:cs="Arial"/>
          <w:szCs w:val="22"/>
        </w:rPr>
        <w:t xml:space="preserve">gläubigers zur Sicherung von Forderungen </w:t>
      </w:r>
      <w:r w:rsidR="00DF1A70" w:rsidRPr="005F15DA">
        <w:rPr>
          <w:rFonts w:cs="Arial"/>
          <w:szCs w:val="22"/>
        </w:rPr>
        <w:t>für</w:t>
      </w:r>
      <w:r w:rsidRPr="005F15DA">
        <w:rPr>
          <w:rFonts w:cs="Arial"/>
          <w:szCs w:val="22"/>
        </w:rPr>
        <w:t xml:space="preserve"> Vorkehren Art. 808 Abs. 4, </w:t>
      </w:r>
      <w:r w:rsidR="00DF1A70" w:rsidRPr="005F15DA">
        <w:rPr>
          <w:rFonts w:cs="Arial"/>
          <w:szCs w:val="22"/>
        </w:rPr>
        <w:t>Pfan</w:t>
      </w:r>
      <w:r w:rsidR="00DF1A70" w:rsidRPr="005F15DA">
        <w:rPr>
          <w:rFonts w:cs="Arial"/>
          <w:szCs w:val="22"/>
        </w:rPr>
        <w:t>d</w:t>
      </w:r>
      <w:r w:rsidR="00DF1A70" w:rsidRPr="005F15DA">
        <w:rPr>
          <w:rFonts w:cs="Arial"/>
          <w:szCs w:val="22"/>
        </w:rPr>
        <w:t>recht des Grundpfandgläubigers zur Sicherung von Forderungen für Vorkehren zur Beseitigung oder Abwehr der Wertverminderung Art. 810 Abs. 3, Pfandrecht des Grundpfandgläubigers zur Sicherung von Forderungen für Auslagen zur E</w:t>
      </w:r>
      <w:r w:rsidR="00DF1A70" w:rsidRPr="005F15DA">
        <w:rPr>
          <w:rFonts w:cs="Arial"/>
          <w:szCs w:val="22"/>
        </w:rPr>
        <w:t>r</w:t>
      </w:r>
      <w:r w:rsidR="00DF1A70" w:rsidRPr="005F15DA">
        <w:rPr>
          <w:rFonts w:cs="Arial"/>
          <w:szCs w:val="22"/>
        </w:rPr>
        <w:t>haltung der Pfandsache Art. 819 Abs. 2) werden auf Anmeldung des Grun</w:t>
      </w:r>
      <w:r w:rsidR="00DF1A70" w:rsidRPr="005F15DA">
        <w:rPr>
          <w:rFonts w:cs="Arial"/>
          <w:szCs w:val="22"/>
        </w:rPr>
        <w:t>d</w:t>
      </w:r>
      <w:r w:rsidR="00DF1A70" w:rsidRPr="005F15DA">
        <w:rPr>
          <w:rFonts w:cs="Arial"/>
          <w:szCs w:val="22"/>
        </w:rPr>
        <w:t>pfandgläubigers eingetragen, wenn der Eigentümer die Pfandsumme anerkennt oder die Pfandsumme gerichtlich festgestellt ist. Die Eintragungsfrist wird durch die Vormerkung einer vorläufigen Eintragung gewahrt.</w:t>
      </w:r>
    </w:p>
    <w:p w:rsidR="00DF1A70" w:rsidRPr="005F15DA" w:rsidRDefault="001713D3" w:rsidP="009D34F3">
      <w:pPr>
        <w:pStyle w:val="Listenabsatz"/>
        <w:numPr>
          <w:ilvl w:val="2"/>
          <w:numId w:val="21"/>
        </w:numPr>
        <w:tabs>
          <w:tab w:val="left" w:pos="426"/>
          <w:tab w:val="left" w:pos="851"/>
          <w:tab w:val="left" w:pos="1276"/>
        </w:tabs>
        <w:spacing w:line="240" w:lineRule="auto"/>
        <w:ind w:left="1276" w:hanging="425"/>
        <w:jc w:val="both"/>
        <w:rPr>
          <w:rFonts w:cs="Arial"/>
          <w:szCs w:val="22"/>
          <w:u w:val="single"/>
        </w:rPr>
      </w:pPr>
      <w:r w:rsidRPr="005F15DA">
        <w:rPr>
          <w:rFonts w:cs="Arial"/>
          <w:szCs w:val="22"/>
          <w:u w:val="single"/>
        </w:rPr>
        <w:t>Anmeldung von Anmerkungen</w:t>
      </w:r>
    </w:p>
    <w:p w:rsidR="00DF1A70" w:rsidRPr="005F15DA" w:rsidRDefault="00DF1A70" w:rsidP="00DF1A70">
      <w:pPr>
        <w:pStyle w:val="Listenabsatz"/>
        <w:tabs>
          <w:tab w:val="left" w:pos="426"/>
          <w:tab w:val="left" w:pos="851"/>
          <w:tab w:val="left" w:pos="1276"/>
        </w:tabs>
        <w:spacing w:line="240" w:lineRule="auto"/>
        <w:ind w:left="1276"/>
        <w:jc w:val="both"/>
        <w:rPr>
          <w:rFonts w:cs="Arial"/>
          <w:szCs w:val="22"/>
        </w:rPr>
      </w:pPr>
      <w:r w:rsidRPr="005F15DA">
        <w:rPr>
          <w:rFonts w:cs="Arial"/>
          <w:szCs w:val="22"/>
        </w:rPr>
        <w:t xml:space="preserve">Die Anmeldung einer Eigentumsbeschränkung erfolgt durch den </w:t>
      </w:r>
      <w:r w:rsidR="00C34FB1" w:rsidRPr="005F15DA">
        <w:rPr>
          <w:rFonts w:cs="Arial"/>
          <w:szCs w:val="22"/>
        </w:rPr>
        <w:t>Grunde</w:t>
      </w:r>
      <w:r w:rsidRPr="005F15DA">
        <w:rPr>
          <w:rFonts w:cs="Arial"/>
          <w:szCs w:val="22"/>
        </w:rPr>
        <w:t>igent</w:t>
      </w:r>
      <w:r w:rsidRPr="005F15DA">
        <w:rPr>
          <w:rFonts w:cs="Arial"/>
          <w:szCs w:val="22"/>
        </w:rPr>
        <w:t>ü</w:t>
      </w:r>
      <w:r w:rsidRPr="005F15DA">
        <w:rPr>
          <w:rFonts w:cs="Arial"/>
          <w:szCs w:val="22"/>
        </w:rPr>
        <w:t xml:space="preserve">mer </w:t>
      </w:r>
      <w:r w:rsidR="00C34FB1" w:rsidRPr="005F15DA">
        <w:rPr>
          <w:rFonts w:cs="Arial"/>
          <w:szCs w:val="22"/>
        </w:rPr>
        <w:t>oder den Eigentümer des von der Anmerkung betroffenen dinglichen Rechts. Für öffentlich-rechtliche Eigentumsbeschränkungen kann die Anme</w:t>
      </w:r>
      <w:r w:rsidR="00C34FB1" w:rsidRPr="005F15DA">
        <w:rPr>
          <w:rFonts w:cs="Arial"/>
          <w:szCs w:val="22"/>
        </w:rPr>
        <w:t>l</w:t>
      </w:r>
      <w:r w:rsidR="00C34FB1" w:rsidRPr="005F15DA">
        <w:rPr>
          <w:rFonts w:cs="Arial"/>
          <w:szCs w:val="22"/>
        </w:rPr>
        <w:t>dung zusätzlich durch die zuständige Behörde erfolgen.</w:t>
      </w:r>
    </w:p>
    <w:p w:rsidR="00C34FB1" w:rsidRPr="005F15DA" w:rsidRDefault="00C34FB1" w:rsidP="00DF1A70">
      <w:pPr>
        <w:pStyle w:val="Listenabsatz"/>
        <w:tabs>
          <w:tab w:val="left" w:pos="426"/>
          <w:tab w:val="left" w:pos="851"/>
          <w:tab w:val="left" w:pos="1276"/>
        </w:tabs>
        <w:spacing w:line="240" w:lineRule="auto"/>
        <w:ind w:left="1276"/>
        <w:jc w:val="both"/>
        <w:rPr>
          <w:rFonts w:cs="Arial"/>
          <w:szCs w:val="22"/>
        </w:rPr>
      </w:pPr>
      <w:r w:rsidRPr="005F15DA">
        <w:rPr>
          <w:rFonts w:cs="Arial"/>
          <w:szCs w:val="22"/>
        </w:rPr>
        <w:t>Beim Miteigentum kann jeder Miteigentümer die Anmerkung anmelden (Nu</w:t>
      </w:r>
      <w:r w:rsidRPr="005F15DA">
        <w:rPr>
          <w:rFonts w:cs="Arial"/>
          <w:szCs w:val="22"/>
        </w:rPr>
        <w:t>t</w:t>
      </w:r>
      <w:r w:rsidRPr="005F15DA">
        <w:rPr>
          <w:rFonts w:cs="Arial"/>
          <w:szCs w:val="22"/>
        </w:rPr>
        <w:t>zungs- und Verwaltungsordnung, Reglement der Miteigentümer, Verwaltungsb</w:t>
      </w:r>
      <w:r w:rsidRPr="005F15DA">
        <w:rPr>
          <w:rFonts w:cs="Arial"/>
          <w:szCs w:val="22"/>
        </w:rPr>
        <w:t>e</w:t>
      </w:r>
      <w:r w:rsidRPr="005F15DA">
        <w:rPr>
          <w:rFonts w:cs="Arial"/>
          <w:szCs w:val="22"/>
        </w:rPr>
        <w:t>schlüsse); beim Stockwerkeigentum ist zudem auch der Verwalter befugt.</w:t>
      </w:r>
    </w:p>
    <w:p w:rsidR="00C34FB1" w:rsidRPr="005F15DA" w:rsidRDefault="00C34FB1" w:rsidP="00DF1A70">
      <w:pPr>
        <w:pStyle w:val="Listenabsatz"/>
        <w:tabs>
          <w:tab w:val="left" w:pos="426"/>
          <w:tab w:val="left" w:pos="851"/>
          <w:tab w:val="left" w:pos="1276"/>
        </w:tabs>
        <w:spacing w:line="240" w:lineRule="auto"/>
        <w:ind w:left="1276"/>
        <w:jc w:val="both"/>
        <w:rPr>
          <w:rFonts w:cs="Arial"/>
          <w:szCs w:val="22"/>
        </w:rPr>
      </w:pPr>
      <w:r w:rsidRPr="005F15DA">
        <w:rPr>
          <w:rFonts w:cs="Arial"/>
          <w:szCs w:val="22"/>
        </w:rPr>
        <w:t>Handwerker und Unternehmer können den Werkbeginn anmelden (für das Ba</w:t>
      </w:r>
      <w:r w:rsidRPr="005F15DA">
        <w:rPr>
          <w:rFonts w:cs="Arial"/>
          <w:szCs w:val="22"/>
        </w:rPr>
        <w:t>u</w:t>
      </w:r>
      <w:r w:rsidRPr="005F15DA">
        <w:rPr>
          <w:rFonts w:cs="Arial"/>
          <w:szCs w:val="22"/>
        </w:rPr>
        <w:t>handwerkerpfandrecht).</w:t>
      </w:r>
    </w:p>
    <w:p w:rsidR="00C34FB1" w:rsidRPr="005F15DA" w:rsidRDefault="00C34FB1" w:rsidP="00DF1A70">
      <w:pPr>
        <w:pStyle w:val="Listenabsatz"/>
        <w:tabs>
          <w:tab w:val="left" w:pos="426"/>
          <w:tab w:val="left" w:pos="851"/>
          <w:tab w:val="left" w:pos="1276"/>
        </w:tabs>
        <w:spacing w:line="240" w:lineRule="auto"/>
        <w:ind w:left="1276"/>
        <w:jc w:val="both"/>
        <w:rPr>
          <w:rFonts w:cs="Arial"/>
          <w:szCs w:val="22"/>
        </w:rPr>
      </w:pPr>
      <w:r w:rsidRPr="005F15DA">
        <w:rPr>
          <w:rFonts w:cs="Arial"/>
          <w:szCs w:val="22"/>
        </w:rPr>
        <w:t>Die Grundbuchsperre kann vom Eigentümer oder der zuständigen Behörde a</w:t>
      </w:r>
      <w:r w:rsidRPr="005F15DA">
        <w:rPr>
          <w:rFonts w:cs="Arial"/>
          <w:szCs w:val="22"/>
        </w:rPr>
        <w:t>n</w:t>
      </w:r>
      <w:r w:rsidRPr="005F15DA">
        <w:rPr>
          <w:rFonts w:cs="Arial"/>
          <w:szCs w:val="22"/>
        </w:rPr>
        <w:t>gemeldet werden (Art. 56 GBV).</w:t>
      </w:r>
    </w:p>
    <w:p w:rsidR="00C34FB1" w:rsidRPr="005F15DA" w:rsidRDefault="00C34FB1" w:rsidP="00DF1A70">
      <w:pPr>
        <w:pStyle w:val="Listenabsatz"/>
        <w:tabs>
          <w:tab w:val="left" w:pos="426"/>
          <w:tab w:val="left" w:pos="851"/>
          <w:tab w:val="left" w:pos="1276"/>
        </w:tabs>
        <w:spacing w:line="240" w:lineRule="auto"/>
        <w:ind w:left="1276"/>
        <w:jc w:val="both"/>
        <w:rPr>
          <w:rFonts w:cs="Arial"/>
          <w:szCs w:val="22"/>
        </w:rPr>
      </w:pPr>
      <w:r w:rsidRPr="005F15DA">
        <w:rPr>
          <w:rFonts w:cs="Arial"/>
          <w:szCs w:val="22"/>
        </w:rPr>
        <w:t>Die Unterstellung oder Nichtunterstellung unter das BGBB wird von der zustä</w:t>
      </w:r>
      <w:r w:rsidRPr="005F15DA">
        <w:rPr>
          <w:rFonts w:cs="Arial"/>
          <w:szCs w:val="22"/>
        </w:rPr>
        <w:t>n</w:t>
      </w:r>
      <w:r w:rsidRPr="005F15DA">
        <w:rPr>
          <w:rFonts w:cs="Arial"/>
          <w:szCs w:val="22"/>
        </w:rPr>
        <w:t>digen Behörde angemeldet.</w:t>
      </w:r>
    </w:p>
    <w:p w:rsidR="00C34FB1" w:rsidRPr="005F15DA" w:rsidRDefault="00C34FB1" w:rsidP="00DF1A70">
      <w:pPr>
        <w:pStyle w:val="Listenabsatz"/>
        <w:tabs>
          <w:tab w:val="left" w:pos="426"/>
          <w:tab w:val="left" w:pos="851"/>
          <w:tab w:val="left" w:pos="1276"/>
        </w:tabs>
        <w:spacing w:line="240" w:lineRule="auto"/>
        <w:ind w:left="1276"/>
        <w:jc w:val="both"/>
        <w:rPr>
          <w:rFonts w:cs="Arial"/>
          <w:szCs w:val="22"/>
        </w:rPr>
      </w:pPr>
      <w:r w:rsidRPr="005F15DA">
        <w:rPr>
          <w:rFonts w:cs="Arial"/>
          <w:szCs w:val="22"/>
        </w:rPr>
        <w:t>Für die Anmeldung von Trustverhältnis, Enteignungsentschädigung, Änderungen der Landesgrenze, gesetzliche Wegrechte, siehe Art. 58 - 61 GBV.</w:t>
      </w:r>
    </w:p>
    <w:p w:rsidR="00136AE0" w:rsidRPr="005F15DA" w:rsidRDefault="00136AE0" w:rsidP="00861D85">
      <w:pPr>
        <w:tabs>
          <w:tab w:val="left" w:pos="426"/>
          <w:tab w:val="left" w:pos="851"/>
          <w:tab w:val="left" w:pos="1276"/>
        </w:tabs>
        <w:spacing w:line="240" w:lineRule="auto"/>
        <w:jc w:val="both"/>
        <w:rPr>
          <w:rFonts w:cs="Arial"/>
          <w:szCs w:val="22"/>
        </w:rPr>
      </w:pPr>
    </w:p>
    <w:p w:rsidR="001713D3" w:rsidRPr="005F15DA" w:rsidRDefault="001713D3" w:rsidP="00A8276A">
      <w:pPr>
        <w:pStyle w:val="berschrift4"/>
        <w:tabs>
          <w:tab w:val="left" w:pos="851"/>
        </w:tabs>
      </w:pPr>
      <w:r w:rsidRPr="005F15DA">
        <w:tab/>
        <w:t>2.</w:t>
      </w:r>
      <w:r w:rsidRPr="005F15DA">
        <w:tab/>
        <w:t>Rechtsgrundausweise</w:t>
      </w:r>
      <w:r w:rsidR="00F92FB6" w:rsidRPr="005F15DA">
        <w:t xml:space="preserve"> (Art. 62 - </w:t>
      </w:r>
      <w:r w:rsidR="00C64C8C" w:rsidRPr="005F15DA">
        <w:t>80 GBV)</w:t>
      </w:r>
    </w:p>
    <w:p w:rsidR="00CE4374" w:rsidRPr="005F15DA" w:rsidRDefault="001713D3" w:rsidP="009D34F3">
      <w:pPr>
        <w:pStyle w:val="Listenabsatz"/>
        <w:numPr>
          <w:ilvl w:val="2"/>
          <w:numId w:val="22"/>
        </w:numPr>
        <w:tabs>
          <w:tab w:val="left" w:pos="426"/>
          <w:tab w:val="left" w:pos="851"/>
          <w:tab w:val="left" w:pos="1276"/>
        </w:tabs>
        <w:spacing w:line="240" w:lineRule="auto"/>
        <w:ind w:left="1276" w:hanging="425"/>
        <w:jc w:val="both"/>
        <w:rPr>
          <w:rFonts w:cs="Arial"/>
          <w:szCs w:val="22"/>
          <w:u w:val="single"/>
        </w:rPr>
      </w:pPr>
      <w:r w:rsidRPr="005F15DA">
        <w:rPr>
          <w:rFonts w:cs="Arial"/>
          <w:szCs w:val="22"/>
          <w:u w:val="single"/>
        </w:rPr>
        <w:t>Allgemeine Bestimmungen</w:t>
      </w:r>
    </w:p>
    <w:p w:rsidR="001713D3" w:rsidRPr="005F15DA" w:rsidRDefault="00CE4374" w:rsidP="00CE4374">
      <w:pPr>
        <w:pStyle w:val="Listenabsatz"/>
        <w:tabs>
          <w:tab w:val="left" w:pos="426"/>
          <w:tab w:val="left" w:pos="851"/>
          <w:tab w:val="left" w:pos="1276"/>
        </w:tabs>
        <w:spacing w:line="240" w:lineRule="auto"/>
        <w:ind w:left="1276"/>
        <w:jc w:val="both"/>
        <w:rPr>
          <w:rFonts w:cs="Arial"/>
          <w:szCs w:val="22"/>
        </w:rPr>
      </w:pPr>
      <w:r w:rsidRPr="005F15DA">
        <w:rPr>
          <w:rFonts w:cs="Arial"/>
          <w:szCs w:val="22"/>
        </w:rPr>
        <w:t>Die Belege für Rechtsgrundausweise sind im Original, als Ausfertigung oder als beglaubigte Kopie einzureichen.</w:t>
      </w:r>
    </w:p>
    <w:p w:rsidR="00CE4374" w:rsidRPr="005F15DA" w:rsidRDefault="00CE4374" w:rsidP="00CE4374">
      <w:pPr>
        <w:pStyle w:val="Listenabsatz"/>
        <w:tabs>
          <w:tab w:val="left" w:pos="426"/>
          <w:tab w:val="left" w:pos="851"/>
          <w:tab w:val="left" w:pos="1276"/>
        </w:tabs>
        <w:spacing w:line="240" w:lineRule="auto"/>
        <w:ind w:left="1276"/>
        <w:jc w:val="both"/>
        <w:rPr>
          <w:rFonts w:cs="Arial"/>
          <w:szCs w:val="22"/>
        </w:rPr>
      </w:pPr>
      <w:r w:rsidRPr="005F15DA">
        <w:rPr>
          <w:rFonts w:cs="Arial"/>
          <w:szCs w:val="22"/>
        </w:rPr>
        <w:t>Ausländische öffentliche Urkunden werden unter den Voraussetzungen von Art. 63 GBV anerkannt.</w:t>
      </w:r>
    </w:p>
    <w:p w:rsidR="00CE4374" w:rsidRPr="005F15DA" w:rsidRDefault="001713D3" w:rsidP="009D34F3">
      <w:pPr>
        <w:pStyle w:val="Listenabsatz"/>
        <w:numPr>
          <w:ilvl w:val="2"/>
          <w:numId w:val="22"/>
        </w:numPr>
        <w:tabs>
          <w:tab w:val="left" w:pos="426"/>
          <w:tab w:val="left" w:pos="851"/>
          <w:tab w:val="left" w:pos="1276"/>
        </w:tabs>
        <w:spacing w:line="240" w:lineRule="auto"/>
        <w:ind w:left="1276" w:hanging="425"/>
        <w:jc w:val="both"/>
        <w:rPr>
          <w:rFonts w:cs="Arial"/>
          <w:szCs w:val="22"/>
          <w:u w:val="single"/>
        </w:rPr>
      </w:pPr>
      <w:r w:rsidRPr="005F15DA">
        <w:rPr>
          <w:rFonts w:cs="Arial"/>
          <w:szCs w:val="22"/>
          <w:u w:val="single"/>
        </w:rPr>
        <w:t>Eigentum</w:t>
      </w:r>
    </w:p>
    <w:p w:rsidR="00CE4374" w:rsidRPr="005F15DA" w:rsidRDefault="00CE4374" w:rsidP="00CE4374">
      <w:pPr>
        <w:pStyle w:val="Listenabsatz"/>
        <w:tabs>
          <w:tab w:val="left" w:pos="426"/>
          <w:tab w:val="left" w:pos="851"/>
          <w:tab w:val="left" w:pos="1276"/>
        </w:tabs>
        <w:spacing w:line="240" w:lineRule="auto"/>
        <w:ind w:left="1276"/>
        <w:jc w:val="both"/>
        <w:rPr>
          <w:rFonts w:cs="Arial"/>
          <w:szCs w:val="22"/>
        </w:rPr>
      </w:pPr>
      <w:r w:rsidRPr="005F15DA">
        <w:rPr>
          <w:rFonts w:cs="Arial"/>
          <w:szCs w:val="22"/>
        </w:rPr>
        <w:t>Wenn für den Eigentumserwerb die Grundbucheintragung konstitutiv (Art. 656 Abs. 1 ZGB) ist</w:t>
      </w:r>
      <w:r w:rsidR="002F2CB0" w:rsidRPr="005F15DA">
        <w:rPr>
          <w:rFonts w:cs="Arial"/>
          <w:szCs w:val="22"/>
        </w:rPr>
        <w:t>,</w:t>
      </w:r>
      <w:r w:rsidRPr="005F15DA">
        <w:rPr>
          <w:rFonts w:cs="Arial"/>
          <w:szCs w:val="22"/>
        </w:rPr>
        <w:t xml:space="preserve"> </w:t>
      </w:r>
      <w:r w:rsidR="00A822AD" w:rsidRPr="005F15DA">
        <w:rPr>
          <w:rFonts w:cs="Arial"/>
          <w:szCs w:val="22"/>
        </w:rPr>
        <w:t xml:space="preserve">muss dem Grundbuchamt </w:t>
      </w:r>
      <w:r w:rsidR="001E5C19" w:rsidRPr="005F15DA">
        <w:rPr>
          <w:rFonts w:cs="Arial"/>
          <w:szCs w:val="22"/>
        </w:rPr>
        <w:t>eine</w:t>
      </w:r>
      <w:r w:rsidR="00A822AD" w:rsidRPr="005F15DA">
        <w:rPr>
          <w:rFonts w:cs="Arial"/>
          <w:szCs w:val="22"/>
        </w:rPr>
        <w:t xml:space="preserve"> öffentliche Urkunde (priva</w:t>
      </w:r>
      <w:r w:rsidR="002F2CB0" w:rsidRPr="005F15DA">
        <w:rPr>
          <w:rFonts w:cs="Arial"/>
          <w:szCs w:val="22"/>
        </w:rPr>
        <w:t>trech</w:t>
      </w:r>
      <w:r w:rsidR="002F2CB0" w:rsidRPr="005F15DA">
        <w:rPr>
          <w:rFonts w:cs="Arial"/>
          <w:szCs w:val="22"/>
        </w:rPr>
        <w:t>t</w:t>
      </w:r>
      <w:r w:rsidR="002F2CB0" w:rsidRPr="005F15DA">
        <w:rPr>
          <w:rFonts w:cs="Arial"/>
          <w:szCs w:val="22"/>
        </w:rPr>
        <w:t>licher Vertrag) bzw. ein schriftlicher Teilungsvertrag mit Zustimmung aller Mite</w:t>
      </w:r>
      <w:r w:rsidR="002F2CB0" w:rsidRPr="005F15DA">
        <w:rPr>
          <w:rFonts w:cs="Arial"/>
          <w:szCs w:val="22"/>
        </w:rPr>
        <w:t>r</w:t>
      </w:r>
      <w:r w:rsidR="002F2CB0" w:rsidRPr="005F15DA">
        <w:rPr>
          <w:rFonts w:cs="Arial"/>
          <w:szCs w:val="22"/>
        </w:rPr>
        <w:t xml:space="preserve">ben (Erbteilung) bzw. </w:t>
      </w:r>
      <w:r w:rsidR="001E5C19" w:rsidRPr="005F15DA">
        <w:rPr>
          <w:rFonts w:cs="Arial"/>
          <w:szCs w:val="22"/>
        </w:rPr>
        <w:t xml:space="preserve">eine </w:t>
      </w:r>
      <w:r w:rsidR="002F2CB0" w:rsidRPr="005F15DA">
        <w:rPr>
          <w:rFonts w:cs="Arial"/>
          <w:szCs w:val="22"/>
        </w:rPr>
        <w:t xml:space="preserve">beglaubigte Kopie der Verfügung von Todes wegen mit Annahmeerklärung des Vermächtnisnehmers (Vermächtnis) bzw. </w:t>
      </w:r>
      <w:r w:rsidR="001E5C19" w:rsidRPr="005F15DA">
        <w:rPr>
          <w:rFonts w:cs="Arial"/>
          <w:szCs w:val="22"/>
        </w:rPr>
        <w:t xml:space="preserve">ein </w:t>
      </w:r>
      <w:r w:rsidR="002F2CB0" w:rsidRPr="005F15DA">
        <w:rPr>
          <w:rFonts w:cs="Arial"/>
          <w:szCs w:val="22"/>
        </w:rPr>
        <w:t>Kau</w:t>
      </w:r>
      <w:r w:rsidR="002F2CB0" w:rsidRPr="005F15DA">
        <w:rPr>
          <w:rFonts w:cs="Arial"/>
          <w:szCs w:val="22"/>
        </w:rPr>
        <w:t>f</w:t>
      </w:r>
      <w:r w:rsidR="002F2CB0" w:rsidRPr="005F15DA">
        <w:rPr>
          <w:rFonts w:cs="Arial"/>
          <w:szCs w:val="22"/>
        </w:rPr>
        <w:t>vertrag mit Ausübungserklärung des Vorkaufsberechtigten (Vorkaufsrecht) bzw. die Ausübungserklärung des Berechtigten (Kaufsrecht, Rüc</w:t>
      </w:r>
      <w:r w:rsidR="001E5C19" w:rsidRPr="005F15DA">
        <w:rPr>
          <w:rFonts w:cs="Arial"/>
          <w:szCs w:val="22"/>
        </w:rPr>
        <w:t>kkaufsrecht) usw. (Art. 64 GBV) eingereicht werden.</w:t>
      </w:r>
    </w:p>
    <w:p w:rsidR="001E5C19" w:rsidRPr="005F15DA" w:rsidRDefault="001E5C19" w:rsidP="00CE4374">
      <w:pPr>
        <w:pStyle w:val="Listenabsatz"/>
        <w:tabs>
          <w:tab w:val="left" w:pos="426"/>
          <w:tab w:val="left" w:pos="851"/>
          <w:tab w:val="left" w:pos="1276"/>
        </w:tabs>
        <w:spacing w:line="240" w:lineRule="auto"/>
        <w:ind w:left="1276"/>
        <w:jc w:val="both"/>
        <w:rPr>
          <w:rFonts w:cs="Arial"/>
          <w:szCs w:val="22"/>
        </w:rPr>
      </w:pPr>
      <w:r w:rsidRPr="005F15DA">
        <w:rPr>
          <w:rFonts w:cs="Arial"/>
          <w:szCs w:val="22"/>
        </w:rPr>
        <w:t>Wenn das Eigentum vor dem Grundbucheintrag erworben wird, muss dem Grundbuchamt ein Erbenschein (usw. gem. Art. 65 GBV) eingereicht werden.</w:t>
      </w:r>
    </w:p>
    <w:p w:rsidR="001E5C19" w:rsidRPr="005F15DA" w:rsidRDefault="001E5C19" w:rsidP="00CE4374">
      <w:pPr>
        <w:pStyle w:val="Listenabsatz"/>
        <w:tabs>
          <w:tab w:val="left" w:pos="426"/>
          <w:tab w:val="left" w:pos="851"/>
          <w:tab w:val="left" w:pos="1276"/>
        </w:tabs>
        <w:spacing w:line="240" w:lineRule="auto"/>
        <w:ind w:left="1276"/>
        <w:jc w:val="both"/>
        <w:rPr>
          <w:rFonts w:cs="Arial"/>
          <w:szCs w:val="22"/>
        </w:rPr>
      </w:pPr>
      <w:r w:rsidRPr="005F15DA">
        <w:rPr>
          <w:rFonts w:cs="Arial"/>
          <w:szCs w:val="22"/>
        </w:rPr>
        <w:t>Für die Tatbestände nach Fusionsgesetz siehe Art. 66 GBV, für den Trust siehe Art. 67 GBV.</w:t>
      </w:r>
    </w:p>
    <w:p w:rsidR="001E5C19" w:rsidRPr="005F15DA" w:rsidRDefault="001E5C19" w:rsidP="00CE4374">
      <w:pPr>
        <w:pStyle w:val="Listenabsatz"/>
        <w:tabs>
          <w:tab w:val="left" w:pos="426"/>
          <w:tab w:val="left" w:pos="851"/>
          <w:tab w:val="left" w:pos="1276"/>
        </w:tabs>
        <w:spacing w:line="240" w:lineRule="auto"/>
        <w:ind w:left="1276"/>
        <w:jc w:val="both"/>
        <w:rPr>
          <w:rFonts w:cs="Arial"/>
          <w:szCs w:val="22"/>
        </w:rPr>
      </w:pPr>
      <w:r w:rsidRPr="005F15DA">
        <w:rPr>
          <w:rFonts w:cs="Arial"/>
          <w:szCs w:val="22"/>
        </w:rPr>
        <w:t>Beim Stockwerkeigentum muss dem Grundbuchamt zusätzlich zur Begrü</w:t>
      </w:r>
      <w:r w:rsidRPr="005F15DA">
        <w:rPr>
          <w:rFonts w:cs="Arial"/>
          <w:szCs w:val="22"/>
        </w:rPr>
        <w:t>n</w:t>
      </w:r>
      <w:r w:rsidRPr="005F15DA">
        <w:rPr>
          <w:rFonts w:cs="Arial"/>
          <w:szCs w:val="22"/>
        </w:rPr>
        <w:t xml:space="preserve">dungsurkunde ein </w:t>
      </w:r>
      <w:r w:rsidR="00D23DB9" w:rsidRPr="005F15DA">
        <w:rPr>
          <w:rFonts w:cs="Arial"/>
          <w:szCs w:val="22"/>
        </w:rPr>
        <w:t>Plan eingereicht werden, aus welchem Lage und Abgrenzung der einzelnen Einheiten klar ersichtlich ist (Art. 68 GBV). Stockwerkeigentum vor Erstellung des Gebäudes kann nur eingetragen werden, wenn ein Aufteilung</w:t>
      </w:r>
      <w:r w:rsidR="00D23DB9" w:rsidRPr="005F15DA">
        <w:rPr>
          <w:rFonts w:cs="Arial"/>
          <w:szCs w:val="22"/>
        </w:rPr>
        <w:t>s</w:t>
      </w:r>
      <w:r w:rsidR="00D23DB9" w:rsidRPr="005F15DA">
        <w:rPr>
          <w:rFonts w:cs="Arial"/>
          <w:szCs w:val="22"/>
        </w:rPr>
        <w:t>plan eingereicht wird (Art. 69 GBV).</w:t>
      </w:r>
    </w:p>
    <w:p w:rsidR="00CE4374" w:rsidRPr="005F15DA" w:rsidRDefault="001713D3" w:rsidP="009D34F3">
      <w:pPr>
        <w:pStyle w:val="Listenabsatz"/>
        <w:numPr>
          <w:ilvl w:val="2"/>
          <w:numId w:val="22"/>
        </w:numPr>
        <w:tabs>
          <w:tab w:val="left" w:pos="426"/>
          <w:tab w:val="left" w:pos="851"/>
          <w:tab w:val="left" w:pos="1276"/>
        </w:tabs>
        <w:spacing w:line="240" w:lineRule="auto"/>
        <w:ind w:left="1276" w:hanging="425"/>
        <w:jc w:val="both"/>
        <w:rPr>
          <w:rFonts w:cs="Arial"/>
          <w:szCs w:val="22"/>
          <w:u w:val="single"/>
        </w:rPr>
      </w:pPr>
      <w:r w:rsidRPr="005F15DA">
        <w:rPr>
          <w:rFonts w:cs="Arial"/>
          <w:szCs w:val="22"/>
          <w:u w:val="single"/>
        </w:rPr>
        <w:t>Dienstbarkeiten, Grundlasten und ähnliche Rechte</w:t>
      </w:r>
    </w:p>
    <w:p w:rsidR="00CE4374" w:rsidRPr="005F15DA" w:rsidRDefault="00D23DB9" w:rsidP="00CE4374">
      <w:pPr>
        <w:pStyle w:val="Listenabsatz"/>
        <w:tabs>
          <w:tab w:val="left" w:pos="426"/>
          <w:tab w:val="left" w:pos="851"/>
          <w:tab w:val="left" w:pos="1276"/>
        </w:tabs>
        <w:spacing w:line="240" w:lineRule="auto"/>
        <w:ind w:left="1276"/>
        <w:jc w:val="both"/>
        <w:rPr>
          <w:rFonts w:cs="Arial"/>
          <w:szCs w:val="22"/>
        </w:rPr>
      </w:pPr>
      <w:r w:rsidRPr="005F15DA">
        <w:rPr>
          <w:rFonts w:cs="Arial"/>
          <w:szCs w:val="22"/>
        </w:rPr>
        <w:lastRenderedPageBreak/>
        <w:t>Für die Eintragung von Dienstbarkeiten und Grundlasten muss dem Grundbuc</w:t>
      </w:r>
      <w:r w:rsidRPr="005F15DA">
        <w:rPr>
          <w:rFonts w:cs="Arial"/>
          <w:szCs w:val="22"/>
        </w:rPr>
        <w:t>h</w:t>
      </w:r>
      <w:r w:rsidRPr="005F15DA">
        <w:rPr>
          <w:rFonts w:cs="Arial"/>
          <w:szCs w:val="22"/>
        </w:rPr>
        <w:t>amt ein Vertrag, ein Erbenschein, eine Erbteilung usw. eingereicht werden (Art. 70 in Verbindung mit Art. 64 und 65 GBV).</w:t>
      </w:r>
    </w:p>
    <w:p w:rsidR="00CE4374" w:rsidRPr="005F15DA" w:rsidRDefault="001713D3" w:rsidP="009D34F3">
      <w:pPr>
        <w:pStyle w:val="Listenabsatz"/>
        <w:numPr>
          <w:ilvl w:val="2"/>
          <w:numId w:val="22"/>
        </w:numPr>
        <w:tabs>
          <w:tab w:val="left" w:pos="426"/>
          <w:tab w:val="left" w:pos="851"/>
          <w:tab w:val="left" w:pos="1276"/>
        </w:tabs>
        <w:spacing w:line="240" w:lineRule="auto"/>
        <w:ind w:left="1276" w:hanging="425"/>
        <w:jc w:val="both"/>
        <w:rPr>
          <w:rFonts w:cs="Arial"/>
          <w:szCs w:val="22"/>
          <w:u w:val="single"/>
        </w:rPr>
      </w:pPr>
      <w:r w:rsidRPr="005F15DA">
        <w:rPr>
          <w:rFonts w:cs="Arial"/>
          <w:szCs w:val="22"/>
          <w:u w:val="single"/>
        </w:rPr>
        <w:t>Pfandrechte</w:t>
      </w:r>
    </w:p>
    <w:p w:rsidR="00CE4374" w:rsidRPr="005F15DA" w:rsidRDefault="00D23DB9" w:rsidP="00CE4374">
      <w:pPr>
        <w:pStyle w:val="Listenabsatz"/>
        <w:tabs>
          <w:tab w:val="left" w:pos="426"/>
          <w:tab w:val="left" w:pos="851"/>
          <w:tab w:val="left" w:pos="1276"/>
        </w:tabs>
        <w:spacing w:line="240" w:lineRule="auto"/>
        <w:ind w:left="1276"/>
        <w:jc w:val="both"/>
        <w:rPr>
          <w:rFonts w:cs="Arial"/>
          <w:szCs w:val="22"/>
        </w:rPr>
      </w:pPr>
      <w:r w:rsidRPr="005F15DA">
        <w:rPr>
          <w:rFonts w:cs="Arial"/>
          <w:szCs w:val="22"/>
        </w:rPr>
        <w:t>Für die Eintragung eines Pfandrechtes gelten für den Rechtsgrundausweis die Art. 64 und 65 GBV sinngemäss (Öffentliche Urkunde, Erbteilungsvertrag usw.).</w:t>
      </w:r>
    </w:p>
    <w:p w:rsidR="00D23DB9" w:rsidRPr="005F15DA" w:rsidRDefault="00D23DB9" w:rsidP="00CE4374">
      <w:pPr>
        <w:pStyle w:val="Listenabsatz"/>
        <w:tabs>
          <w:tab w:val="left" w:pos="426"/>
          <w:tab w:val="left" w:pos="851"/>
          <w:tab w:val="left" w:pos="1276"/>
        </w:tabs>
        <w:spacing w:line="240" w:lineRule="auto"/>
        <w:ind w:left="1276"/>
        <w:jc w:val="both"/>
        <w:rPr>
          <w:rFonts w:cs="Arial"/>
          <w:szCs w:val="22"/>
        </w:rPr>
      </w:pPr>
      <w:r w:rsidRPr="005F15DA">
        <w:rPr>
          <w:rFonts w:cs="Arial"/>
          <w:szCs w:val="22"/>
        </w:rPr>
        <w:t xml:space="preserve">Für die Umwandlung von Pfandrechten </w:t>
      </w:r>
      <w:r w:rsidR="00D502D5" w:rsidRPr="005F15DA">
        <w:rPr>
          <w:rFonts w:cs="Arial"/>
          <w:szCs w:val="22"/>
        </w:rPr>
        <w:t xml:space="preserve">(Papier-Schuldbrief, Register-Schuldbrief, Inhaberschuldbrief, Grundpfandverschreibung) </w:t>
      </w:r>
      <w:r w:rsidRPr="005F15DA">
        <w:rPr>
          <w:rFonts w:cs="Arial"/>
          <w:szCs w:val="22"/>
        </w:rPr>
        <w:t>muss dem Grun</w:t>
      </w:r>
      <w:r w:rsidRPr="005F15DA">
        <w:rPr>
          <w:rFonts w:cs="Arial"/>
          <w:szCs w:val="22"/>
        </w:rPr>
        <w:t>d</w:t>
      </w:r>
      <w:r w:rsidRPr="005F15DA">
        <w:rPr>
          <w:rFonts w:cs="Arial"/>
          <w:szCs w:val="22"/>
        </w:rPr>
        <w:t>buchamt eine öffentliche Urkunde vorgelegt werden (Art. 73 GBV).</w:t>
      </w:r>
      <w:r w:rsidR="00D502D5" w:rsidRPr="005F15DA">
        <w:rPr>
          <w:rFonts w:cs="Arial"/>
          <w:szCs w:val="22"/>
        </w:rPr>
        <w:t xml:space="preserve"> Für die U</w:t>
      </w:r>
      <w:r w:rsidR="00D502D5" w:rsidRPr="005F15DA">
        <w:rPr>
          <w:rFonts w:cs="Arial"/>
          <w:szCs w:val="22"/>
        </w:rPr>
        <w:t>m</w:t>
      </w:r>
      <w:r w:rsidR="00D502D5" w:rsidRPr="005F15DA">
        <w:rPr>
          <w:rFonts w:cs="Arial"/>
          <w:szCs w:val="22"/>
        </w:rPr>
        <w:t>wandlung von Papier-Schuldbriefen (vor 1.1.2012 ausgestellt) in Register-Schuldbriefe genügt ein schriftlicher Vertrag (Art. 74 GBV).</w:t>
      </w:r>
    </w:p>
    <w:p w:rsidR="00D502D5" w:rsidRPr="005F15DA" w:rsidRDefault="00D502D5" w:rsidP="00CE4374">
      <w:pPr>
        <w:pStyle w:val="Listenabsatz"/>
        <w:tabs>
          <w:tab w:val="left" w:pos="426"/>
          <w:tab w:val="left" w:pos="851"/>
          <w:tab w:val="left" w:pos="1276"/>
        </w:tabs>
        <w:spacing w:line="240" w:lineRule="auto"/>
        <w:ind w:left="1276"/>
        <w:jc w:val="both"/>
        <w:rPr>
          <w:rFonts w:cs="Arial"/>
          <w:szCs w:val="22"/>
        </w:rPr>
      </w:pPr>
      <w:r w:rsidRPr="005F15DA">
        <w:rPr>
          <w:rFonts w:cs="Arial"/>
          <w:szCs w:val="22"/>
        </w:rPr>
        <w:t>Für Pfandrechte bei Bodenverbesserungen und gesetzliche Grundpfandrechte siehe Art. 75 und 76 GBV).</w:t>
      </w:r>
    </w:p>
    <w:p w:rsidR="00CE4374" w:rsidRPr="005F15DA" w:rsidRDefault="001713D3" w:rsidP="009D34F3">
      <w:pPr>
        <w:pStyle w:val="Listenabsatz"/>
        <w:numPr>
          <w:ilvl w:val="2"/>
          <w:numId w:val="22"/>
        </w:numPr>
        <w:tabs>
          <w:tab w:val="left" w:pos="426"/>
          <w:tab w:val="left" w:pos="851"/>
          <w:tab w:val="left" w:pos="1276"/>
        </w:tabs>
        <w:spacing w:line="240" w:lineRule="auto"/>
        <w:ind w:left="1276" w:hanging="425"/>
        <w:jc w:val="both"/>
        <w:rPr>
          <w:rFonts w:cs="Arial"/>
          <w:szCs w:val="22"/>
          <w:u w:val="single"/>
        </w:rPr>
      </w:pPr>
      <w:r w:rsidRPr="005F15DA">
        <w:rPr>
          <w:rFonts w:cs="Arial"/>
          <w:szCs w:val="22"/>
          <w:u w:val="single"/>
        </w:rPr>
        <w:t>Vormerkungen und Anmerkungen</w:t>
      </w:r>
    </w:p>
    <w:p w:rsidR="00CE4374" w:rsidRPr="005F15DA" w:rsidRDefault="00D502D5" w:rsidP="00CE4374">
      <w:pPr>
        <w:pStyle w:val="Listenabsatz"/>
        <w:tabs>
          <w:tab w:val="left" w:pos="426"/>
          <w:tab w:val="left" w:pos="851"/>
          <w:tab w:val="left" w:pos="1276"/>
        </w:tabs>
        <w:spacing w:line="240" w:lineRule="auto"/>
        <w:ind w:left="1276"/>
        <w:jc w:val="both"/>
        <w:rPr>
          <w:rFonts w:cs="Arial"/>
          <w:szCs w:val="22"/>
        </w:rPr>
      </w:pPr>
      <w:r w:rsidRPr="005F15DA">
        <w:rPr>
          <w:rFonts w:cs="Arial"/>
          <w:szCs w:val="22"/>
        </w:rPr>
        <w:t>Der Rechtsgrundausweis für eine Vormerkung muss die Bedingungen für die Ausübung des vorgemerkten Rechs und allfällige Beschränkungen seiner Dauer enthalten (Art. 77 GBV).</w:t>
      </w:r>
    </w:p>
    <w:p w:rsidR="00D502D5" w:rsidRPr="005F15DA" w:rsidRDefault="00D502D5" w:rsidP="00CE4374">
      <w:pPr>
        <w:pStyle w:val="Listenabsatz"/>
        <w:tabs>
          <w:tab w:val="left" w:pos="426"/>
          <w:tab w:val="left" w:pos="851"/>
          <w:tab w:val="left" w:pos="1276"/>
        </w:tabs>
        <w:spacing w:line="240" w:lineRule="auto"/>
        <w:ind w:left="1276"/>
        <w:jc w:val="both"/>
        <w:rPr>
          <w:rFonts w:cs="Arial"/>
          <w:szCs w:val="22"/>
        </w:rPr>
      </w:pPr>
      <w:r w:rsidRPr="005F15DA">
        <w:rPr>
          <w:rFonts w:cs="Arial"/>
          <w:szCs w:val="22"/>
        </w:rPr>
        <w:t>Verschiedene vertraglich vereinbarte persönliche Rechte müssen öffentlich b</w:t>
      </w:r>
      <w:r w:rsidRPr="005F15DA">
        <w:rPr>
          <w:rFonts w:cs="Arial"/>
          <w:szCs w:val="22"/>
        </w:rPr>
        <w:t>e</w:t>
      </w:r>
      <w:r w:rsidRPr="005F15DA">
        <w:rPr>
          <w:rFonts w:cs="Arial"/>
          <w:szCs w:val="22"/>
        </w:rPr>
        <w:t>urkundet werden (Kaufsrecht, Rückkaufsrecht, limitiertes Vorkaufsrecht, Rüc</w:t>
      </w:r>
      <w:r w:rsidRPr="005F15DA">
        <w:rPr>
          <w:rFonts w:cs="Arial"/>
          <w:szCs w:val="22"/>
        </w:rPr>
        <w:t>k</w:t>
      </w:r>
      <w:r w:rsidRPr="005F15DA">
        <w:rPr>
          <w:rFonts w:cs="Arial"/>
          <w:szCs w:val="22"/>
        </w:rPr>
        <w:t>fallsrecht bei Schenkung, usw., Art. 78 GBV).</w:t>
      </w:r>
    </w:p>
    <w:p w:rsidR="00D502D5" w:rsidRPr="005F15DA" w:rsidRDefault="00D502D5" w:rsidP="00CE4374">
      <w:pPr>
        <w:pStyle w:val="Listenabsatz"/>
        <w:tabs>
          <w:tab w:val="left" w:pos="426"/>
          <w:tab w:val="left" w:pos="851"/>
          <w:tab w:val="left" w:pos="1276"/>
        </w:tabs>
        <w:spacing w:line="240" w:lineRule="auto"/>
        <w:ind w:left="1276"/>
        <w:jc w:val="both"/>
        <w:rPr>
          <w:rFonts w:cs="Arial"/>
          <w:szCs w:val="22"/>
        </w:rPr>
      </w:pPr>
      <w:r w:rsidRPr="005F15DA">
        <w:rPr>
          <w:rFonts w:cs="Arial"/>
          <w:szCs w:val="22"/>
        </w:rPr>
        <w:t>Die Vormerkung von Verfügungsbeschränkungen erfolgt durch den vollstreckb</w:t>
      </w:r>
      <w:r w:rsidRPr="005F15DA">
        <w:rPr>
          <w:rFonts w:cs="Arial"/>
          <w:szCs w:val="22"/>
        </w:rPr>
        <w:t>a</w:t>
      </w:r>
      <w:r w:rsidRPr="005F15DA">
        <w:rPr>
          <w:rFonts w:cs="Arial"/>
          <w:szCs w:val="22"/>
        </w:rPr>
        <w:t>ren Entscheid (Pfändung, Pfandverwertung, Arrest) bzw. durch eine beglaubigte Kopie der Verfügung von Todes wegen (Nacherbeneinsetzung und Nachve</w:t>
      </w:r>
      <w:r w:rsidRPr="005F15DA">
        <w:rPr>
          <w:rFonts w:cs="Arial"/>
          <w:szCs w:val="22"/>
        </w:rPr>
        <w:t>r</w:t>
      </w:r>
      <w:r w:rsidRPr="005F15DA">
        <w:rPr>
          <w:rFonts w:cs="Arial"/>
          <w:szCs w:val="22"/>
        </w:rPr>
        <w:t>mächtnis) (Art. 79 GBV).</w:t>
      </w:r>
    </w:p>
    <w:p w:rsidR="00D502D5" w:rsidRPr="005F15DA" w:rsidRDefault="00B80BE3" w:rsidP="00CE4374">
      <w:pPr>
        <w:pStyle w:val="Listenabsatz"/>
        <w:tabs>
          <w:tab w:val="left" w:pos="426"/>
          <w:tab w:val="left" w:pos="851"/>
          <w:tab w:val="left" w:pos="1276"/>
        </w:tabs>
        <w:spacing w:line="240" w:lineRule="auto"/>
        <w:ind w:left="1276"/>
        <w:jc w:val="both"/>
        <w:rPr>
          <w:rFonts w:cs="Arial"/>
          <w:szCs w:val="22"/>
        </w:rPr>
      </w:pPr>
      <w:r w:rsidRPr="005F15DA">
        <w:rPr>
          <w:rFonts w:cs="Arial"/>
          <w:szCs w:val="22"/>
        </w:rPr>
        <w:t>Bezüglich der Belege für Anmerkungen siehe Art. 80 GBV.</w:t>
      </w:r>
    </w:p>
    <w:p w:rsidR="00CE4374" w:rsidRPr="005F15DA" w:rsidRDefault="00CE4374" w:rsidP="00861D85">
      <w:pPr>
        <w:tabs>
          <w:tab w:val="left" w:pos="426"/>
          <w:tab w:val="left" w:pos="851"/>
          <w:tab w:val="left" w:pos="1276"/>
        </w:tabs>
        <w:spacing w:line="240" w:lineRule="auto"/>
        <w:ind w:left="851" w:hanging="851"/>
        <w:jc w:val="both"/>
        <w:rPr>
          <w:rFonts w:cs="Arial"/>
          <w:szCs w:val="22"/>
        </w:rPr>
      </w:pPr>
    </w:p>
    <w:p w:rsidR="00E448F7" w:rsidRPr="005F15DA" w:rsidRDefault="001713D3" w:rsidP="00A8276A">
      <w:pPr>
        <w:pStyle w:val="berschrift4"/>
        <w:tabs>
          <w:tab w:val="left" w:pos="851"/>
        </w:tabs>
      </w:pPr>
      <w:r w:rsidRPr="005F15DA">
        <w:tab/>
        <w:t>3.</w:t>
      </w:r>
      <w:r w:rsidRPr="005F15DA">
        <w:tab/>
        <w:t>Eintragungsverfahren</w:t>
      </w:r>
      <w:r w:rsidR="00C64C8C" w:rsidRPr="005F15DA">
        <w:t xml:space="preserve"> (Art. 81 - 88 GBV)</w:t>
      </w:r>
    </w:p>
    <w:p w:rsidR="00E448F7" w:rsidRPr="005F15DA" w:rsidRDefault="00E448F7" w:rsidP="00861D85">
      <w:pPr>
        <w:tabs>
          <w:tab w:val="left" w:pos="426"/>
          <w:tab w:val="left" w:pos="851"/>
          <w:tab w:val="left" w:pos="1276"/>
        </w:tabs>
        <w:spacing w:line="240" w:lineRule="auto"/>
        <w:ind w:left="851" w:hanging="851"/>
        <w:jc w:val="both"/>
        <w:rPr>
          <w:rFonts w:cs="Arial"/>
          <w:szCs w:val="22"/>
        </w:rPr>
      </w:pPr>
      <w:r w:rsidRPr="005F15DA">
        <w:rPr>
          <w:rFonts w:cs="Arial"/>
          <w:szCs w:val="22"/>
        </w:rPr>
        <w:tab/>
      </w:r>
      <w:r w:rsidRPr="005F15DA">
        <w:rPr>
          <w:rFonts w:cs="Arial"/>
          <w:szCs w:val="22"/>
        </w:rPr>
        <w:tab/>
        <w:t>Sofort nach Eingang einer Anmeldung wird diese ins Tagebuch eingetragen (Art. 81 GBV). Das Grundbuchamt prüft anschliessend (gestützt auf die eingereichten Bel</w:t>
      </w:r>
      <w:r w:rsidRPr="005F15DA">
        <w:rPr>
          <w:rFonts w:cs="Arial"/>
          <w:szCs w:val="22"/>
        </w:rPr>
        <w:t>e</w:t>
      </w:r>
      <w:r w:rsidRPr="005F15DA">
        <w:rPr>
          <w:rFonts w:cs="Arial"/>
          <w:szCs w:val="22"/>
        </w:rPr>
        <w:t>ge), ob die Eintragungsvoraussetzungen erfüllt sind (Art. 83 - 86 GBV). Sind die Ei</w:t>
      </w:r>
      <w:r w:rsidRPr="005F15DA">
        <w:rPr>
          <w:rFonts w:cs="Arial"/>
          <w:szCs w:val="22"/>
        </w:rPr>
        <w:t>n</w:t>
      </w:r>
      <w:r w:rsidRPr="005F15DA">
        <w:rPr>
          <w:rFonts w:cs="Arial"/>
          <w:szCs w:val="22"/>
        </w:rPr>
        <w:t>tragungsvoraussetzungen nicht erfüllt, weist das Grundbuchamt den Antrag ab. Das Grundbuchamt kann eine kurze Frist zur Beibringung von fehlenden Belegen setzen (Art. 87 - 88 GBV).</w:t>
      </w:r>
    </w:p>
    <w:p w:rsidR="00CE4374" w:rsidRPr="005F15DA" w:rsidRDefault="00CE4374" w:rsidP="00861D85">
      <w:pPr>
        <w:tabs>
          <w:tab w:val="left" w:pos="426"/>
          <w:tab w:val="left" w:pos="851"/>
          <w:tab w:val="left" w:pos="1276"/>
        </w:tabs>
        <w:spacing w:line="240" w:lineRule="auto"/>
        <w:jc w:val="both"/>
        <w:rPr>
          <w:rFonts w:cs="Arial"/>
          <w:szCs w:val="22"/>
        </w:rPr>
      </w:pPr>
    </w:p>
    <w:p w:rsidR="001713D3" w:rsidRPr="005F15DA" w:rsidRDefault="001713D3" w:rsidP="00A8276A">
      <w:pPr>
        <w:pStyle w:val="berschrift4"/>
        <w:tabs>
          <w:tab w:val="left" w:pos="851"/>
        </w:tabs>
      </w:pPr>
      <w:r w:rsidRPr="005F15DA">
        <w:tab/>
        <w:t>4.</w:t>
      </w:r>
      <w:r w:rsidRPr="005F15DA">
        <w:tab/>
        <w:t>Eintragungen in das Hauptbuch</w:t>
      </w:r>
      <w:r w:rsidR="00C64C8C" w:rsidRPr="005F15DA">
        <w:t xml:space="preserve"> (Art. 89 - 130 GBV)</w:t>
      </w:r>
    </w:p>
    <w:p w:rsidR="00E448F7" w:rsidRPr="005F15DA" w:rsidRDefault="001713D3" w:rsidP="009D34F3">
      <w:pPr>
        <w:pStyle w:val="Listenabsatz"/>
        <w:numPr>
          <w:ilvl w:val="2"/>
          <w:numId w:val="23"/>
        </w:numPr>
        <w:tabs>
          <w:tab w:val="left" w:pos="426"/>
          <w:tab w:val="left" w:pos="851"/>
          <w:tab w:val="left" w:pos="1276"/>
        </w:tabs>
        <w:spacing w:line="240" w:lineRule="auto"/>
        <w:ind w:left="1276" w:hanging="425"/>
        <w:jc w:val="both"/>
        <w:rPr>
          <w:rFonts w:cs="Arial"/>
          <w:szCs w:val="22"/>
          <w:u w:val="single"/>
        </w:rPr>
      </w:pPr>
      <w:r w:rsidRPr="005F15DA">
        <w:rPr>
          <w:rFonts w:cs="Arial"/>
          <w:szCs w:val="22"/>
          <w:u w:val="single"/>
        </w:rPr>
        <w:t>Grundsätze und Verfahren</w:t>
      </w:r>
    </w:p>
    <w:p w:rsidR="00E448F7" w:rsidRPr="005F15DA" w:rsidRDefault="00E448F7" w:rsidP="00E448F7">
      <w:pPr>
        <w:pStyle w:val="Listenabsatz"/>
        <w:tabs>
          <w:tab w:val="left" w:pos="426"/>
          <w:tab w:val="left" w:pos="851"/>
          <w:tab w:val="left" w:pos="1276"/>
        </w:tabs>
        <w:spacing w:line="240" w:lineRule="auto"/>
        <w:ind w:left="1276"/>
        <w:jc w:val="both"/>
        <w:rPr>
          <w:rFonts w:cs="Arial"/>
          <w:szCs w:val="22"/>
        </w:rPr>
      </w:pPr>
      <w:r w:rsidRPr="005F15DA">
        <w:rPr>
          <w:rFonts w:cs="Arial"/>
          <w:szCs w:val="22"/>
        </w:rPr>
        <w:t>Das Grundbuchamt trägt nur ins Hauptbuch ein, was in der Anmeldung bea</w:t>
      </w:r>
      <w:r w:rsidRPr="005F15DA">
        <w:rPr>
          <w:rFonts w:cs="Arial"/>
          <w:szCs w:val="22"/>
        </w:rPr>
        <w:t>n</w:t>
      </w:r>
      <w:r w:rsidR="005C1A20" w:rsidRPr="005F15DA">
        <w:rPr>
          <w:rFonts w:cs="Arial"/>
          <w:szCs w:val="22"/>
        </w:rPr>
        <w:t>tragt wurde; der Hauptbucheintrag erhält das Datum des Tagebucheintrages (Art. 89 GBV).</w:t>
      </w:r>
    </w:p>
    <w:p w:rsidR="005C1A20" w:rsidRPr="005F15DA" w:rsidRDefault="005C1A20" w:rsidP="00E448F7">
      <w:pPr>
        <w:pStyle w:val="Listenabsatz"/>
        <w:tabs>
          <w:tab w:val="left" w:pos="426"/>
          <w:tab w:val="left" w:pos="851"/>
          <w:tab w:val="left" w:pos="1276"/>
        </w:tabs>
        <w:spacing w:line="240" w:lineRule="auto"/>
        <w:ind w:left="1276"/>
        <w:jc w:val="both"/>
        <w:rPr>
          <w:rFonts w:cs="Arial"/>
          <w:szCs w:val="22"/>
        </w:rPr>
      </w:pPr>
      <w:r w:rsidRPr="005F15DA">
        <w:rPr>
          <w:rFonts w:cs="Arial"/>
          <w:szCs w:val="22"/>
        </w:rPr>
        <w:t>Die Rangverhältnisse der Einträge ergeben sich aus dem Tagebuch (Art. 92 GBV).</w:t>
      </w:r>
    </w:p>
    <w:p w:rsidR="005C1A20" w:rsidRPr="005F15DA" w:rsidRDefault="005C1A20" w:rsidP="00E448F7">
      <w:pPr>
        <w:pStyle w:val="Listenabsatz"/>
        <w:tabs>
          <w:tab w:val="left" w:pos="426"/>
          <w:tab w:val="left" w:pos="851"/>
          <w:tab w:val="left" w:pos="1276"/>
        </w:tabs>
        <w:spacing w:line="240" w:lineRule="auto"/>
        <w:ind w:left="1276"/>
        <w:jc w:val="both"/>
        <w:rPr>
          <w:rFonts w:cs="Arial"/>
          <w:szCs w:val="22"/>
        </w:rPr>
      </w:pPr>
      <w:r w:rsidRPr="005F15DA">
        <w:rPr>
          <w:rFonts w:cs="Arial"/>
          <w:szCs w:val="22"/>
        </w:rPr>
        <w:t>Auf Verlangen der Parteien stellt das Grundbuchamt eine Eintragungsbeschein</w:t>
      </w:r>
      <w:r w:rsidRPr="005F15DA">
        <w:rPr>
          <w:rFonts w:cs="Arial"/>
          <w:szCs w:val="22"/>
        </w:rPr>
        <w:t>i</w:t>
      </w:r>
      <w:r w:rsidRPr="005F15DA">
        <w:rPr>
          <w:rFonts w:cs="Arial"/>
          <w:szCs w:val="22"/>
        </w:rPr>
        <w:t>gung aus (Art. 93 GBV).</w:t>
      </w:r>
    </w:p>
    <w:p w:rsidR="00742022" w:rsidRPr="005F15DA" w:rsidRDefault="00742022" w:rsidP="00E448F7">
      <w:pPr>
        <w:pStyle w:val="Listenabsatz"/>
        <w:tabs>
          <w:tab w:val="left" w:pos="426"/>
          <w:tab w:val="left" w:pos="851"/>
          <w:tab w:val="left" w:pos="1276"/>
        </w:tabs>
        <w:spacing w:line="240" w:lineRule="auto"/>
        <w:ind w:left="1276"/>
        <w:jc w:val="both"/>
        <w:rPr>
          <w:rFonts w:cs="Arial"/>
          <w:szCs w:val="22"/>
        </w:rPr>
      </w:pPr>
    </w:p>
    <w:p w:rsidR="00742022" w:rsidRPr="005F15DA" w:rsidRDefault="00742022" w:rsidP="00E448F7">
      <w:pPr>
        <w:pStyle w:val="Listenabsatz"/>
        <w:tabs>
          <w:tab w:val="left" w:pos="426"/>
          <w:tab w:val="left" w:pos="851"/>
          <w:tab w:val="left" w:pos="1276"/>
        </w:tabs>
        <w:spacing w:line="240" w:lineRule="auto"/>
        <w:ind w:left="1276"/>
        <w:jc w:val="both"/>
        <w:rPr>
          <w:rFonts w:cs="Arial"/>
          <w:szCs w:val="22"/>
        </w:rPr>
      </w:pPr>
    </w:p>
    <w:p w:rsidR="006A5FCA" w:rsidRDefault="006A5FCA">
      <w:pPr>
        <w:spacing w:after="200"/>
        <w:rPr>
          <w:rFonts w:cs="Arial"/>
          <w:szCs w:val="22"/>
          <w:u w:val="single"/>
        </w:rPr>
      </w:pPr>
      <w:r>
        <w:rPr>
          <w:rFonts w:cs="Arial"/>
          <w:szCs w:val="22"/>
          <w:u w:val="single"/>
        </w:rPr>
        <w:br w:type="page"/>
      </w:r>
    </w:p>
    <w:p w:rsidR="005C1A20" w:rsidRPr="005F15DA" w:rsidRDefault="001713D3" w:rsidP="009D34F3">
      <w:pPr>
        <w:pStyle w:val="Listenabsatz"/>
        <w:numPr>
          <w:ilvl w:val="2"/>
          <w:numId w:val="23"/>
        </w:numPr>
        <w:tabs>
          <w:tab w:val="left" w:pos="426"/>
          <w:tab w:val="left" w:pos="851"/>
          <w:tab w:val="left" w:pos="1276"/>
        </w:tabs>
        <w:spacing w:line="240" w:lineRule="auto"/>
        <w:ind w:left="1276" w:hanging="425"/>
        <w:jc w:val="both"/>
        <w:rPr>
          <w:rFonts w:cs="Arial"/>
          <w:szCs w:val="22"/>
          <w:u w:val="single"/>
        </w:rPr>
      </w:pPr>
      <w:r w:rsidRPr="005F15DA">
        <w:rPr>
          <w:rFonts w:cs="Arial"/>
          <w:szCs w:val="22"/>
          <w:u w:val="single"/>
        </w:rPr>
        <w:lastRenderedPageBreak/>
        <w:t>Eigentum</w:t>
      </w:r>
    </w:p>
    <w:p w:rsidR="00E7289D" w:rsidRPr="005F15DA" w:rsidRDefault="00765BCA" w:rsidP="005C1A20">
      <w:pPr>
        <w:pStyle w:val="Listenabsatz"/>
        <w:tabs>
          <w:tab w:val="left" w:pos="426"/>
          <w:tab w:val="left" w:pos="851"/>
          <w:tab w:val="left" w:pos="1276"/>
        </w:tabs>
        <w:spacing w:line="240" w:lineRule="auto"/>
        <w:ind w:left="1276"/>
        <w:jc w:val="both"/>
        <w:rPr>
          <w:rFonts w:cs="Arial"/>
          <w:szCs w:val="22"/>
        </w:rPr>
      </w:pPr>
      <w:r w:rsidRPr="005F15DA">
        <w:rPr>
          <w:rFonts w:cs="Arial"/>
          <w:szCs w:val="22"/>
        </w:rPr>
        <w:t>Unter dem Eigentum wird der Eigentümer eingetragen mit Angabe von Erwerb</w:t>
      </w:r>
      <w:r w:rsidRPr="005F15DA">
        <w:rPr>
          <w:rFonts w:cs="Arial"/>
          <w:szCs w:val="22"/>
        </w:rPr>
        <w:t>s</w:t>
      </w:r>
      <w:r w:rsidRPr="005F15DA">
        <w:rPr>
          <w:rFonts w:cs="Arial"/>
          <w:szCs w:val="22"/>
        </w:rPr>
        <w:t>grund, Datum und Beleg des Erwerbs.</w:t>
      </w:r>
    </w:p>
    <w:p w:rsidR="00765BCA" w:rsidRPr="005F15DA" w:rsidRDefault="00765BCA" w:rsidP="005C1A20">
      <w:pPr>
        <w:pStyle w:val="Listenabsatz"/>
        <w:tabs>
          <w:tab w:val="left" w:pos="426"/>
          <w:tab w:val="left" w:pos="851"/>
          <w:tab w:val="left" w:pos="1276"/>
        </w:tabs>
        <w:spacing w:line="240" w:lineRule="auto"/>
        <w:ind w:left="1276"/>
        <w:jc w:val="both"/>
        <w:rPr>
          <w:rFonts w:cs="Arial"/>
          <w:szCs w:val="22"/>
        </w:rPr>
      </w:pPr>
      <w:r w:rsidRPr="005F15DA">
        <w:rPr>
          <w:rFonts w:cs="Arial"/>
          <w:szCs w:val="22"/>
        </w:rPr>
        <w:t>Beim unselbständigen Grundstück (oder Anmerkungsgrundstück) wird unter E</w:t>
      </w:r>
      <w:r w:rsidRPr="005F15DA">
        <w:rPr>
          <w:rFonts w:cs="Arial"/>
          <w:szCs w:val="22"/>
        </w:rPr>
        <w:t>i</w:t>
      </w:r>
      <w:r w:rsidRPr="005F15DA">
        <w:rPr>
          <w:rFonts w:cs="Arial"/>
          <w:szCs w:val="22"/>
        </w:rPr>
        <w:t>gentümer das (andere) Hauptgrundstück eingetragen</w:t>
      </w:r>
      <w:r w:rsidR="00474AD5" w:rsidRPr="005F15DA">
        <w:rPr>
          <w:rFonts w:cs="Arial"/>
          <w:szCs w:val="22"/>
        </w:rPr>
        <w:t xml:space="preserve"> (das "Anmerkungsgrun</w:t>
      </w:r>
      <w:r w:rsidR="00474AD5" w:rsidRPr="005F15DA">
        <w:rPr>
          <w:rFonts w:cs="Arial"/>
          <w:szCs w:val="22"/>
        </w:rPr>
        <w:t>d</w:t>
      </w:r>
      <w:r w:rsidR="00474AD5" w:rsidRPr="005F15DA">
        <w:rPr>
          <w:rFonts w:cs="Arial"/>
          <w:szCs w:val="22"/>
        </w:rPr>
        <w:t>stück teilt das rechtliche Schicksal des Hauptgrundstückes)</w:t>
      </w:r>
      <w:r w:rsidRPr="005F15DA">
        <w:rPr>
          <w:rFonts w:cs="Arial"/>
          <w:szCs w:val="22"/>
        </w:rPr>
        <w:t xml:space="preserve">. </w:t>
      </w:r>
      <w:r w:rsidR="00474AD5" w:rsidRPr="005F15DA">
        <w:rPr>
          <w:rFonts w:cs="Arial"/>
          <w:szCs w:val="22"/>
        </w:rPr>
        <w:t>Auf dem unsel</w:t>
      </w:r>
      <w:r w:rsidR="00474AD5" w:rsidRPr="005F15DA">
        <w:rPr>
          <w:rFonts w:cs="Arial"/>
          <w:szCs w:val="22"/>
        </w:rPr>
        <w:t>b</w:t>
      </w:r>
      <w:r w:rsidR="00474AD5" w:rsidRPr="005F15DA">
        <w:rPr>
          <w:rFonts w:cs="Arial"/>
          <w:szCs w:val="22"/>
        </w:rPr>
        <w:t>ständigen Grundstück dürfen keine Grundpfandrechte und Grundlasten eing</w:t>
      </w:r>
      <w:r w:rsidR="00474AD5" w:rsidRPr="005F15DA">
        <w:rPr>
          <w:rFonts w:cs="Arial"/>
          <w:szCs w:val="22"/>
        </w:rPr>
        <w:t>e</w:t>
      </w:r>
      <w:r w:rsidR="00474AD5" w:rsidRPr="005F15DA">
        <w:rPr>
          <w:rFonts w:cs="Arial"/>
          <w:szCs w:val="22"/>
        </w:rPr>
        <w:t>tragen sein (diese müssen auf das Hauptgrundstück übertragen werden).</w:t>
      </w:r>
    </w:p>
    <w:p w:rsidR="00765BCA" w:rsidRPr="005F15DA" w:rsidRDefault="00765BCA" w:rsidP="005C1A20">
      <w:pPr>
        <w:pStyle w:val="Listenabsatz"/>
        <w:tabs>
          <w:tab w:val="left" w:pos="426"/>
          <w:tab w:val="left" w:pos="851"/>
          <w:tab w:val="left" w:pos="1276"/>
        </w:tabs>
        <w:spacing w:line="240" w:lineRule="auto"/>
        <w:ind w:left="1276"/>
        <w:jc w:val="both"/>
        <w:rPr>
          <w:rFonts w:cs="Arial"/>
          <w:szCs w:val="22"/>
        </w:rPr>
      </w:pPr>
      <w:r w:rsidRPr="005F15DA">
        <w:rPr>
          <w:rFonts w:cs="Arial"/>
          <w:szCs w:val="22"/>
        </w:rPr>
        <w:t>Ist das unselbständige Grundstück ein Miteigentumsanteil, müssen alle Mite</w:t>
      </w:r>
      <w:r w:rsidRPr="005F15DA">
        <w:rPr>
          <w:rFonts w:cs="Arial"/>
          <w:szCs w:val="22"/>
        </w:rPr>
        <w:t>i</w:t>
      </w:r>
      <w:r w:rsidRPr="005F15DA">
        <w:rPr>
          <w:rFonts w:cs="Arial"/>
          <w:szCs w:val="22"/>
        </w:rPr>
        <w:t>gentümer der Verknüpfung zustimmen; das gesetzliche Miteigentümervorkauf</w:t>
      </w:r>
      <w:r w:rsidRPr="005F15DA">
        <w:rPr>
          <w:rFonts w:cs="Arial"/>
          <w:szCs w:val="22"/>
        </w:rPr>
        <w:t>s</w:t>
      </w:r>
      <w:r w:rsidRPr="005F15DA">
        <w:rPr>
          <w:rFonts w:cs="Arial"/>
          <w:szCs w:val="22"/>
        </w:rPr>
        <w:t>recht (Art. 682 ZGB) und der Anspruch auf Aufhebung des Miteigentums (Art. 650 ZGB) sind dann aufgehoben. Diese Vereinbarung muss öffentlich beurku</w:t>
      </w:r>
      <w:r w:rsidRPr="005F15DA">
        <w:rPr>
          <w:rFonts w:cs="Arial"/>
          <w:szCs w:val="22"/>
        </w:rPr>
        <w:t>n</w:t>
      </w:r>
      <w:r w:rsidRPr="005F15DA">
        <w:rPr>
          <w:rFonts w:cs="Arial"/>
          <w:szCs w:val="22"/>
        </w:rPr>
        <w:t xml:space="preserve">det werden. Auf dem </w:t>
      </w:r>
      <w:r w:rsidR="00474AD5" w:rsidRPr="005F15DA">
        <w:rPr>
          <w:rFonts w:cs="Arial"/>
          <w:szCs w:val="22"/>
        </w:rPr>
        <w:t>(</w:t>
      </w:r>
      <w:r w:rsidRPr="005F15DA">
        <w:rPr>
          <w:rFonts w:cs="Arial"/>
          <w:szCs w:val="22"/>
        </w:rPr>
        <w:t>unselbständigen</w:t>
      </w:r>
      <w:r w:rsidR="00474AD5" w:rsidRPr="005F15DA">
        <w:rPr>
          <w:rFonts w:cs="Arial"/>
          <w:szCs w:val="22"/>
        </w:rPr>
        <w:t>)</w:t>
      </w:r>
      <w:r w:rsidRPr="005F15DA">
        <w:rPr>
          <w:rFonts w:cs="Arial"/>
          <w:szCs w:val="22"/>
        </w:rPr>
        <w:t xml:space="preserve"> </w:t>
      </w:r>
      <w:r w:rsidR="00474AD5" w:rsidRPr="005F15DA">
        <w:rPr>
          <w:rFonts w:cs="Arial"/>
          <w:szCs w:val="22"/>
        </w:rPr>
        <w:t xml:space="preserve">Miteigentumsanteil </w:t>
      </w:r>
      <w:r w:rsidRPr="005F15DA">
        <w:rPr>
          <w:rFonts w:cs="Arial"/>
          <w:szCs w:val="22"/>
        </w:rPr>
        <w:t>dürfen keine Grun</w:t>
      </w:r>
      <w:r w:rsidRPr="005F15DA">
        <w:rPr>
          <w:rFonts w:cs="Arial"/>
          <w:szCs w:val="22"/>
        </w:rPr>
        <w:t>d</w:t>
      </w:r>
      <w:r w:rsidRPr="005F15DA">
        <w:rPr>
          <w:rFonts w:cs="Arial"/>
          <w:szCs w:val="22"/>
        </w:rPr>
        <w:t>pfandrechte und Grundlasten eingetragen sein (diese müssen auf das Haup</w:t>
      </w:r>
      <w:r w:rsidRPr="005F15DA">
        <w:rPr>
          <w:rFonts w:cs="Arial"/>
          <w:szCs w:val="22"/>
        </w:rPr>
        <w:t>t</w:t>
      </w:r>
      <w:r w:rsidRPr="005F15DA">
        <w:rPr>
          <w:rFonts w:cs="Arial"/>
          <w:szCs w:val="22"/>
        </w:rPr>
        <w:t>grundstück übertragen werden).</w:t>
      </w:r>
    </w:p>
    <w:p w:rsidR="00474AD5" w:rsidRPr="005F15DA" w:rsidRDefault="00474AD5" w:rsidP="005C1A20">
      <w:pPr>
        <w:pStyle w:val="Listenabsatz"/>
        <w:tabs>
          <w:tab w:val="left" w:pos="426"/>
          <w:tab w:val="left" w:pos="851"/>
          <w:tab w:val="left" w:pos="1276"/>
        </w:tabs>
        <w:spacing w:line="240" w:lineRule="auto"/>
        <w:ind w:left="1276"/>
        <w:jc w:val="both"/>
        <w:rPr>
          <w:rFonts w:cs="Arial"/>
          <w:szCs w:val="22"/>
        </w:rPr>
      </w:pPr>
      <w:r w:rsidRPr="005F15DA">
        <w:rPr>
          <w:rFonts w:cs="Arial"/>
          <w:szCs w:val="22"/>
        </w:rPr>
        <w:t>Die Verknüpfung des unselbständigen Grundeigentums wird auf dem Hauptblatt unter den "Anmerkungen" oder unter "Dominierte Grundstücke" eingetragen.</w:t>
      </w:r>
    </w:p>
    <w:p w:rsidR="00474AD5" w:rsidRPr="005F15DA" w:rsidRDefault="00474AD5" w:rsidP="005C1A20">
      <w:pPr>
        <w:pStyle w:val="Listenabsatz"/>
        <w:tabs>
          <w:tab w:val="left" w:pos="426"/>
          <w:tab w:val="left" w:pos="851"/>
          <w:tab w:val="left" w:pos="1276"/>
        </w:tabs>
        <w:spacing w:line="240" w:lineRule="auto"/>
        <w:ind w:left="1276"/>
        <w:jc w:val="both"/>
        <w:rPr>
          <w:rFonts w:cs="Arial"/>
          <w:szCs w:val="22"/>
        </w:rPr>
      </w:pPr>
      <w:r w:rsidRPr="005F15DA">
        <w:rPr>
          <w:rFonts w:cs="Arial"/>
          <w:szCs w:val="22"/>
        </w:rPr>
        <w:t>Beim Miteigentum wird der Anteil jedes Miteigentümers nach dem Namen ang</w:t>
      </w:r>
      <w:r w:rsidRPr="005F15DA">
        <w:rPr>
          <w:rFonts w:cs="Arial"/>
          <w:szCs w:val="22"/>
        </w:rPr>
        <w:t>e</w:t>
      </w:r>
      <w:r w:rsidRPr="005F15DA">
        <w:rPr>
          <w:rFonts w:cs="Arial"/>
          <w:szCs w:val="22"/>
        </w:rPr>
        <w:t>geben (in Bruchteilen).</w:t>
      </w:r>
    </w:p>
    <w:p w:rsidR="00474AD5" w:rsidRPr="005F15DA" w:rsidRDefault="00474AD5" w:rsidP="005C1A20">
      <w:pPr>
        <w:pStyle w:val="Listenabsatz"/>
        <w:tabs>
          <w:tab w:val="left" w:pos="426"/>
          <w:tab w:val="left" w:pos="851"/>
          <w:tab w:val="left" w:pos="1276"/>
        </w:tabs>
        <w:spacing w:line="240" w:lineRule="auto"/>
        <w:ind w:left="1276"/>
        <w:jc w:val="both"/>
        <w:rPr>
          <w:rFonts w:cs="Arial"/>
          <w:szCs w:val="22"/>
        </w:rPr>
      </w:pPr>
      <w:r w:rsidRPr="005F15DA">
        <w:rPr>
          <w:rFonts w:cs="Arial"/>
          <w:szCs w:val="22"/>
        </w:rPr>
        <w:t>Beim Gesamteigentum wird das die Gemeinschaft begründende Rechtsverhäl</w:t>
      </w:r>
      <w:r w:rsidRPr="005F15DA">
        <w:rPr>
          <w:rFonts w:cs="Arial"/>
          <w:szCs w:val="22"/>
        </w:rPr>
        <w:t>t</w:t>
      </w:r>
      <w:r w:rsidRPr="005F15DA">
        <w:rPr>
          <w:rFonts w:cs="Arial"/>
          <w:szCs w:val="22"/>
        </w:rPr>
        <w:t>nis angegeben.</w:t>
      </w:r>
    </w:p>
    <w:p w:rsidR="00474AD5" w:rsidRPr="005F15DA" w:rsidRDefault="00474AD5" w:rsidP="005C1A20">
      <w:pPr>
        <w:pStyle w:val="Listenabsatz"/>
        <w:tabs>
          <w:tab w:val="left" w:pos="426"/>
          <w:tab w:val="left" w:pos="851"/>
          <w:tab w:val="left" w:pos="1276"/>
        </w:tabs>
        <w:spacing w:line="240" w:lineRule="auto"/>
        <w:ind w:left="1276"/>
        <w:jc w:val="both"/>
        <w:rPr>
          <w:rFonts w:cs="Arial"/>
          <w:szCs w:val="22"/>
        </w:rPr>
      </w:pPr>
      <w:r w:rsidRPr="005F15DA">
        <w:rPr>
          <w:rFonts w:cs="Arial"/>
          <w:szCs w:val="22"/>
        </w:rPr>
        <w:t>Stockwerkeigentum wird auf dem Hauptbuchblatt des Stammgrundstückes in der Abteilung "Eigentum" eingetragen. Auf dem Blatt des StWE wird unter anderem der Anteil in Bruchteilen (mit einem gemeinsamen Nenner) eingetragen (Art. 97 GBV).</w:t>
      </w:r>
    </w:p>
    <w:p w:rsidR="001713D3" w:rsidRPr="005F15DA" w:rsidRDefault="001713D3" w:rsidP="009D34F3">
      <w:pPr>
        <w:pStyle w:val="Listenabsatz"/>
        <w:numPr>
          <w:ilvl w:val="2"/>
          <w:numId w:val="23"/>
        </w:numPr>
        <w:tabs>
          <w:tab w:val="left" w:pos="426"/>
          <w:tab w:val="left" w:pos="851"/>
          <w:tab w:val="left" w:pos="1276"/>
        </w:tabs>
        <w:spacing w:line="240" w:lineRule="auto"/>
        <w:ind w:left="1276" w:hanging="425"/>
        <w:jc w:val="both"/>
        <w:rPr>
          <w:rFonts w:cs="Arial"/>
          <w:szCs w:val="22"/>
          <w:u w:val="single"/>
        </w:rPr>
      </w:pPr>
      <w:r w:rsidRPr="005F15DA">
        <w:rPr>
          <w:rFonts w:cs="Arial"/>
          <w:szCs w:val="22"/>
          <w:u w:val="single"/>
        </w:rPr>
        <w:t>Dienstbarkeiten und Grundlasten</w:t>
      </w:r>
    </w:p>
    <w:p w:rsidR="005C1A20" w:rsidRPr="005F15DA" w:rsidRDefault="00474AD5" w:rsidP="005C1A20">
      <w:pPr>
        <w:pStyle w:val="Listenabsatz"/>
        <w:tabs>
          <w:tab w:val="left" w:pos="426"/>
          <w:tab w:val="left" w:pos="851"/>
          <w:tab w:val="left" w:pos="1276"/>
        </w:tabs>
        <w:spacing w:line="240" w:lineRule="auto"/>
        <w:ind w:left="1276"/>
        <w:jc w:val="both"/>
        <w:rPr>
          <w:rFonts w:cs="Arial"/>
          <w:szCs w:val="22"/>
        </w:rPr>
      </w:pPr>
      <w:r w:rsidRPr="005F15DA">
        <w:rPr>
          <w:rFonts w:cs="Arial"/>
          <w:szCs w:val="22"/>
        </w:rPr>
        <w:t>Eine Dienstbarkeit wird in die Abteilung "Dienstbarkeiten" des belasteten Grun</w:t>
      </w:r>
      <w:r w:rsidRPr="005F15DA">
        <w:rPr>
          <w:rFonts w:cs="Arial"/>
          <w:szCs w:val="22"/>
        </w:rPr>
        <w:t>d</w:t>
      </w:r>
      <w:r w:rsidRPr="005F15DA">
        <w:rPr>
          <w:rFonts w:cs="Arial"/>
          <w:szCs w:val="22"/>
        </w:rPr>
        <w:t>stückes eingetragen; handelt es sich um eine Grunddienstbarkeit erfolgt der G</w:t>
      </w:r>
      <w:r w:rsidRPr="005F15DA">
        <w:rPr>
          <w:rFonts w:cs="Arial"/>
          <w:szCs w:val="22"/>
        </w:rPr>
        <w:t>e</w:t>
      </w:r>
      <w:r w:rsidRPr="005F15DA">
        <w:rPr>
          <w:rFonts w:cs="Arial"/>
          <w:szCs w:val="22"/>
        </w:rPr>
        <w:t>geneintrag auf dem berechtigten Grundstück.</w:t>
      </w:r>
    </w:p>
    <w:p w:rsidR="00552106" w:rsidRPr="005F15DA" w:rsidRDefault="00552106" w:rsidP="005C1A20">
      <w:pPr>
        <w:pStyle w:val="Listenabsatz"/>
        <w:tabs>
          <w:tab w:val="left" w:pos="426"/>
          <w:tab w:val="left" w:pos="851"/>
          <w:tab w:val="left" w:pos="1276"/>
        </w:tabs>
        <w:spacing w:line="240" w:lineRule="auto"/>
        <w:ind w:left="1276"/>
        <w:jc w:val="both"/>
        <w:rPr>
          <w:rFonts w:cs="Arial"/>
          <w:szCs w:val="22"/>
        </w:rPr>
      </w:pPr>
      <w:r w:rsidRPr="005F15DA">
        <w:rPr>
          <w:rFonts w:cs="Arial"/>
          <w:szCs w:val="22"/>
        </w:rPr>
        <w:t>Eingetragen werden immer ein Stichwort, Eintragungsdatum, Beleg, allenfalls dass es sich um ein selbständiges und dauerndes Recht handelt, allenfalls die nebensächliche Leistungspflicht, usw. (Art. 98 GBV).</w:t>
      </w:r>
    </w:p>
    <w:p w:rsidR="00552106" w:rsidRPr="005F15DA" w:rsidRDefault="00552106" w:rsidP="005C1A20">
      <w:pPr>
        <w:pStyle w:val="Listenabsatz"/>
        <w:tabs>
          <w:tab w:val="left" w:pos="426"/>
          <w:tab w:val="left" w:pos="851"/>
          <w:tab w:val="left" w:pos="1276"/>
        </w:tabs>
        <w:spacing w:line="240" w:lineRule="auto"/>
        <w:ind w:left="1276"/>
        <w:jc w:val="both"/>
        <w:rPr>
          <w:rFonts w:cs="Arial"/>
          <w:szCs w:val="22"/>
        </w:rPr>
      </w:pPr>
      <w:r w:rsidRPr="005F15DA">
        <w:rPr>
          <w:rFonts w:cs="Arial"/>
          <w:szCs w:val="22"/>
        </w:rPr>
        <w:t>Eine Grundlast wird in die Abteilung "Grundlasten" des belasteten Grundstückes eingetragen; ist ein anderes Grundstück berechtigt erfolgt der Gegeneintrag auf dem berechtigten Grundstück.</w:t>
      </w:r>
    </w:p>
    <w:p w:rsidR="00552106" w:rsidRPr="005F15DA" w:rsidRDefault="00552106" w:rsidP="005C1A20">
      <w:pPr>
        <w:pStyle w:val="Listenabsatz"/>
        <w:tabs>
          <w:tab w:val="left" w:pos="426"/>
          <w:tab w:val="left" w:pos="851"/>
          <w:tab w:val="left" w:pos="1276"/>
        </w:tabs>
        <w:spacing w:line="240" w:lineRule="auto"/>
        <w:ind w:left="1276"/>
        <w:jc w:val="both"/>
        <w:rPr>
          <w:rFonts w:cs="Arial"/>
          <w:szCs w:val="22"/>
        </w:rPr>
      </w:pPr>
      <w:r w:rsidRPr="005F15DA">
        <w:rPr>
          <w:rFonts w:cs="Arial"/>
          <w:szCs w:val="22"/>
        </w:rPr>
        <w:t>Eingetragen werden immer ein Stichwort, der Gesamtwert, Eintragungsdatum, Beleg, usw. (Art. 100 GBV).</w:t>
      </w:r>
    </w:p>
    <w:p w:rsidR="005C1A20" w:rsidRPr="005F15DA" w:rsidRDefault="001713D3" w:rsidP="009D34F3">
      <w:pPr>
        <w:pStyle w:val="Listenabsatz"/>
        <w:numPr>
          <w:ilvl w:val="2"/>
          <w:numId w:val="23"/>
        </w:numPr>
        <w:tabs>
          <w:tab w:val="left" w:pos="426"/>
          <w:tab w:val="left" w:pos="851"/>
          <w:tab w:val="left" w:pos="1276"/>
        </w:tabs>
        <w:spacing w:line="240" w:lineRule="auto"/>
        <w:ind w:left="1276" w:hanging="425"/>
        <w:jc w:val="both"/>
        <w:rPr>
          <w:rFonts w:cs="Arial"/>
          <w:szCs w:val="22"/>
          <w:u w:val="single"/>
        </w:rPr>
      </w:pPr>
      <w:r w:rsidRPr="005F15DA">
        <w:rPr>
          <w:rFonts w:cs="Arial"/>
          <w:szCs w:val="22"/>
          <w:u w:val="single"/>
        </w:rPr>
        <w:t>Pfandrechte</w:t>
      </w:r>
    </w:p>
    <w:p w:rsidR="00E7289D" w:rsidRPr="005F15DA" w:rsidRDefault="00552106" w:rsidP="005C1A20">
      <w:pPr>
        <w:pStyle w:val="Listenabsatz"/>
        <w:tabs>
          <w:tab w:val="left" w:pos="426"/>
          <w:tab w:val="left" w:pos="851"/>
          <w:tab w:val="left" w:pos="1276"/>
        </w:tabs>
        <w:spacing w:line="240" w:lineRule="auto"/>
        <w:ind w:left="1276"/>
        <w:jc w:val="both"/>
        <w:rPr>
          <w:rFonts w:cs="Arial"/>
          <w:szCs w:val="22"/>
        </w:rPr>
      </w:pPr>
      <w:r w:rsidRPr="005F15DA">
        <w:rPr>
          <w:rFonts w:cs="Arial"/>
          <w:szCs w:val="22"/>
        </w:rPr>
        <w:t>Grundpfandrechte werden in die Abteilung "Grundpfandrechte" des Hauptblattes eingetragen.</w:t>
      </w:r>
    </w:p>
    <w:p w:rsidR="00552106" w:rsidRPr="005F15DA" w:rsidRDefault="00552106" w:rsidP="005C1A20">
      <w:pPr>
        <w:pStyle w:val="Listenabsatz"/>
        <w:tabs>
          <w:tab w:val="left" w:pos="426"/>
          <w:tab w:val="left" w:pos="851"/>
          <w:tab w:val="left" w:pos="1276"/>
        </w:tabs>
        <w:spacing w:line="240" w:lineRule="auto"/>
        <w:ind w:left="1276"/>
        <w:jc w:val="both"/>
        <w:rPr>
          <w:rFonts w:cs="Arial"/>
          <w:szCs w:val="22"/>
        </w:rPr>
      </w:pPr>
      <w:r w:rsidRPr="005F15DA">
        <w:rPr>
          <w:rFonts w:cs="Arial"/>
          <w:szCs w:val="22"/>
        </w:rPr>
        <w:t>Eingetragen werden immer die Art des Grundpfandrechtes, beim Schuldbrief die Bezeichnung als Papier- oder Register-Schuldbrief, der Gläubiger, die Pfan</w:t>
      </w:r>
      <w:r w:rsidRPr="005F15DA">
        <w:rPr>
          <w:rFonts w:cs="Arial"/>
          <w:szCs w:val="22"/>
        </w:rPr>
        <w:t>d</w:t>
      </w:r>
      <w:r w:rsidRPr="005F15DA">
        <w:rPr>
          <w:rFonts w:cs="Arial"/>
          <w:szCs w:val="22"/>
        </w:rPr>
        <w:t>summe (allenfalls mit Höchstzinsfuss), die Pfandstelle, das Eint</w:t>
      </w:r>
      <w:r w:rsidR="00050145" w:rsidRPr="005F15DA">
        <w:rPr>
          <w:rFonts w:cs="Arial"/>
          <w:szCs w:val="22"/>
        </w:rPr>
        <w:t>ragungsdatum und der Beleg, usw. (Art. 101 GBV).</w:t>
      </w:r>
    </w:p>
    <w:p w:rsidR="00050145" w:rsidRPr="005F15DA" w:rsidRDefault="00050145" w:rsidP="005C1A20">
      <w:pPr>
        <w:pStyle w:val="Listenabsatz"/>
        <w:tabs>
          <w:tab w:val="left" w:pos="426"/>
          <w:tab w:val="left" w:pos="851"/>
          <w:tab w:val="left" w:pos="1276"/>
        </w:tabs>
        <w:spacing w:line="240" w:lineRule="auto"/>
        <w:ind w:left="1276"/>
        <w:jc w:val="both"/>
        <w:rPr>
          <w:rFonts w:cs="Arial"/>
          <w:szCs w:val="22"/>
        </w:rPr>
      </w:pPr>
      <w:r w:rsidRPr="005F15DA">
        <w:rPr>
          <w:rFonts w:cs="Arial"/>
          <w:szCs w:val="22"/>
        </w:rPr>
        <w:t>Beim Register-Schuldbrief gilt die im Grundbuch eingetragene Person als Glä</w:t>
      </w:r>
      <w:r w:rsidRPr="005F15DA">
        <w:rPr>
          <w:rFonts w:cs="Arial"/>
          <w:szCs w:val="22"/>
        </w:rPr>
        <w:t>u</w:t>
      </w:r>
      <w:r w:rsidRPr="005F15DA">
        <w:rPr>
          <w:rFonts w:cs="Arial"/>
          <w:szCs w:val="22"/>
        </w:rPr>
        <w:t>biger; aus diesem Grund muss jeder Gläubigerwechsel im Grundbuch eingetr</w:t>
      </w:r>
      <w:r w:rsidRPr="005F15DA">
        <w:rPr>
          <w:rFonts w:cs="Arial"/>
          <w:szCs w:val="22"/>
        </w:rPr>
        <w:t>a</w:t>
      </w:r>
      <w:r w:rsidRPr="005F15DA">
        <w:rPr>
          <w:rFonts w:cs="Arial"/>
          <w:szCs w:val="22"/>
        </w:rPr>
        <w:t xml:space="preserve">gen werden (Art. 104 GBV). </w:t>
      </w:r>
    </w:p>
    <w:p w:rsidR="00050145" w:rsidRPr="005F15DA" w:rsidRDefault="00050145" w:rsidP="005C1A20">
      <w:pPr>
        <w:pStyle w:val="Listenabsatz"/>
        <w:tabs>
          <w:tab w:val="left" w:pos="426"/>
          <w:tab w:val="left" w:pos="851"/>
          <w:tab w:val="left" w:pos="1276"/>
        </w:tabs>
        <w:spacing w:line="240" w:lineRule="auto"/>
        <w:ind w:left="1276"/>
        <w:jc w:val="both"/>
        <w:rPr>
          <w:rFonts w:cs="Arial"/>
          <w:szCs w:val="22"/>
        </w:rPr>
      </w:pPr>
      <w:r w:rsidRPr="005F15DA">
        <w:rPr>
          <w:rFonts w:cs="Arial"/>
          <w:szCs w:val="22"/>
        </w:rPr>
        <w:t>Nebenvereinbarungen und Abzahlungen ohne Reduktion der Schuld- und Pfandsumme können unter den Bemerkungen eingetragen werden (Art. 106 GBV).</w:t>
      </w:r>
    </w:p>
    <w:p w:rsidR="00050145" w:rsidRPr="005F15DA" w:rsidRDefault="00050145" w:rsidP="005C1A20">
      <w:pPr>
        <w:pStyle w:val="Listenabsatz"/>
        <w:tabs>
          <w:tab w:val="left" w:pos="426"/>
          <w:tab w:val="left" w:pos="851"/>
          <w:tab w:val="left" w:pos="1276"/>
        </w:tabs>
        <w:spacing w:line="240" w:lineRule="auto"/>
        <w:ind w:left="1276"/>
        <w:jc w:val="both"/>
        <w:rPr>
          <w:rFonts w:cs="Arial"/>
          <w:szCs w:val="22"/>
        </w:rPr>
      </w:pPr>
      <w:r w:rsidRPr="005F15DA">
        <w:rPr>
          <w:rFonts w:cs="Arial"/>
          <w:szCs w:val="22"/>
        </w:rPr>
        <w:t>Wenn mehrere Grundstücke des gleichen Eigentümers für eine Forderung ha</w:t>
      </w:r>
      <w:r w:rsidRPr="005F15DA">
        <w:rPr>
          <w:rFonts w:cs="Arial"/>
          <w:szCs w:val="22"/>
        </w:rPr>
        <w:t>f</w:t>
      </w:r>
      <w:r w:rsidRPr="005F15DA">
        <w:rPr>
          <w:rFonts w:cs="Arial"/>
          <w:szCs w:val="22"/>
        </w:rPr>
        <w:t>ten, spricht man von einem Gesamtpfandrecht. Auf jedem Grundstückblatt wird das Grundpfandrecht ganz normal eingetragen (mit dem ganzen Forderungsb</w:t>
      </w:r>
      <w:r w:rsidRPr="005F15DA">
        <w:rPr>
          <w:rFonts w:cs="Arial"/>
          <w:szCs w:val="22"/>
        </w:rPr>
        <w:t>e</w:t>
      </w:r>
      <w:r w:rsidRPr="005F15DA">
        <w:rPr>
          <w:rFonts w:cs="Arial"/>
          <w:szCs w:val="22"/>
        </w:rPr>
        <w:t xml:space="preserve">trag), aber unter den Bemerkungen werden die mitverpfändeten Grundstücke </w:t>
      </w:r>
      <w:r w:rsidRPr="005F15DA">
        <w:rPr>
          <w:rFonts w:cs="Arial"/>
          <w:szCs w:val="22"/>
        </w:rPr>
        <w:lastRenderedPageBreak/>
        <w:t xml:space="preserve">angegeben. </w:t>
      </w:r>
      <w:r w:rsidR="00403626" w:rsidRPr="005F15DA">
        <w:rPr>
          <w:rFonts w:cs="Arial"/>
          <w:szCs w:val="22"/>
        </w:rPr>
        <w:t>Wenn das Gesamtpfandrecht Grundstücke in mehreren Grun</w:t>
      </w:r>
      <w:r w:rsidR="00403626" w:rsidRPr="005F15DA">
        <w:rPr>
          <w:rFonts w:cs="Arial"/>
          <w:szCs w:val="22"/>
        </w:rPr>
        <w:t>d</w:t>
      </w:r>
      <w:r w:rsidR="00403626" w:rsidRPr="005F15DA">
        <w:rPr>
          <w:rFonts w:cs="Arial"/>
          <w:szCs w:val="22"/>
        </w:rPr>
        <w:t>buchkreisen betrifft, erfolgt die Anmeldung beim Grundbuchamt mit der grössten Fläche; häufig meldet das Grundbuchamt die erfolgte Eintragung anschliessend den anderen Grundbuchämtern (Art. 110 GBV).</w:t>
      </w:r>
    </w:p>
    <w:p w:rsidR="00403626" w:rsidRPr="005F15DA" w:rsidRDefault="00403626" w:rsidP="005C1A20">
      <w:pPr>
        <w:pStyle w:val="Listenabsatz"/>
        <w:tabs>
          <w:tab w:val="left" w:pos="426"/>
          <w:tab w:val="left" w:pos="851"/>
          <w:tab w:val="left" w:pos="1276"/>
        </w:tabs>
        <w:spacing w:line="240" w:lineRule="auto"/>
        <w:ind w:left="1276"/>
        <w:jc w:val="both"/>
        <w:rPr>
          <w:rFonts w:cs="Arial"/>
          <w:szCs w:val="22"/>
        </w:rPr>
      </w:pPr>
      <w:r w:rsidRPr="005F15DA">
        <w:rPr>
          <w:rFonts w:cs="Arial"/>
          <w:szCs w:val="22"/>
        </w:rPr>
        <w:t>Bezüglich weiterer Grundpfandrechte: siehe Art. 111 - 121.</w:t>
      </w:r>
    </w:p>
    <w:p w:rsidR="00403626" w:rsidRPr="005F15DA" w:rsidRDefault="00403626" w:rsidP="005C1A20">
      <w:pPr>
        <w:pStyle w:val="Listenabsatz"/>
        <w:tabs>
          <w:tab w:val="left" w:pos="426"/>
          <w:tab w:val="left" w:pos="851"/>
          <w:tab w:val="left" w:pos="1276"/>
        </w:tabs>
        <w:spacing w:line="240" w:lineRule="auto"/>
        <w:ind w:left="1276"/>
        <w:jc w:val="both"/>
        <w:rPr>
          <w:rFonts w:cs="Arial"/>
          <w:szCs w:val="22"/>
        </w:rPr>
      </w:pPr>
      <w:r w:rsidRPr="005F15DA">
        <w:rPr>
          <w:rFonts w:cs="Arial"/>
          <w:szCs w:val="22"/>
        </w:rPr>
        <w:t>Rangänderungen von Grundpfandrechten gegenüber Dienstbarkeiten, Grundla</w:t>
      </w:r>
      <w:r w:rsidRPr="005F15DA">
        <w:rPr>
          <w:rFonts w:cs="Arial"/>
          <w:szCs w:val="22"/>
        </w:rPr>
        <w:t>s</w:t>
      </w:r>
      <w:r w:rsidRPr="005F15DA">
        <w:rPr>
          <w:rFonts w:cs="Arial"/>
          <w:szCs w:val="22"/>
        </w:rPr>
        <w:t>ten oder Vormerkungen sowie Rangänderungen innerhalb der Dienstbarkeiten, Grundlasten und Vormerkungen bedürfen der schriftlichen Zustimmung der dadurch benachteiligten Personen (Art. 122 GBV).</w:t>
      </w:r>
    </w:p>
    <w:p w:rsidR="005C1A20" w:rsidRPr="005F15DA" w:rsidRDefault="001713D3" w:rsidP="009D34F3">
      <w:pPr>
        <w:pStyle w:val="Listenabsatz"/>
        <w:numPr>
          <w:ilvl w:val="2"/>
          <w:numId w:val="23"/>
        </w:numPr>
        <w:tabs>
          <w:tab w:val="left" w:pos="426"/>
          <w:tab w:val="left" w:pos="851"/>
          <w:tab w:val="left" w:pos="1276"/>
        </w:tabs>
        <w:spacing w:line="240" w:lineRule="auto"/>
        <w:ind w:left="1276" w:hanging="425"/>
        <w:jc w:val="both"/>
        <w:rPr>
          <w:rFonts w:cs="Arial"/>
          <w:szCs w:val="22"/>
          <w:u w:val="single"/>
        </w:rPr>
      </w:pPr>
      <w:r w:rsidRPr="005F15DA">
        <w:rPr>
          <w:rFonts w:cs="Arial"/>
          <w:szCs w:val="22"/>
          <w:u w:val="single"/>
        </w:rPr>
        <w:t>Vormerkungen, Anmerkungen und Bemerkungen</w:t>
      </w:r>
    </w:p>
    <w:p w:rsidR="00E7289D" w:rsidRPr="005F15DA" w:rsidRDefault="00403626" w:rsidP="005C1A20">
      <w:pPr>
        <w:pStyle w:val="Listenabsatz"/>
        <w:tabs>
          <w:tab w:val="left" w:pos="426"/>
          <w:tab w:val="left" w:pos="851"/>
          <w:tab w:val="left" w:pos="1276"/>
        </w:tabs>
        <w:spacing w:line="240" w:lineRule="auto"/>
        <w:ind w:left="1276"/>
        <w:jc w:val="both"/>
        <w:rPr>
          <w:rFonts w:cs="Arial"/>
          <w:szCs w:val="22"/>
        </w:rPr>
      </w:pPr>
      <w:r w:rsidRPr="005F15DA">
        <w:rPr>
          <w:rFonts w:cs="Arial"/>
          <w:szCs w:val="22"/>
        </w:rPr>
        <w:t xml:space="preserve">Vormerkungen werden in der Abteilung "Vormerkungen" des Hauptbuchblattes eingetragen. </w:t>
      </w:r>
      <w:r w:rsidR="00016883" w:rsidRPr="005F15DA">
        <w:rPr>
          <w:rFonts w:cs="Arial"/>
          <w:szCs w:val="22"/>
        </w:rPr>
        <w:t>Es gelten die Bestimmungen über die Eintragung der dinglichen Rechte (Rechtsgrundausweis, Verfügungsrecht, usw.). Zudem enthält die Vo</w:t>
      </w:r>
      <w:r w:rsidR="00016883" w:rsidRPr="005F15DA">
        <w:rPr>
          <w:rFonts w:cs="Arial"/>
          <w:szCs w:val="22"/>
        </w:rPr>
        <w:t>r</w:t>
      </w:r>
      <w:r w:rsidR="00016883" w:rsidRPr="005F15DA">
        <w:rPr>
          <w:rFonts w:cs="Arial"/>
          <w:szCs w:val="22"/>
        </w:rPr>
        <w:t>merkung den wesentlichen Inhalt des vorgemerkten Rechts, die Bezeichnung der berechtigten Person oder des berechtigten Grundstücks, Eintragungsdatum, Beleg, usw. (Art. 123 GBV). Die Vormerkung vorläufiger Eintragungen bedarf der schriftlichen Einwilligung des Grundeigentümers und der übrigen Beteiligten oder einer gerichtlichen Anordnung (Art. 124 GBV).</w:t>
      </w:r>
    </w:p>
    <w:p w:rsidR="00016883" w:rsidRPr="005F15DA" w:rsidRDefault="00016883" w:rsidP="005C1A20">
      <w:pPr>
        <w:pStyle w:val="Listenabsatz"/>
        <w:tabs>
          <w:tab w:val="left" w:pos="426"/>
          <w:tab w:val="left" w:pos="851"/>
          <w:tab w:val="left" w:pos="1276"/>
        </w:tabs>
        <w:spacing w:line="240" w:lineRule="auto"/>
        <w:ind w:left="1276"/>
        <w:jc w:val="both"/>
        <w:rPr>
          <w:rFonts w:cs="Arial"/>
          <w:szCs w:val="22"/>
        </w:rPr>
      </w:pPr>
      <w:r w:rsidRPr="005F15DA">
        <w:rPr>
          <w:rFonts w:cs="Arial"/>
          <w:szCs w:val="22"/>
        </w:rPr>
        <w:t>Anmerkungen werden auf dem Hauptbuchblatt mit einem Stichwort, dem Eintr</w:t>
      </w:r>
      <w:r w:rsidRPr="005F15DA">
        <w:rPr>
          <w:rFonts w:cs="Arial"/>
          <w:szCs w:val="22"/>
        </w:rPr>
        <w:t>a</w:t>
      </w:r>
      <w:r w:rsidRPr="005F15DA">
        <w:rPr>
          <w:rFonts w:cs="Arial"/>
          <w:szCs w:val="22"/>
        </w:rPr>
        <w:t>gungsdatum und dem Beleg eingetragen (Art. 125 - 129 GBV).</w:t>
      </w:r>
    </w:p>
    <w:p w:rsidR="00016883" w:rsidRPr="005F15DA" w:rsidRDefault="00016883" w:rsidP="005C1A20">
      <w:pPr>
        <w:pStyle w:val="Listenabsatz"/>
        <w:tabs>
          <w:tab w:val="left" w:pos="426"/>
          <w:tab w:val="left" w:pos="851"/>
          <w:tab w:val="left" w:pos="1276"/>
        </w:tabs>
        <w:spacing w:line="240" w:lineRule="auto"/>
        <w:ind w:left="1276"/>
        <w:jc w:val="both"/>
        <w:rPr>
          <w:rFonts w:cs="Arial"/>
          <w:szCs w:val="22"/>
        </w:rPr>
      </w:pPr>
      <w:r w:rsidRPr="005F15DA">
        <w:rPr>
          <w:rFonts w:cs="Arial"/>
          <w:szCs w:val="22"/>
        </w:rPr>
        <w:t>Bemerkungen werden als Hinweise auf besondere rechtserhebliche Umstände zu den Einträgen in allen Abteilungen eingetragen (Art. 130 GBV).</w:t>
      </w:r>
    </w:p>
    <w:p w:rsidR="00E7289D" w:rsidRPr="005F15DA" w:rsidRDefault="00E7289D" w:rsidP="00861D85">
      <w:pPr>
        <w:tabs>
          <w:tab w:val="left" w:pos="426"/>
          <w:tab w:val="left" w:pos="851"/>
          <w:tab w:val="left" w:pos="1276"/>
        </w:tabs>
        <w:spacing w:line="240" w:lineRule="auto"/>
        <w:jc w:val="both"/>
        <w:rPr>
          <w:rFonts w:cs="Arial"/>
          <w:szCs w:val="22"/>
        </w:rPr>
      </w:pPr>
    </w:p>
    <w:p w:rsidR="005C1A20" w:rsidRPr="005F15DA" w:rsidRDefault="001713D3" w:rsidP="00A8276A">
      <w:pPr>
        <w:pStyle w:val="berschrift4"/>
        <w:tabs>
          <w:tab w:val="left" w:pos="851"/>
        </w:tabs>
      </w:pPr>
      <w:r w:rsidRPr="005F15DA">
        <w:tab/>
        <w:t>5.</w:t>
      </w:r>
      <w:r w:rsidRPr="005F15DA">
        <w:tab/>
        <w:t>Änderung und Löschung</w:t>
      </w:r>
      <w:r w:rsidR="00C64C8C" w:rsidRPr="005F15DA">
        <w:t xml:space="preserve"> (Art. 131 - 139 GBV)</w:t>
      </w:r>
    </w:p>
    <w:p w:rsidR="00016883" w:rsidRPr="005F15DA" w:rsidRDefault="005C1A20" w:rsidP="00016883">
      <w:pPr>
        <w:tabs>
          <w:tab w:val="left" w:pos="426"/>
          <w:tab w:val="left" w:pos="851"/>
          <w:tab w:val="left" w:pos="1276"/>
        </w:tabs>
        <w:spacing w:line="240" w:lineRule="auto"/>
        <w:ind w:left="851" w:hanging="851"/>
        <w:jc w:val="both"/>
        <w:rPr>
          <w:rFonts w:cs="Arial"/>
          <w:szCs w:val="22"/>
        </w:rPr>
      </w:pPr>
      <w:r w:rsidRPr="005F15DA">
        <w:rPr>
          <w:rFonts w:cs="Arial"/>
          <w:szCs w:val="22"/>
        </w:rPr>
        <w:tab/>
      </w:r>
      <w:r w:rsidRPr="005F15DA">
        <w:rPr>
          <w:rFonts w:cs="Arial"/>
          <w:szCs w:val="22"/>
        </w:rPr>
        <w:tab/>
      </w:r>
      <w:r w:rsidR="00016883" w:rsidRPr="005F15DA">
        <w:rPr>
          <w:rFonts w:cs="Arial"/>
          <w:szCs w:val="22"/>
        </w:rPr>
        <w:t>Die Bestimmungen über die Anmeldung zur Eintragung gelten auch für die Anme</w:t>
      </w:r>
      <w:r w:rsidR="00016883" w:rsidRPr="005F15DA">
        <w:rPr>
          <w:rFonts w:cs="Arial"/>
          <w:szCs w:val="22"/>
        </w:rPr>
        <w:t>l</w:t>
      </w:r>
      <w:r w:rsidR="00016883" w:rsidRPr="005F15DA">
        <w:rPr>
          <w:rFonts w:cs="Arial"/>
          <w:szCs w:val="22"/>
        </w:rPr>
        <w:t>dung zur Änderung oder Löschung eines Eintrages. Zudem muss die schriftliche E</w:t>
      </w:r>
      <w:r w:rsidR="00016883" w:rsidRPr="005F15DA">
        <w:rPr>
          <w:rFonts w:cs="Arial"/>
          <w:szCs w:val="22"/>
        </w:rPr>
        <w:t>r</w:t>
      </w:r>
      <w:r w:rsidR="00016883" w:rsidRPr="005F15DA">
        <w:rPr>
          <w:rFonts w:cs="Arial"/>
          <w:szCs w:val="22"/>
        </w:rPr>
        <w:t>mächtigung des Berechtigten, des Gerichts oder einer anderen Behörde vorliegen. (Art. 131 - 139 GBV).</w:t>
      </w:r>
    </w:p>
    <w:p w:rsidR="00E7289D" w:rsidRPr="005F15DA" w:rsidRDefault="00E7289D" w:rsidP="00861D85">
      <w:pPr>
        <w:tabs>
          <w:tab w:val="left" w:pos="426"/>
          <w:tab w:val="left" w:pos="851"/>
          <w:tab w:val="left" w:pos="1276"/>
        </w:tabs>
        <w:spacing w:line="240" w:lineRule="auto"/>
        <w:jc w:val="both"/>
        <w:rPr>
          <w:rFonts w:cs="Arial"/>
          <w:szCs w:val="22"/>
        </w:rPr>
      </w:pPr>
    </w:p>
    <w:p w:rsidR="005C1A20" w:rsidRPr="005F15DA" w:rsidRDefault="001713D3" w:rsidP="00A8276A">
      <w:pPr>
        <w:pStyle w:val="berschrift4"/>
        <w:tabs>
          <w:tab w:val="left" w:pos="851"/>
        </w:tabs>
      </w:pPr>
      <w:r w:rsidRPr="005F15DA">
        <w:tab/>
        <w:t>6.</w:t>
      </w:r>
      <w:r w:rsidRPr="005F15DA">
        <w:tab/>
        <w:t>Berichtigungen</w:t>
      </w:r>
      <w:r w:rsidR="00C64C8C" w:rsidRPr="005F15DA">
        <w:t xml:space="preserve"> (Art. 140 - 143 GBV)</w:t>
      </w:r>
    </w:p>
    <w:p w:rsidR="00016883" w:rsidRPr="005F15DA" w:rsidRDefault="00016883" w:rsidP="006037D9">
      <w:pPr>
        <w:tabs>
          <w:tab w:val="left" w:pos="426"/>
          <w:tab w:val="left" w:pos="851"/>
          <w:tab w:val="left" w:pos="1276"/>
        </w:tabs>
        <w:spacing w:line="240" w:lineRule="auto"/>
        <w:ind w:left="851" w:hanging="851"/>
        <w:jc w:val="both"/>
        <w:rPr>
          <w:rFonts w:cs="Arial"/>
          <w:szCs w:val="22"/>
        </w:rPr>
      </w:pPr>
      <w:r w:rsidRPr="005F15DA">
        <w:rPr>
          <w:rFonts w:cs="Arial"/>
          <w:szCs w:val="22"/>
        </w:rPr>
        <w:tab/>
      </w:r>
      <w:r w:rsidRPr="005F15DA">
        <w:rPr>
          <w:rFonts w:cs="Arial"/>
          <w:szCs w:val="22"/>
        </w:rPr>
        <w:tab/>
      </w:r>
      <w:r w:rsidR="006037D9" w:rsidRPr="005F15DA">
        <w:rPr>
          <w:rFonts w:cs="Arial"/>
          <w:szCs w:val="22"/>
        </w:rPr>
        <w:t>Berichtigungen sind Veränderungen von unrichtigen rechtswirksamen Daten. Das Grundbuchamt ist verpflichtet, festgestellte Fehler nach Möglichkeit zu berichtigen.</w:t>
      </w:r>
    </w:p>
    <w:p w:rsidR="006037D9" w:rsidRPr="005F15DA" w:rsidRDefault="006037D9" w:rsidP="00861D85">
      <w:pPr>
        <w:tabs>
          <w:tab w:val="left" w:pos="426"/>
          <w:tab w:val="left" w:pos="851"/>
          <w:tab w:val="left" w:pos="1276"/>
        </w:tabs>
        <w:spacing w:line="240" w:lineRule="auto"/>
        <w:jc w:val="both"/>
        <w:rPr>
          <w:rFonts w:cs="Arial"/>
          <w:szCs w:val="22"/>
        </w:rPr>
      </w:pPr>
      <w:r w:rsidRPr="005F15DA">
        <w:rPr>
          <w:rFonts w:cs="Arial"/>
          <w:szCs w:val="22"/>
        </w:rPr>
        <w:tab/>
      </w:r>
      <w:r w:rsidRPr="005F15DA">
        <w:rPr>
          <w:rFonts w:cs="Arial"/>
          <w:szCs w:val="22"/>
        </w:rPr>
        <w:tab/>
        <w:t>Blosse Schreibfehler berichtigt das Grundbuchamt von sich aus (Art. 141 GBV).</w:t>
      </w:r>
    </w:p>
    <w:p w:rsidR="006037D9" w:rsidRPr="005F15DA" w:rsidRDefault="006037D9" w:rsidP="006037D9">
      <w:pPr>
        <w:tabs>
          <w:tab w:val="left" w:pos="426"/>
          <w:tab w:val="left" w:pos="851"/>
          <w:tab w:val="left" w:pos="1276"/>
        </w:tabs>
        <w:spacing w:line="240" w:lineRule="auto"/>
        <w:ind w:left="851" w:hanging="851"/>
        <w:jc w:val="both"/>
        <w:rPr>
          <w:rFonts w:cs="Arial"/>
          <w:szCs w:val="22"/>
        </w:rPr>
      </w:pPr>
      <w:r w:rsidRPr="005F15DA">
        <w:rPr>
          <w:rFonts w:cs="Arial"/>
          <w:szCs w:val="22"/>
        </w:rPr>
        <w:tab/>
      </w:r>
      <w:r w:rsidRPr="005F15DA">
        <w:rPr>
          <w:rFonts w:cs="Arial"/>
          <w:szCs w:val="22"/>
        </w:rPr>
        <w:tab/>
        <w:t>Sinnverändernde Fehler löscht das Grundbuchamt mit Zustimmung der betroffenen Personen (Art. 142 GBV).</w:t>
      </w:r>
    </w:p>
    <w:p w:rsidR="001713D3" w:rsidRPr="005F15DA" w:rsidRDefault="001713D3" w:rsidP="00861D85">
      <w:pPr>
        <w:tabs>
          <w:tab w:val="left" w:pos="426"/>
          <w:tab w:val="left" w:pos="851"/>
          <w:tab w:val="left" w:pos="1276"/>
        </w:tabs>
        <w:spacing w:line="240" w:lineRule="auto"/>
        <w:jc w:val="both"/>
        <w:rPr>
          <w:rFonts w:cs="Arial"/>
          <w:szCs w:val="22"/>
        </w:rPr>
      </w:pPr>
    </w:p>
    <w:p w:rsidR="00F92FB6" w:rsidRPr="005F15DA" w:rsidRDefault="00F92FB6" w:rsidP="00861D85">
      <w:pPr>
        <w:tabs>
          <w:tab w:val="left" w:pos="426"/>
          <w:tab w:val="left" w:pos="851"/>
          <w:tab w:val="left" w:pos="1276"/>
        </w:tabs>
        <w:spacing w:line="240" w:lineRule="auto"/>
        <w:jc w:val="both"/>
        <w:rPr>
          <w:rFonts w:cs="Arial"/>
          <w:szCs w:val="22"/>
        </w:rPr>
      </w:pPr>
    </w:p>
    <w:p w:rsidR="001713D3" w:rsidRPr="005F15DA" w:rsidRDefault="001713D3" w:rsidP="005759BE">
      <w:pPr>
        <w:pStyle w:val="berschrift3"/>
        <w:rPr>
          <w:lang w:val="de-CH"/>
        </w:rPr>
      </w:pPr>
      <w:bookmarkStart w:id="171" w:name="_Toc432175691"/>
      <w:r w:rsidRPr="005F15DA">
        <w:rPr>
          <w:lang w:val="de-CH"/>
        </w:rPr>
        <w:t>4.</w:t>
      </w:r>
      <w:r w:rsidRPr="005F15DA">
        <w:rPr>
          <w:lang w:val="de-CH"/>
        </w:rPr>
        <w:tab/>
        <w:t>Ausstellung, Änderung und Entkräftung von Pfandtiteln</w:t>
      </w:r>
      <w:bookmarkEnd w:id="171"/>
    </w:p>
    <w:p w:rsidR="00F92FB6" w:rsidRPr="005F15DA" w:rsidRDefault="001713D3" w:rsidP="00F92FB6">
      <w:pPr>
        <w:tabs>
          <w:tab w:val="left" w:pos="426"/>
          <w:tab w:val="left" w:pos="851"/>
        </w:tabs>
        <w:spacing w:line="240" w:lineRule="auto"/>
        <w:jc w:val="both"/>
        <w:rPr>
          <w:rFonts w:cs="Arial"/>
          <w:szCs w:val="22"/>
        </w:rPr>
      </w:pPr>
      <w:r w:rsidRPr="005F15DA">
        <w:tab/>
      </w:r>
    </w:p>
    <w:p w:rsidR="006037D9" w:rsidRPr="005F15DA" w:rsidRDefault="001713D3" w:rsidP="00A8276A">
      <w:pPr>
        <w:pStyle w:val="berschrift4"/>
        <w:tabs>
          <w:tab w:val="left" w:pos="851"/>
        </w:tabs>
      </w:pPr>
      <w:r w:rsidRPr="005F15DA">
        <w:t>1.</w:t>
      </w:r>
      <w:r w:rsidRPr="005F15DA">
        <w:tab/>
        <w:t>Ausstellung des Pfandtitels</w:t>
      </w:r>
      <w:r w:rsidR="00C64C8C" w:rsidRPr="005F15DA">
        <w:t xml:space="preserve"> (Art. 144 - 149 GBV)</w:t>
      </w:r>
    </w:p>
    <w:p w:rsidR="001713D3" w:rsidRPr="005F15DA" w:rsidRDefault="006037D9" w:rsidP="00861D85">
      <w:pPr>
        <w:tabs>
          <w:tab w:val="left" w:pos="426"/>
          <w:tab w:val="left" w:pos="851"/>
          <w:tab w:val="left" w:pos="1276"/>
        </w:tabs>
        <w:spacing w:line="240" w:lineRule="auto"/>
        <w:ind w:left="851" w:hanging="851"/>
        <w:jc w:val="both"/>
        <w:rPr>
          <w:rFonts w:cs="Arial"/>
          <w:szCs w:val="22"/>
        </w:rPr>
      </w:pPr>
      <w:r w:rsidRPr="005F15DA">
        <w:rPr>
          <w:rFonts w:cs="Arial"/>
          <w:szCs w:val="22"/>
        </w:rPr>
        <w:tab/>
      </w:r>
      <w:r w:rsidRPr="005F15DA">
        <w:rPr>
          <w:rFonts w:cs="Arial"/>
          <w:szCs w:val="22"/>
        </w:rPr>
        <w:tab/>
        <w:t xml:space="preserve">Siehe Art. 144 - 149 GBV </w:t>
      </w:r>
      <w:r w:rsidR="00F910D1" w:rsidRPr="005F15DA">
        <w:rPr>
          <w:rFonts w:cs="Arial"/>
          <w:szCs w:val="22"/>
        </w:rPr>
        <w:t>(Inhalt, Ausstellung, Aushändigung, Auszüge für Grun</w:t>
      </w:r>
      <w:r w:rsidR="00F910D1" w:rsidRPr="005F15DA">
        <w:rPr>
          <w:rFonts w:cs="Arial"/>
          <w:szCs w:val="22"/>
        </w:rPr>
        <w:t>d</w:t>
      </w:r>
      <w:r w:rsidR="00F910D1" w:rsidRPr="005F15DA">
        <w:rPr>
          <w:rFonts w:cs="Arial"/>
          <w:szCs w:val="22"/>
        </w:rPr>
        <w:t>pfandverschreibungen und Register-Schuldbrief)</w:t>
      </w:r>
    </w:p>
    <w:p w:rsidR="006037D9" w:rsidRPr="005F15DA" w:rsidRDefault="006037D9" w:rsidP="00861D85">
      <w:pPr>
        <w:tabs>
          <w:tab w:val="left" w:pos="426"/>
          <w:tab w:val="left" w:pos="851"/>
          <w:tab w:val="left" w:pos="1276"/>
        </w:tabs>
        <w:spacing w:line="240" w:lineRule="auto"/>
        <w:ind w:left="851" w:hanging="851"/>
        <w:jc w:val="both"/>
        <w:rPr>
          <w:rFonts w:cs="Arial"/>
          <w:szCs w:val="22"/>
        </w:rPr>
      </w:pPr>
    </w:p>
    <w:p w:rsidR="001713D3" w:rsidRPr="005F15DA" w:rsidRDefault="001713D3" w:rsidP="00A8276A">
      <w:pPr>
        <w:pStyle w:val="berschrift4"/>
        <w:tabs>
          <w:tab w:val="left" w:pos="851"/>
        </w:tabs>
      </w:pPr>
      <w:r w:rsidRPr="005F15DA">
        <w:tab/>
        <w:t>2.</w:t>
      </w:r>
      <w:r w:rsidRPr="005F15DA">
        <w:tab/>
        <w:t>Änderung</w:t>
      </w:r>
      <w:r w:rsidR="00EF02F3" w:rsidRPr="005F15DA">
        <w:t xml:space="preserve"> und Entkräftung des Pfandtitels</w:t>
      </w:r>
      <w:r w:rsidR="00C64C8C" w:rsidRPr="005F15DA">
        <w:t xml:space="preserve"> (Art. 150 - 152 GBV)</w:t>
      </w:r>
    </w:p>
    <w:p w:rsidR="006037D9" w:rsidRPr="005F15DA" w:rsidRDefault="006037D9" w:rsidP="00861D85">
      <w:pPr>
        <w:tabs>
          <w:tab w:val="left" w:pos="426"/>
          <w:tab w:val="left" w:pos="851"/>
          <w:tab w:val="left" w:pos="1276"/>
        </w:tabs>
        <w:spacing w:line="240" w:lineRule="auto"/>
        <w:jc w:val="both"/>
        <w:rPr>
          <w:rFonts w:cs="Arial"/>
          <w:szCs w:val="22"/>
        </w:rPr>
      </w:pPr>
      <w:r w:rsidRPr="005F15DA">
        <w:rPr>
          <w:rFonts w:cs="Arial"/>
          <w:szCs w:val="22"/>
        </w:rPr>
        <w:tab/>
      </w:r>
      <w:r w:rsidRPr="005F15DA">
        <w:rPr>
          <w:rFonts w:cs="Arial"/>
          <w:szCs w:val="22"/>
        </w:rPr>
        <w:tab/>
        <w:t>Siehe Art. 150 - 152 GBV</w:t>
      </w:r>
    </w:p>
    <w:p w:rsidR="00EF02F3" w:rsidRPr="005F15DA" w:rsidRDefault="00EF02F3" w:rsidP="00861D85">
      <w:pPr>
        <w:tabs>
          <w:tab w:val="left" w:pos="426"/>
          <w:tab w:val="left" w:pos="851"/>
          <w:tab w:val="left" w:pos="1276"/>
        </w:tabs>
        <w:spacing w:line="240" w:lineRule="auto"/>
        <w:jc w:val="both"/>
        <w:rPr>
          <w:rFonts w:cs="Arial"/>
          <w:szCs w:val="22"/>
        </w:rPr>
      </w:pPr>
    </w:p>
    <w:p w:rsidR="00F92FB6" w:rsidRPr="005F15DA" w:rsidRDefault="00F92FB6" w:rsidP="00861D85">
      <w:pPr>
        <w:tabs>
          <w:tab w:val="left" w:pos="426"/>
          <w:tab w:val="left" w:pos="851"/>
          <w:tab w:val="left" w:pos="1276"/>
        </w:tabs>
        <w:spacing w:line="240" w:lineRule="auto"/>
        <w:jc w:val="both"/>
        <w:rPr>
          <w:rFonts w:cs="Arial"/>
          <w:szCs w:val="22"/>
        </w:rPr>
      </w:pPr>
    </w:p>
    <w:p w:rsidR="00742022" w:rsidRPr="005F15DA" w:rsidRDefault="00742022">
      <w:pPr>
        <w:spacing w:after="200"/>
        <w:rPr>
          <w:rFonts w:eastAsia="Times New Roman" w:cs="Arial"/>
          <w:b/>
          <w:bCs/>
          <w:color w:val="000000" w:themeColor="text1"/>
          <w:spacing w:val="-7"/>
          <w:sz w:val="28"/>
          <w:szCs w:val="28"/>
          <w:lang w:eastAsia="de-DE"/>
        </w:rPr>
      </w:pPr>
      <w:r w:rsidRPr="005F15DA">
        <w:br w:type="page"/>
      </w:r>
    </w:p>
    <w:p w:rsidR="00EF02F3" w:rsidRPr="005F15DA" w:rsidRDefault="00EF02F3" w:rsidP="005759BE">
      <w:pPr>
        <w:pStyle w:val="berschrift3"/>
        <w:rPr>
          <w:lang w:val="de-CH"/>
        </w:rPr>
      </w:pPr>
      <w:bookmarkStart w:id="172" w:name="_Toc432175692"/>
      <w:r w:rsidRPr="005F15DA">
        <w:rPr>
          <w:lang w:val="de-CH"/>
        </w:rPr>
        <w:lastRenderedPageBreak/>
        <w:t>5.</w:t>
      </w:r>
      <w:r w:rsidRPr="005F15DA">
        <w:rPr>
          <w:lang w:val="de-CH"/>
        </w:rPr>
        <w:tab/>
        <w:t>Teilung und Vereinigung von Grundstücken</w:t>
      </w:r>
      <w:bookmarkEnd w:id="172"/>
    </w:p>
    <w:p w:rsidR="00F92FB6" w:rsidRPr="005F15DA" w:rsidRDefault="00F92FB6" w:rsidP="00F92FB6">
      <w:pPr>
        <w:tabs>
          <w:tab w:val="left" w:pos="426"/>
          <w:tab w:val="left" w:pos="851"/>
        </w:tabs>
        <w:spacing w:line="240" w:lineRule="auto"/>
        <w:jc w:val="both"/>
        <w:rPr>
          <w:rFonts w:cs="Arial"/>
          <w:szCs w:val="22"/>
        </w:rPr>
      </w:pPr>
    </w:p>
    <w:p w:rsidR="006037D9" w:rsidRPr="005F15DA" w:rsidRDefault="00EF02F3" w:rsidP="00A8276A">
      <w:pPr>
        <w:pStyle w:val="berschrift4"/>
        <w:tabs>
          <w:tab w:val="left" w:pos="851"/>
        </w:tabs>
      </w:pPr>
      <w:r w:rsidRPr="005F15DA">
        <w:tab/>
        <w:t>1.</w:t>
      </w:r>
      <w:r w:rsidRPr="005F15DA">
        <w:tab/>
        <w:t>Teilung von Grund</w:t>
      </w:r>
      <w:r w:rsidR="000843E5" w:rsidRPr="005F15DA">
        <w:t>s</w:t>
      </w:r>
      <w:r w:rsidRPr="005F15DA">
        <w:t>tücken</w:t>
      </w:r>
      <w:r w:rsidR="00C64C8C" w:rsidRPr="005F15DA">
        <w:t xml:space="preserve"> (Art. 153 157 GBV)</w:t>
      </w:r>
    </w:p>
    <w:p w:rsidR="006037D9" w:rsidRPr="005F15DA" w:rsidRDefault="006037D9" w:rsidP="00861D85">
      <w:pPr>
        <w:tabs>
          <w:tab w:val="left" w:pos="426"/>
          <w:tab w:val="left" w:pos="851"/>
          <w:tab w:val="left" w:pos="1276"/>
        </w:tabs>
        <w:spacing w:line="240" w:lineRule="auto"/>
        <w:ind w:left="851" w:hanging="851"/>
        <w:jc w:val="both"/>
        <w:rPr>
          <w:rFonts w:cs="Arial"/>
          <w:szCs w:val="22"/>
        </w:rPr>
      </w:pPr>
      <w:r w:rsidRPr="005F15DA">
        <w:rPr>
          <w:rFonts w:cs="Arial"/>
          <w:szCs w:val="22"/>
        </w:rPr>
        <w:tab/>
      </w:r>
      <w:r w:rsidRPr="005F15DA">
        <w:rPr>
          <w:rFonts w:cs="Arial"/>
          <w:szCs w:val="22"/>
        </w:rPr>
        <w:tab/>
        <w:t>Bei der Teilung eines Grundstückes wird das bisherige Hauptbuchblatt für einen Teil normalerweise weitergeführt. Für die neuen Teile, soweit diese nicht mit anderen Grundstücken vereinigt werden, werden neue Hauptbuchblätter eröffn</w:t>
      </w:r>
      <w:r w:rsidR="0037487C" w:rsidRPr="005F15DA">
        <w:rPr>
          <w:rFonts w:cs="Arial"/>
          <w:szCs w:val="22"/>
        </w:rPr>
        <w:t>et (Art. 153 GBV).</w:t>
      </w:r>
    </w:p>
    <w:p w:rsidR="006037D9" w:rsidRPr="005F15DA" w:rsidRDefault="006037D9" w:rsidP="00861D85">
      <w:pPr>
        <w:tabs>
          <w:tab w:val="left" w:pos="426"/>
          <w:tab w:val="left" w:pos="851"/>
          <w:tab w:val="left" w:pos="1276"/>
        </w:tabs>
        <w:spacing w:line="240" w:lineRule="auto"/>
        <w:ind w:left="851" w:hanging="851"/>
        <w:jc w:val="both"/>
        <w:rPr>
          <w:rFonts w:cs="Arial"/>
          <w:szCs w:val="22"/>
        </w:rPr>
      </w:pPr>
      <w:r w:rsidRPr="005F15DA">
        <w:rPr>
          <w:rFonts w:cs="Arial"/>
          <w:szCs w:val="22"/>
        </w:rPr>
        <w:tab/>
      </w:r>
      <w:r w:rsidRPr="005F15DA">
        <w:rPr>
          <w:rFonts w:cs="Arial"/>
          <w:szCs w:val="22"/>
        </w:rPr>
        <w:tab/>
        <w:t>Die Dienstbarkeiten werden nach Art. 743 und 974a ZGB bereinigt (jede Dienstba</w:t>
      </w:r>
      <w:r w:rsidRPr="005F15DA">
        <w:rPr>
          <w:rFonts w:cs="Arial"/>
          <w:szCs w:val="22"/>
        </w:rPr>
        <w:t>r</w:t>
      </w:r>
      <w:r w:rsidRPr="005F15DA">
        <w:rPr>
          <w:rFonts w:cs="Arial"/>
          <w:szCs w:val="22"/>
        </w:rPr>
        <w:t>keit muss einzeln bereinigt werden)</w:t>
      </w:r>
      <w:r w:rsidR="0037487C" w:rsidRPr="005F15DA">
        <w:rPr>
          <w:rFonts w:cs="Arial"/>
          <w:szCs w:val="22"/>
        </w:rPr>
        <w:t xml:space="preserve"> (Art. 154 GBV).</w:t>
      </w:r>
    </w:p>
    <w:p w:rsidR="006037D9" w:rsidRPr="005F15DA" w:rsidRDefault="006037D9" w:rsidP="00861D85">
      <w:pPr>
        <w:tabs>
          <w:tab w:val="left" w:pos="426"/>
          <w:tab w:val="left" w:pos="851"/>
          <w:tab w:val="left" w:pos="1276"/>
        </w:tabs>
        <w:spacing w:line="240" w:lineRule="auto"/>
        <w:ind w:left="851" w:hanging="851"/>
        <w:jc w:val="both"/>
        <w:rPr>
          <w:rFonts w:cs="Arial"/>
          <w:szCs w:val="22"/>
        </w:rPr>
      </w:pPr>
      <w:r w:rsidRPr="005F15DA">
        <w:rPr>
          <w:rFonts w:cs="Arial"/>
          <w:szCs w:val="22"/>
        </w:rPr>
        <w:tab/>
      </w:r>
      <w:r w:rsidRPr="005F15DA">
        <w:rPr>
          <w:rFonts w:cs="Arial"/>
          <w:szCs w:val="22"/>
        </w:rPr>
        <w:tab/>
        <w:t>Die Grundpfandrechte werden gemäss Antrag des Grundeigentümers, allenfalls mit Zust</w:t>
      </w:r>
      <w:r w:rsidR="0037487C" w:rsidRPr="005F15DA">
        <w:rPr>
          <w:rFonts w:cs="Arial"/>
          <w:szCs w:val="22"/>
        </w:rPr>
        <w:t>immung des Gläubigers, verteilt (Art. 155 GBV).</w:t>
      </w:r>
    </w:p>
    <w:p w:rsidR="0037487C" w:rsidRPr="005F15DA" w:rsidRDefault="0037487C" w:rsidP="00861D85">
      <w:pPr>
        <w:tabs>
          <w:tab w:val="left" w:pos="426"/>
          <w:tab w:val="left" w:pos="851"/>
          <w:tab w:val="left" w:pos="1276"/>
        </w:tabs>
        <w:spacing w:line="240" w:lineRule="auto"/>
        <w:ind w:left="851" w:hanging="851"/>
        <w:jc w:val="both"/>
        <w:rPr>
          <w:rFonts w:cs="Arial"/>
          <w:szCs w:val="22"/>
        </w:rPr>
      </w:pPr>
      <w:r w:rsidRPr="005F15DA">
        <w:rPr>
          <w:rFonts w:cs="Arial"/>
          <w:szCs w:val="22"/>
        </w:rPr>
        <w:tab/>
      </w:r>
      <w:r w:rsidRPr="005F15DA">
        <w:rPr>
          <w:rFonts w:cs="Arial"/>
          <w:szCs w:val="22"/>
        </w:rPr>
        <w:tab/>
        <w:t>Der Gesamtwert der Grundlasten wird verhältnismässig auf die neuen (Teil-) Grun</w:t>
      </w:r>
      <w:r w:rsidRPr="005F15DA">
        <w:rPr>
          <w:rFonts w:cs="Arial"/>
          <w:szCs w:val="22"/>
        </w:rPr>
        <w:t>d</w:t>
      </w:r>
      <w:r w:rsidRPr="005F15DA">
        <w:rPr>
          <w:rFonts w:cs="Arial"/>
          <w:szCs w:val="22"/>
        </w:rPr>
        <w:t>stücke verteilt (Art. 156 GBV).</w:t>
      </w:r>
    </w:p>
    <w:p w:rsidR="0037487C" w:rsidRPr="005F15DA" w:rsidRDefault="0037487C" w:rsidP="00861D85">
      <w:pPr>
        <w:tabs>
          <w:tab w:val="left" w:pos="426"/>
          <w:tab w:val="left" w:pos="851"/>
          <w:tab w:val="left" w:pos="1276"/>
        </w:tabs>
        <w:spacing w:line="240" w:lineRule="auto"/>
        <w:ind w:left="851" w:hanging="851"/>
        <w:jc w:val="both"/>
        <w:rPr>
          <w:rFonts w:cs="Arial"/>
          <w:szCs w:val="22"/>
        </w:rPr>
      </w:pPr>
      <w:r w:rsidRPr="005F15DA">
        <w:rPr>
          <w:rFonts w:cs="Arial"/>
          <w:szCs w:val="22"/>
        </w:rPr>
        <w:tab/>
      </w:r>
      <w:r w:rsidRPr="005F15DA">
        <w:rPr>
          <w:rFonts w:cs="Arial"/>
          <w:szCs w:val="22"/>
        </w:rPr>
        <w:tab/>
        <w:t>Vormerkungen und Anmerkungen werden nach Art. 974a ZGB (analog der Diens</w:t>
      </w:r>
      <w:r w:rsidRPr="005F15DA">
        <w:rPr>
          <w:rFonts w:cs="Arial"/>
          <w:szCs w:val="22"/>
        </w:rPr>
        <w:t>t</w:t>
      </w:r>
      <w:r w:rsidRPr="005F15DA">
        <w:rPr>
          <w:rFonts w:cs="Arial"/>
          <w:szCs w:val="22"/>
        </w:rPr>
        <w:t>barkeiten) bereinigt (Art. 157 GBV).</w:t>
      </w:r>
    </w:p>
    <w:p w:rsidR="006037D9" w:rsidRPr="005F15DA" w:rsidRDefault="006037D9" w:rsidP="00861D85">
      <w:pPr>
        <w:tabs>
          <w:tab w:val="left" w:pos="426"/>
          <w:tab w:val="left" w:pos="851"/>
          <w:tab w:val="left" w:pos="1276"/>
        </w:tabs>
        <w:spacing w:line="240" w:lineRule="auto"/>
        <w:ind w:left="851" w:hanging="851"/>
        <w:jc w:val="both"/>
        <w:rPr>
          <w:rFonts w:cs="Arial"/>
          <w:szCs w:val="22"/>
        </w:rPr>
      </w:pPr>
    </w:p>
    <w:p w:rsidR="00EF02F3" w:rsidRPr="005F15DA" w:rsidRDefault="00EF02F3" w:rsidP="00A8276A">
      <w:pPr>
        <w:pStyle w:val="berschrift4"/>
        <w:tabs>
          <w:tab w:val="left" w:pos="851"/>
        </w:tabs>
      </w:pPr>
      <w:r w:rsidRPr="005F15DA">
        <w:tab/>
        <w:t>2.</w:t>
      </w:r>
      <w:r w:rsidRPr="005F15DA">
        <w:tab/>
        <w:t>Vereinigung von Grundstücken</w:t>
      </w:r>
      <w:r w:rsidR="00C64C8C" w:rsidRPr="005F15DA">
        <w:t xml:space="preserve"> (Art. 15</w:t>
      </w:r>
      <w:r w:rsidR="00FE3F8C" w:rsidRPr="005F15DA">
        <w:t>8</w:t>
      </w:r>
      <w:r w:rsidR="00C64C8C" w:rsidRPr="005F15DA">
        <w:t xml:space="preserve"> GBV)</w:t>
      </w:r>
    </w:p>
    <w:p w:rsidR="006037D9" w:rsidRPr="005F15DA" w:rsidRDefault="006037D9" w:rsidP="0037487C">
      <w:pPr>
        <w:tabs>
          <w:tab w:val="left" w:pos="426"/>
          <w:tab w:val="left" w:pos="851"/>
          <w:tab w:val="left" w:pos="1276"/>
        </w:tabs>
        <w:spacing w:line="240" w:lineRule="auto"/>
        <w:ind w:left="851" w:hanging="851"/>
        <w:jc w:val="both"/>
        <w:rPr>
          <w:rFonts w:cs="Arial"/>
          <w:szCs w:val="22"/>
        </w:rPr>
      </w:pPr>
      <w:r w:rsidRPr="005F15DA">
        <w:rPr>
          <w:rFonts w:cs="Arial"/>
          <w:szCs w:val="22"/>
        </w:rPr>
        <w:tab/>
      </w:r>
      <w:r w:rsidRPr="005F15DA">
        <w:rPr>
          <w:rFonts w:cs="Arial"/>
          <w:szCs w:val="22"/>
        </w:rPr>
        <w:tab/>
      </w:r>
      <w:r w:rsidR="0037487C" w:rsidRPr="005F15DA">
        <w:rPr>
          <w:rFonts w:cs="Arial"/>
          <w:szCs w:val="22"/>
        </w:rPr>
        <w:t>Bei der Vereinigung wird normalerweise eines der bisherigen Hauptbuchblätter we</w:t>
      </w:r>
      <w:r w:rsidR="0037487C" w:rsidRPr="005F15DA">
        <w:rPr>
          <w:rFonts w:cs="Arial"/>
          <w:szCs w:val="22"/>
        </w:rPr>
        <w:t>i</w:t>
      </w:r>
      <w:r w:rsidR="0037487C" w:rsidRPr="005F15DA">
        <w:rPr>
          <w:rFonts w:cs="Arial"/>
          <w:szCs w:val="22"/>
        </w:rPr>
        <w:t>tergeführt und die anderen werden geschlossen (Art. 158 GBV).</w:t>
      </w:r>
    </w:p>
    <w:p w:rsidR="0037487C" w:rsidRPr="005F15DA" w:rsidRDefault="0037487C" w:rsidP="00861D85">
      <w:pPr>
        <w:tabs>
          <w:tab w:val="left" w:pos="426"/>
          <w:tab w:val="left" w:pos="851"/>
          <w:tab w:val="left" w:pos="1276"/>
        </w:tabs>
        <w:spacing w:line="240" w:lineRule="auto"/>
        <w:jc w:val="both"/>
        <w:rPr>
          <w:rFonts w:cs="Arial"/>
          <w:szCs w:val="22"/>
        </w:rPr>
      </w:pPr>
      <w:r w:rsidRPr="005F15DA">
        <w:rPr>
          <w:rFonts w:cs="Arial"/>
          <w:szCs w:val="22"/>
        </w:rPr>
        <w:tab/>
      </w:r>
      <w:r w:rsidRPr="005F15DA">
        <w:rPr>
          <w:rFonts w:cs="Arial"/>
          <w:szCs w:val="22"/>
        </w:rPr>
        <w:tab/>
        <w:t>Die Bereinigung erfolgt nach Art. 974b ZGB.</w:t>
      </w:r>
    </w:p>
    <w:p w:rsidR="00EF02F3" w:rsidRPr="005F15DA" w:rsidRDefault="00EF02F3" w:rsidP="00861D85">
      <w:pPr>
        <w:tabs>
          <w:tab w:val="left" w:pos="426"/>
          <w:tab w:val="left" w:pos="851"/>
          <w:tab w:val="left" w:pos="1276"/>
        </w:tabs>
        <w:spacing w:line="240" w:lineRule="auto"/>
        <w:jc w:val="both"/>
        <w:rPr>
          <w:rFonts w:cs="Arial"/>
          <w:szCs w:val="22"/>
        </w:rPr>
      </w:pPr>
    </w:p>
    <w:p w:rsidR="00F92FB6" w:rsidRPr="005F15DA" w:rsidRDefault="00F92FB6" w:rsidP="00861D85">
      <w:pPr>
        <w:tabs>
          <w:tab w:val="left" w:pos="426"/>
          <w:tab w:val="left" w:pos="851"/>
          <w:tab w:val="left" w:pos="1276"/>
        </w:tabs>
        <w:spacing w:line="240" w:lineRule="auto"/>
        <w:jc w:val="both"/>
        <w:rPr>
          <w:rFonts w:cs="Arial"/>
          <w:szCs w:val="22"/>
        </w:rPr>
      </w:pPr>
    </w:p>
    <w:p w:rsidR="00EF02F3" w:rsidRPr="005F15DA" w:rsidRDefault="00EF02F3" w:rsidP="005759BE">
      <w:pPr>
        <w:pStyle w:val="berschrift3"/>
        <w:rPr>
          <w:lang w:val="de-CH"/>
        </w:rPr>
      </w:pPr>
      <w:bookmarkStart w:id="173" w:name="_Toc432175693"/>
      <w:r w:rsidRPr="005F15DA">
        <w:rPr>
          <w:lang w:val="de-CH"/>
        </w:rPr>
        <w:t>6.</w:t>
      </w:r>
      <w:r w:rsidRPr="005F15DA">
        <w:rPr>
          <w:lang w:val="de-CH"/>
        </w:rPr>
        <w:tab/>
        <w:t>Schlussbestimmungen</w:t>
      </w:r>
      <w:bookmarkEnd w:id="173"/>
    </w:p>
    <w:p w:rsidR="00F11B70" w:rsidRPr="005F15DA" w:rsidRDefault="0037487C" w:rsidP="009362D6">
      <w:pPr>
        <w:tabs>
          <w:tab w:val="left" w:pos="426"/>
        </w:tabs>
        <w:spacing w:line="240" w:lineRule="auto"/>
        <w:ind w:left="426" w:hanging="426"/>
        <w:jc w:val="both"/>
        <w:rPr>
          <w:rFonts w:cs="Arial"/>
          <w:szCs w:val="22"/>
        </w:rPr>
      </w:pPr>
      <w:r w:rsidRPr="005F15DA">
        <w:rPr>
          <w:rFonts w:cs="Arial"/>
          <w:szCs w:val="22"/>
        </w:rPr>
        <w:tab/>
        <w:t xml:space="preserve">In den Schlussbestimmungen (Art. 159 - 165) finden sich Bestimmungen zum EDV-Grundbuch, </w:t>
      </w:r>
      <w:r w:rsidR="00E541FE" w:rsidRPr="005F15DA">
        <w:rPr>
          <w:rFonts w:cs="Arial"/>
          <w:szCs w:val="22"/>
        </w:rPr>
        <w:t xml:space="preserve">die </w:t>
      </w:r>
      <w:r w:rsidRPr="005F15DA">
        <w:rPr>
          <w:rFonts w:cs="Arial"/>
          <w:szCs w:val="22"/>
        </w:rPr>
        <w:t xml:space="preserve">Aufhebung </w:t>
      </w:r>
      <w:r w:rsidR="00E541FE" w:rsidRPr="005F15DA">
        <w:rPr>
          <w:rFonts w:cs="Arial"/>
          <w:szCs w:val="22"/>
        </w:rPr>
        <w:t xml:space="preserve">der </w:t>
      </w:r>
      <w:r w:rsidRPr="005F15DA">
        <w:rPr>
          <w:rFonts w:cs="Arial"/>
          <w:szCs w:val="22"/>
        </w:rPr>
        <w:t>GBV</w:t>
      </w:r>
      <w:r w:rsidR="00E541FE" w:rsidRPr="005F15DA">
        <w:rPr>
          <w:rFonts w:cs="Arial"/>
          <w:szCs w:val="22"/>
        </w:rPr>
        <w:t xml:space="preserve"> vom 22.2.1910</w:t>
      </w:r>
      <w:r w:rsidRPr="005F15DA">
        <w:rPr>
          <w:rFonts w:cs="Arial"/>
          <w:szCs w:val="22"/>
        </w:rPr>
        <w:t>, das Übergangsrecht, usw.</w:t>
      </w:r>
    </w:p>
    <w:p w:rsidR="00046ACE" w:rsidRPr="005F15DA" w:rsidRDefault="00046ACE" w:rsidP="00046ACE">
      <w:pPr>
        <w:tabs>
          <w:tab w:val="left" w:pos="426"/>
        </w:tabs>
        <w:spacing w:line="240" w:lineRule="auto"/>
        <w:jc w:val="both"/>
        <w:rPr>
          <w:rFonts w:cs="Arial"/>
          <w:szCs w:val="22"/>
        </w:rPr>
      </w:pPr>
    </w:p>
    <w:p w:rsidR="00046ACE" w:rsidRPr="005F15DA" w:rsidRDefault="00046ACE" w:rsidP="00046ACE">
      <w:pPr>
        <w:spacing w:line="240" w:lineRule="auto"/>
        <w:jc w:val="both"/>
        <w:rPr>
          <w:rFonts w:cs="Arial"/>
          <w:szCs w:val="22"/>
        </w:rPr>
      </w:pPr>
    </w:p>
    <w:p w:rsidR="00046ACE" w:rsidRPr="005F15DA" w:rsidRDefault="00046ACE" w:rsidP="00046ACE">
      <w:pPr>
        <w:spacing w:line="240" w:lineRule="auto"/>
        <w:jc w:val="both"/>
        <w:rPr>
          <w:rFonts w:cs="Arial"/>
          <w:szCs w:val="22"/>
        </w:rPr>
      </w:pPr>
    </w:p>
    <w:p w:rsidR="00046ACE" w:rsidRPr="005F15DA" w:rsidRDefault="00046ACE" w:rsidP="00046ACE">
      <w:pPr>
        <w:spacing w:line="240" w:lineRule="auto"/>
        <w:jc w:val="both"/>
        <w:rPr>
          <w:rFonts w:cs="Arial"/>
          <w:szCs w:val="22"/>
        </w:rPr>
      </w:pPr>
    </w:p>
    <w:p w:rsidR="00046ACE" w:rsidRPr="005F15DA" w:rsidRDefault="00046ACE" w:rsidP="00E36E8F">
      <w:pPr>
        <w:pStyle w:val="berschrift2"/>
      </w:pPr>
      <w:bookmarkStart w:id="174" w:name="_Toc432175694"/>
      <w:r w:rsidRPr="005F15DA">
        <w:t xml:space="preserve">XI. Der Grundstückkaufvertrag (Art. 216 </w:t>
      </w:r>
      <w:r w:rsidR="00C2120C" w:rsidRPr="005F15DA">
        <w:t xml:space="preserve">ff. </w:t>
      </w:r>
      <w:r w:rsidRPr="005F15DA">
        <w:t>OR)</w:t>
      </w:r>
      <w:bookmarkEnd w:id="174"/>
    </w:p>
    <w:p w:rsidR="00E90D39" w:rsidRPr="005F15DA" w:rsidRDefault="00E90D39" w:rsidP="00E90D39">
      <w:r w:rsidRPr="005F15DA">
        <w:t>______________________________________________</w:t>
      </w:r>
      <w:r>
        <w:t>____________</w:t>
      </w:r>
    </w:p>
    <w:p w:rsidR="00046ACE" w:rsidRPr="005F15DA" w:rsidRDefault="00046ACE" w:rsidP="00046ACE">
      <w:pPr>
        <w:spacing w:line="240" w:lineRule="auto"/>
        <w:jc w:val="both"/>
        <w:rPr>
          <w:rFonts w:cs="Arial"/>
          <w:szCs w:val="22"/>
        </w:rPr>
      </w:pPr>
    </w:p>
    <w:p w:rsidR="00046ACE" w:rsidRPr="005F15DA" w:rsidRDefault="00046ACE" w:rsidP="00046ACE">
      <w:pPr>
        <w:tabs>
          <w:tab w:val="left" w:pos="284"/>
        </w:tabs>
        <w:spacing w:line="240" w:lineRule="auto"/>
        <w:jc w:val="both"/>
        <w:rPr>
          <w:rFonts w:cs="Arial"/>
          <w:spacing w:val="-2"/>
          <w:szCs w:val="22"/>
        </w:rPr>
      </w:pPr>
      <w:r w:rsidRPr="005F15DA">
        <w:rPr>
          <w:rFonts w:cs="Arial"/>
          <w:spacing w:val="-2"/>
          <w:szCs w:val="22"/>
        </w:rPr>
        <w:t xml:space="preserve">Grundstückkaufverträge bedürfen zu ihrer Gültigkeit der öffentlichen Beurkundung (Art. 216 OR). Notwendiger Vertragsinhalt ist dabei folgendes (wer verkauft wem was und zu welchem Preis?): </w:t>
      </w:r>
    </w:p>
    <w:p w:rsidR="00046ACE" w:rsidRPr="005F15DA" w:rsidRDefault="00046ACE" w:rsidP="00046ACE">
      <w:pPr>
        <w:tabs>
          <w:tab w:val="left" w:pos="284"/>
        </w:tabs>
        <w:spacing w:line="240" w:lineRule="auto"/>
        <w:ind w:left="284" w:hanging="284"/>
        <w:jc w:val="both"/>
        <w:rPr>
          <w:rFonts w:cs="Arial"/>
          <w:spacing w:val="-2"/>
          <w:szCs w:val="22"/>
        </w:rPr>
      </w:pPr>
      <w:r w:rsidRPr="005F15DA">
        <w:rPr>
          <w:rFonts w:cs="Arial"/>
          <w:spacing w:val="-2"/>
          <w:szCs w:val="22"/>
        </w:rPr>
        <w:t>-</w:t>
      </w:r>
      <w:r w:rsidRPr="005F15DA">
        <w:rPr>
          <w:rFonts w:cs="Arial"/>
          <w:spacing w:val="-2"/>
          <w:szCs w:val="22"/>
        </w:rPr>
        <w:tab/>
        <w:t xml:space="preserve">Die genaue Bezeichnung der </w:t>
      </w:r>
      <w:r w:rsidRPr="005F15DA">
        <w:rPr>
          <w:rFonts w:cs="Arial"/>
          <w:b/>
          <w:spacing w:val="-2"/>
          <w:szCs w:val="22"/>
        </w:rPr>
        <w:t>Vertragsparteien</w:t>
      </w:r>
      <w:r w:rsidRPr="005F15DA">
        <w:rPr>
          <w:rFonts w:cs="Arial"/>
          <w:spacing w:val="-2"/>
          <w:szCs w:val="22"/>
        </w:rPr>
        <w:t xml:space="preserve"> mit den Angaben gemäss Notariatsveror</w:t>
      </w:r>
      <w:r w:rsidRPr="005F15DA">
        <w:rPr>
          <w:rFonts w:cs="Arial"/>
          <w:spacing w:val="-2"/>
          <w:szCs w:val="22"/>
        </w:rPr>
        <w:t>d</w:t>
      </w:r>
      <w:r w:rsidRPr="005F15DA">
        <w:rPr>
          <w:rFonts w:cs="Arial"/>
          <w:spacing w:val="-2"/>
          <w:szCs w:val="22"/>
        </w:rPr>
        <w:t xml:space="preserve">nung </w:t>
      </w:r>
      <w:r w:rsidR="009416F5" w:rsidRPr="005F15DA">
        <w:rPr>
          <w:rFonts w:cs="Arial"/>
          <w:spacing w:val="-2"/>
          <w:szCs w:val="22"/>
        </w:rPr>
        <w:t xml:space="preserve">und Art. 51 GBV </w:t>
      </w:r>
      <w:r w:rsidR="007F2F8C" w:rsidRPr="005F15DA">
        <w:rPr>
          <w:rFonts w:cs="Arial"/>
          <w:spacing w:val="-2"/>
          <w:szCs w:val="22"/>
        </w:rPr>
        <w:t>(bei natürlichen Personen Name, Vornamen, Geburtsdatum, Heim</w:t>
      </w:r>
      <w:r w:rsidR="007F2F8C" w:rsidRPr="005F15DA">
        <w:rPr>
          <w:rFonts w:cs="Arial"/>
          <w:spacing w:val="-2"/>
          <w:szCs w:val="22"/>
        </w:rPr>
        <w:t>a</w:t>
      </w:r>
      <w:r w:rsidR="007F2F8C" w:rsidRPr="005F15DA">
        <w:rPr>
          <w:rFonts w:cs="Arial"/>
          <w:spacing w:val="-2"/>
          <w:szCs w:val="22"/>
        </w:rPr>
        <w:t xml:space="preserve">tort, Geschlecht, Wohnort, </w:t>
      </w:r>
      <w:r w:rsidRPr="005F15DA">
        <w:rPr>
          <w:rFonts w:cs="Arial"/>
          <w:spacing w:val="-2"/>
          <w:szCs w:val="22"/>
        </w:rPr>
        <w:t>und Angabe, ob verheiratet bzw. in eingetragener Partnerschaft o</w:t>
      </w:r>
      <w:r w:rsidR="007F2F8C" w:rsidRPr="005F15DA">
        <w:rPr>
          <w:rFonts w:cs="Arial"/>
          <w:spacing w:val="-2"/>
          <w:szCs w:val="22"/>
        </w:rPr>
        <w:t>der nicht / bei juristischen Personen usw. die Firma oder den Namen, Sitz, Rechtsform, U</w:t>
      </w:r>
      <w:r w:rsidR="007F2F8C" w:rsidRPr="005F15DA">
        <w:rPr>
          <w:rFonts w:cs="Arial"/>
          <w:spacing w:val="-2"/>
          <w:szCs w:val="22"/>
        </w:rPr>
        <w:t>n</w:t>
      </w:r>
      <w:r w:rsidR="007F2F8C" w:rsidRPr="005F15DA">
        <w:rPr>
          <w:rFonts w:cs="Arial"/>
          <w:spacing w:val="-2"/>
          <w:szCs w:val="22"/>
        </w:rPr>
        <w:t>ternehmens-Identifikations-Nummer, sowie die für die Gesellschaft handelnden Personen)</w:t>
      </w:r>
    </w:p>
    <w:p w:rsidR="00046ACE" w:rsidRPr="005F15DA" w:rsidRDefault="00046ACE" w:rsidP="00046ACE">
      <w:pPr>
        <w:tabs>
          <w:tab w:val="left" w:pos="284"/>
        </w:tabs>
        <w:spacing w:line="240" w:lineRule="auto"/>
        <w:ind w:left="284" w:hanging="284"/>
        <w:jc w:val="both"/>
        <w:rPr>
          <w:rFonts w:cs="Arial"/>
          <w:spacing w:val="-2"/>
          <w:szCs w:val="22"/>
        </w:rPr>
      </w:pPr>
      <w:r w:rsidRPr="005F15DA">
        <w:rPr>
          <w:rFonts w:cs="Arial"/>
          <w:spacing w:val="-2"/>
          <w:szCs w:val="22"/>
        </w:rPr>
        <w:t>-</w:t>
      </w:r>
      <w:r w:rsidRPr="005F15DA">
        <w:rPr>
          <w:rFonts w:cs="Arial"/>
          <w:spacing w:val="-2"/>
          <w:szCs w:val="22"/>
        </w:rPr>
        <w:tab/>
        <w:t xml:space="preserve">Die genaue Bezeichnung des </w:t>
      </w:r>
      <w:r w:rsidRPr="005F15DA">
        <w:rPr>
          <w:rFonts w:cs="Arial"/>
          <w:b/>
          <w:spacing w:val="-2"/>
          <w:szCs w:val="22"/>
        </w:rPr>
        <w:t>Vertragsgegenstandes</w:t>
      </w:r>
      <w:r w:rsidRPr="005F15DA">
        <w:rPr>
          <w:rFonts w:cs="Arial"/>
          <w:spacing w:val="-2"/>
          <w:szCs w:val="22"/>
        </w:rPr>
        <w:t>, d.h. des handändernden Grundst</w:t>
      </w:r>
      <w:r w:rsidRPr="005F15DA">
        <w:rPr>
          <w:rFonts w:cs="Arial"/>
          <w:spacing w:val="-2"/>
          <w:szCs w:val="22"/>
        </w:rPr>
        <w:t>ü</w:t>
      </w:r>
      <w:r w:rsidRPr="005F15DA">
        <w:rPr>
          <w:rFonts w:cs="Arial"/>
          <w:spacing w:val="-2"/>
          <w:szCs w:val="22"/>
        </w:rPr>
        <w:t>ckes, wobei gemäss Art. 34 Abs. 4 NV die ganze grundbuchliche Beschreibung enthalten sein muss, bei selbständigen und dauernden Rechten und Miteigentumsanteilen gehört dazu auch die Beschreibung der jeweiligen Stamm- und/oder Bodenparzellen.</w:t>
      </w:r>
    </w:p>
    <w:p w:rsidR="00046ACE" w:rsidRPr="005F15DA" w:rsidRDefault="00046ACE" w:rsidP="00046ACE">
      <w:pPr>
        <w:tabs>
          <w:tab w:val="left" w:pos="284"/>
        </w:tabs>
        <w:spacing w:line="240" w:lineRule="auto"/>
        <w:ind w:left="284" w:hanging="284"/>
        <w:jc w:val="both"/>
        <w:rPr>
          <w:rFonts w:cs="Arial"/>
          <w:spacing w:val="-2"/>
          <w:szCs w:val="22"/>
        </w:rPr>
      </w:pPr>
      <w:r w:rsidRPr="005F15DA">
        <w:rPr>
          <w:rFonts w:cs="Arial"/>
          <w:spacing w:val="-2"/>
          <w:szCs w:val="22"/>
        </w:rPr>
        <w:t>-</w:t>
      </w:r>
      <w:r w:rsidRPr="005F15DA">
        <w:rPr>
          <w:rFonts w:cs="Arial"/>
          <w:spacing w:val="-2"/>
          <w:szCs w:val="22"/>
        </w:rPr>
        <w:tab/>
        <w:t xml:space="preserve">Die Angabe des </w:t>
      </w:r>
      <w:r w:rsidRPr="005F15DA">
        <w:rPr>
          <w:rFonts w:cs="Arial"/>
          <w:b/>
          <w:spacing w:val="-2"/>
          <w:szCs w:val="22"/>
        </w:rPr>
        <w:t>Kaufpreises</w:t>
      </w:r>
      <w:r w:rsidRPr="005F15DA">
        <w:rPr>
          <w:rFonts w:cs="Arial"/>
          <w:spacing w:val="-2"/>
          <w:szCs w:val="22"/>
        </w:rPr>
        <w:t>, welcher genau bestimmt oder zumindest genau bestimmbar sein muss.</w:t>
      </w:r>
    </w:p>
    <w:p w:rsidR="00046ACE" w:rsidRPr="005F15DA" w:rsidRDefault="00046ACE" w:rsidP="00046ACE">
      <w:pPr>
        <w:tabs>
          <w:tab w:val="left" w:pos="284"/>
        </w:tabs>
        <w:spacing w:line="240" w:lineRule="auto"/>
        <w:jc w:val="both"/>
        <w:rPr>
          <w:rFonts w:cs="Arial"/>
          <w:spacing w:val="-2"/>
          <w:szCs w:val="22"/>
        </w:rPr>
      </w:pPr>
    </w:p>
    <w:p w:rsidR="00046ACE" w:rsidRPr="005F15DA" w:rsidRDefault="00046ACE" w:rsidP="00046ACE">
      <w:pPr>
        <w:tabs>
          <w:tab w:val="left" w:pos="284"/>
        </w:tabs>
        <w:spacing w:line="240" w:lineRule="auto"/>
        <w:jc w:val="both"/>
        <w:rPr>
          <w:rFonts w:cs="Arial"/>
          <w:spacing w:val="-2"/>
          <w:szCs w:val="22"/>
        </w:rPr>
      </w:pPr>
      <w:r w:rsidRPr="005F15DA">
        <w:rPr>
          <w:rFonts w:cs="Arial"/>
          <w:spacing w:val="-2"/>
          <w:szCs w:val="22"/>
        </w:rPr>
        <w:t xml:space="preserve">Weiter werden üblicherweise folgende Punkte geregelt: </w:t>
      </w:r>
    </w:p>
    <w:p w:rsidR="00046ACE" w:rsidRPr="005F15DA" w:rsidRDefault="00046ACE" w:rsidP="00046ACE">
      <w:pPr>
        <w:tabs>
          <w:tab w:val="left" w:pos="284"/>
        </w:tabs>
        <w:spacing w:line="240" w:lineRule="auto"/>
        <w:ind w:left="284" w:hanging="284"/>
        <w:jc w:val="both"/>
        <w:rPr>
          <w:rFonts w:cs="Arial"/>
          <w:spacing w:val="-2"/>
          <w:szCs w:val="22"/>
        </w:rPr>
      </w:pPr>
      <w:r w:rsidRPr="005F15DA">
        <w:rPr>
          <w:rFonts w:cs="Arial"/>
          <w:spacing w:val="-2"/>
          <w:szCs w:val="22"/>
        </w:rPr>
        <w:t>-</w:t>
      </w:r>
      <w:r w:rsidRPr="005F15DA">
        <w:rPr>
          <w:rFonts w:cs="Arial"/>
          <w:spacing w:val="-2"/>
          <w:szCs w:val="22"/>
        </w:rPr>
        <w:tab/>
        <w:t xml:space="preserve">Bestimmungen über die Kaufpreistilgung (Zahlungstermine, Zahlstelle, allenfalls Übernahme von Grundpfandschulden, Verzugsfolgen); </w:t>
      </w:r>
    </w:p>
    <w:p w:rsidR="00046ACE" w:rsidRPr="005F15DA" w:rsidRDefault="00046ACE" w:rsidP="00046ACE">
      <w:pPr>
        <w:tabs>
          <w:tab w:val="left" w:pos="284"/>
        </w:tabs>
        <w:spacing w:line="240" w:lineRule="auto"/>
        <w:jc w:val="both"/>
        <w:rPr>
          <w:rFonts w:cs="Arial"/>
          <w:spacing w:val="-2"/>
          <w:szCs w:val="22"/>
        </w:rPr>
      </w:pPr>
      <w:r w:rsidRPr="005F15DA">
        <w:rPr>
          <w:rFonts w:cs="Arial"/>
          <w:spacing w:val="-2"/>
          <w:szCs w:val="22"/>
        </w:rPr>
        <w:t>-</w:t>
      </w:r>
      <w:r w:rsidRPr="005F15DA">
        <w:rPr>
          <w:rFonts w:cs="Arial"/>
          <w:spacing w:val="-2"/>
          <w:szCs w:val="22"/>
        </w:rPr>
        <w:tab/>
        <w:t xml:space="preserve">Bei Stockwerkeinheiten evtl. Bestimmungen bezüglich des Erneuerungsfonds; </w:t>
      </w:r>
    </w:p>
    <w:p w:rsidR="00046ACE" w:rsidRPr="005F15DA" w:rsidRDefault="00046ACE" w:rsidP="00046ACE">
      <w:pPr>
        <w:tabs>
          <w:tab w:val="left" w:pos="284"/>
        </w:tabs>
        <w:spacing w:line="240" w:lineRule="auto"/>
        <w:jc w:val="both"/>
        <w:rPr>
          <w:rFonts w:cs="Arial"/>
          <w:spacing w:val="-2"/>
          <w:szCs w:val="22"/>
        </w:rPr>
      </w:pPr>
      <w:r w:rsidRPr="005F15DA">
        <w:rPr>
          <w:rFonts w:cs="Arial"/>
          <w:spacing w:val="-2"/>
          <w:szCs w:val="22"/>
        </w:rPr>
        <w:t>-</w:t>
      </w:r>
      <w:r w:rsidRPr="005F15DA">
        <w:rPr>
          <w:rFonts w:cs="Arial"/>
          <w:spacing w:val="-2"/>
          <w:szCs w:val="22"/>
        </w:rPr>
        <w:tab/>
        <w:t xml:space="preserve">Sicherstellung des Kaufpreises (Verkäuferpfandrecht); </w:t>
      </w:r>
    </w:p>
    <w:p w:rsidR="00046ACE" w:rsidRPr="005F15DA" w:rsidRDefault="00046ACE" w:rsidP="00046ACE">
      <w:pPr>
        <w:tabs>
          <w:tab w:val="left" w:pos="284"/>
        </w:tabs>
        <w:spacing w:line="240" w:lineRule="auto"/>
        <w:ind w:left="284" w:hanging="284"/>
        <w:jc w:val="both"/>
        <w:rPr>
          <w:rFonts w:cs="Arial"/>
          <w:spacing w:val="-2"/>
          <w:szCs w:val="22"/>
        </w:rPr>
      </w:pPr>
      <w:r w:rsidRPr="005F15DA">
        <w:rPr>
          <w:rFonts w:cs="Arial"/>
          <w:spacing w:val="-2"/>
          <w:szCs w:val="22"/>
        </w:rPr>
        <w:lastRenderedPageBreak/>
        <w:t>-</w:t>
      </w:r>
      <w:r w:rsidRPr="005F15DA">
        <w:rPr>
          <w:rFonts w:cs="Arial"/>
          <w:spacing w:val="-2"/>
          <w:szCs w:val="22"/>
        </w:rPr>
        <w:tab/>
        <w:t xml:space="preserve">Übergang von Nutzen und Gefahr (dies ist Unabhängig von der Kaufpreistilgung oder der Eigentumsübertragung); </w:t>
      </w:r>
    </w:p>
    <w:p w:rsidR="00046ACE" w:rsidRPr="005F15DA" w:rsidRDefault="00046ACE" w:rsidP="00046ACE">
      <w:pPr>
        <w:tabs>
          <w:tab w:val="left" w:pos="284"/>
        </w:tabs>
        <w:spacing w:line="240" w:lineRule="auto"/>
        <w:ind w:left="284" w:hanging="284"/>
        <w:jc w:val="both"/>
        <w:rPr>
          <w:rFonts w:cs="Arial"/>
          <w:spacing w:val="-2"/>
          <w:szCs w:val="22"/>
        </w:rPr>
      </w:pPr>
      <w:r w:rsidRPr="005F15DA">
        <w:rPr>
          <w:rFonts w:cs="Arial"/>
          <w:spacing w:val="-2"/>
          <w:szCs w:val="22"/>
        </w:rPr>
        <w:t>-</w:t>
      </w:r>
      <w:r w:rsidRPr="005F15DA">
        <w:rPr>
          <w:rFonts w:cs="Arial"/>
          <w:spacing w:val="-2"/>
          <w:szCs w:val="22"/>
        </w:rPr>
        <w:tab/>
        <w:t xml:space="preserve">Gewährleistung für Sach- und Rechtsmängel (diese wird im Kanton Bern üblicherweise wegbedungen); </w:t>
      </w:r>
    </w:p>
    <w:p w:rsidR="00046ACE" w:rsidRPr="005F15DA" w:rsidRDefault="00046ACE" w:rsidP="00046ACE">
      <w:pPr>
        <w:tabs>
          <w:tab w:val="left" w:pos="284"/>
        </w:tabs>
        <w:spacing w:line="240" w:lineRule="auto"/>
        <w:jc w:val="both"/>
        <w:rPr>
          <w:rFonts w:cs="Arial"/>
          <w:spacing w:val="-2"/>
          <w:szCs w:val="22"/>
        </w:rPr>
      </w:pPr>
      <w:r w:rsidRPr="005F15DA">
        <w:rPr>
          <w:rFonts w:cs="Arial"/>
          <w:spacing w:val="-2"/>
          <w:szCs w:val="22"/>
        </w:rPr>
        <w:t>-</w:t>
      </w:r>
      <w:r w:rsidRPr="005F15DA">
        <w:rPr>
          <w:rFonts w:cs="Arial"/>
          <w:spacing w:val="-2"/>
          <w:szCs w:val="22"/>
        </w:rPr>
        <w:tab/>
        <w:t xml:space="preserve">Marchzählige Abrechnung; </w:t>
      </w:r>
    </w:p>
    <w:p w:rsidR="00046ACE" w:rsidRPr="005F15DA" w:rsidRDefault="00046ACE" w:rsidP="00046ACE">
      <w:pPr>
        <w:tabs>
          <w:tab w:val="left" w:pos="284"/>
        </w:tabs>
        <w:spacing w:line="240" w:lineRule="auto"/>
        <w:jc w:val="both"/>
        <w:rPr>
          <w:rFonts w:cs="Arial"/>
          <w:spacing w:val="-2"/>
          <w:szCs w:val="22"/>
        </w:rPr>
      </w:pPr>
      <w:r w:rsidRPr="005F15DA">
        <w:rPr>
          <w:rFonts w:cs="Arial"/>
          <w:spacing w:val="-2"/>
          <w:szCs w:val="22"/>
        </w:rPr>
        <w:t>-</w:t>
      </w:r>
      <w:r w:rsidRPr="005F15DA">
        <w:rPr>
          <w:rFonts w:cs="Arial"/>
          <w:spacing w:val="-2"/>
          <w:szCs w:val="22"/>
        </w:rPr>
        <w:tab/>
        <w:t xml:space="preserve">Inhalt der Dienstbarkeiten; </w:t>
      </w:r>
    </w:p>
    <w:p w:rsidR="00046ACE" w:rsidRPr="005F15DA" w:rsidRDefault="00046ACE" w:rsidP="00046ACE">
      <w:pPr>
        <w:tabs>
          <w:tab w:val="left" w:pos="284"/>
        </w:tabs>
        <w:spacing w:line="240" w:lineRule="auto"/>
        <w:jc w:val="both"/>
        <w:rPr>
          <w:rFonts w:cs="Arial"/>
          <w:spacing w:val="-2"/>
          <w:szCs w:val="22"/>
        </w:rPr>
      </w:pPr>
      <w:r w:rsidRPr="005F15DA">
        <w:rPr>
          <w:rFonts w:cs="Arial"/>
          <w:spacing w:val="-2"/>
          <w:szCs w:val="22"/>
        </w:rPr>
        <w:t>-</w:t>
      </w:r>
      <w:r w:rsidRPr="005F15DA">
        <w:rPr>
          <w:rFonts w:cs="Arial"/>
          <w:spacing w:val="-2"/>
          <w:szCs w:val="22"/>
        </w:rPr>
        <w:tab/>
        <w:t xml:space="preserve">Miet- oder Pachtverträge (diese gehen von Gesetzes wegen auf den Erwerber über); </w:t>
      </w:r>
    </w:p>
    <w:p w:rsidR="00046ACE" w:rsidRPr="005F15DA" w:rsidRDefault="00046ACE" w:rsidP="00046ACE">
      <w:pPr>
        <w:tabs>
          <w:tab w:val="left" w:pos="284"/>
        </w:tabs>
        <w:spacing w:line="240" w:lineRule="auto"/>
        <w:ind w:left="284" w:hanging="284"/>
        <w:jc w:val="both"/>
        <w:rPr>
          <w:rFonts w:cs="Arial"/>
          <w:spacing w:val="-2"/>
          <w:szCs w:val="22"/>
        </w:rPr>
      </w:pPr>
      <w:r w:rsidRPr="005F15DA">
        <w:rPr>
          <w:rFonts w:cs="Arial"/>
          <w:spacing w:val="-2"/>
          <w:szCs w:val="22"/>
        </w:rPr>
        <w:t>-</w:t>
      </w:r>
      <w:r w:rsidRPr="005F15DA">
        <w:rPr>
          <w:rFonts w:cs="Arial"/>
          <w:spacing w:val="-2"/>
          <w:szCs w:val="22"/>
        </w:rPr>
        <w:tab/>
        <w:t xml:space="preserve">Gesetzliche Grundpfandrechte (Steuerforderungen und Bauhandwerkerpfandrechte); </w:t>
      </w:r>
    </w:p>
    <w:p w:rsidR="00046ACE" w:rsidRPr="005F15DA" w:rsidRDefault="00046ACE" w:rsidP="00046ACE">
      <w:pPr>
        <w:tabs>
          <w:tab w:val="left" w:pos="284"/>
        </w:tabs>
        <w:spacing w:line="240" w:lineRule="auto"/>
        <w:ind w:left="284" w:hanging="284"/>
        <w:jc w:val="both"/>
        <w:rPr>
          <w:rFonts w:cs="Arial"/>
          <w:spacing w:val="-2"/>
          <w:szCs w:val="22"/>
        </w:rPr>
      </w:pPr>
      <w:r w:rsidRPr="005F15DA">
        <w:rPr>
          <w:rFonts w:cs="Arial"/>
          <w:spacing w:val="-2"/>
          <w:szCs w:val="22"/>
        </w:rPr>
        <w:t>-</w:t>
      </w:r>
      <w:r w:rsidRPr="005F15DA">
        <w:rPr>
          <w:rFonts w:cs="Arial"/>
          <w:spacing w:val="-2"/>
          <w:szCs w:val="22"/>
        </w:rPr>
        <w:tab/>
        <w:t xml:space="preserve">Versicherungen (Versicherungen gemäss VVG gehen auf den Erwerber über, können aber gekündigt werden); </w:t>
      </w:r>
    </w:p>
    <w:p w:rsidR="00046ACE" w:rsidRPr="005F15DA" w:rsidRDefault="00046ACE" w:rsidP="00046ACE">
      <w:pPr>
        <w:tabs>
          <w:tab w:val="left" w:pos="284"/>
        </w:tabs>
        <w:spacing w:line="240" w:lineRule="auto"/>
        <w:jc w:val="both"/>
        <w:rPr>
          <w:rFonts w:cs="Arial"/>
          <w:spacing w:val="-2"/>
          <w:szCs w:val="22"/>
        </w:rPr>
      </w:pPr>
      <w:r w:rsidRPr="005F15DA">
        <w:rPr>
          <w:rFonts w:cs="Arial"/>
          <w:spacing w:val="-2"/>
          <w:szCs w:val="22"/>
        </w:rPr>
        <w:t>-</w:t>
      </w:r>
      <w:r w:rsidRPr="005F15DA">
        <w:rPr>
          <w:rFonts w:cs="Arial"/>
          <w:spacing w:val="-2"/>
          <w:szCs w:val="22"/>
        </w:rPr>
        <w:tab/>
        <w:t xml:space="preserve">Sicherstellung der Grundstückgewinnsteuern; </w:t>
      </w:r>
    </w:p>
    <w:p w:rsidR="00046ACE" w:rsidRPr="005F15DA" w:rsidRDefault="00046ACE" w:rsidP="00046ACE">
      <w:pPr>
        <w:tabs>
          <w:tab w:val="left" w:pos="284"/>
        </w:tabs>
        <w:spacing w:line="240" w:lineRule="auto"/>
        <w:jc w:val="both"/>
        <w:rPr>
          <w:rFonts w:cs="Arial"/>
          <w:spacing w:val="-2"/>
          <w:szCs w:val="22"/>
        </w:rPr>
      </w:pPr>
      <w:r w:rsidRPr="005F15DA">
        <w:rPr>
          <w:rFonts w:cs="Arial"/>
          <w:spacing w:val="-2"/>
          <w:szCs w:val="22"/>
        </w:rPr>
        <w:t>-</w:t>
      </w:r>
      <w:r w:rsidRPr="005F15DA">
        <w:rPr>
          <w:rFonts w:cs="Arial"/>
          <w:spacing w:val="-2"/>
          <w:szCs w:val="22"/>
        </w:rPr>
        <w:tab/>
        <w:t xml:space="preserve">Gesetzliche Grundlage betreffend Elektroinstallationen; </w:t>
      </w:r>
    </w:p>
    <w:p w:rsidR="00046ACE" w:rsidRPr="005F15DA" w:rsidRDefault="00046ACE" w:rsidP="00046ACE">
      <w:pPr>
        <w:tabs>
          <w:tab w:val="left" w:pos="284"/>
        </w:tabs>
        <w:spacing w:line="240" w:lineRule="auto"/>
        <w:ind w:left="284" w:hanging="284"/>
        <w:jc w:val="both"/>
        <w:rPr>
          <w:rFonts w:cs="Arial"/>
          <w:spacing w:val="-2"/>
          <w:szCs w:val="22"/>
        </w:rPr>
      </w:pPr>
      <w:r w:rsidRPr="005F15DA">
        <w:rPr>
          <w:rFonts w:cs="Arial"/>
          <w:spacing w:val="-2"/>
          <w:szCs w:val="22"/>
        </w:rPr>
        <w:t>-</w:t>
      </w:r>
      <w:r w:rsidRPr="005F15DA">
        <w:rPr>
          <w:rFonts w:cs="Arial"/>
          <w:spacing w:val="-2"/>
          <w:szCs w:val="22"/>
        </w:rPr>
        <w:tab/>
        <w:t xml:space="preserve">evtl. Feststellung des Notars betreffend der Wohnung der Familie, dem Bundesgesetz über den Erwerb von Grundstücken durch Personen im Ausland, dem BGBB, usw.; </w:t>
      </w:r>
    </w:p>
    <w:p w:rsidR="00046ACE" w:rsidRPr="005F15DA" w:rsidRDefault="00046ACE" w:rsidP="00046ACE">
      <w:pPr>
        <w:tabs>
          <w:tab w:val="left" w:pos="284"/>
        </w:tabs>
        <w:spacing w:line="240" w:lineRule="auto"/>
        <w:jc w:val="both"/>
        <w:rPr>
          <w:rFonts w:cs="Arial"/>
          <w:spacing w:val="-2"/>
          <w:szCs w:val="22"/>
        </w:rPr>
      </w:pPr>
      <w:r w:rsidRPr="005F15DA">
        <w:rPr>
          <w:rFonts w:cs="Arial"/>
          <w:spacing w:val="-2"/>
          <w:szCs w:val="22"/>
        </w:rPr>
        <w:t>-</w:t>
      </w:r>
      <w:r w:rsidRPr="005F15DA">
        <w:rPr>
          <w:rFonts w:cs="Arial"/>
          <w:spacing w:val="-2"/>
          <w:szCs w:val="22"/>
        </w:rPr>
        <w:tab/>
        <w:t xml:space="preserve">Eintragungsbewilligung; </w:t>
      </w:r>
    </w:p>
    <w:p w:rsidR="00046ACE" w:rsidRPr="005F15DA" w:rsidRDefault="00046ACE" w:rsidP="00046ACE">
      <w:pPr>
        <w:tabs>
          <w:tab w:val="left" w:pos="284"/>
        </w:tabs>
        <w:spacing w:line="240" w:lineRule="auto"/>
        <w:jc w:val="both"/>
        <w:rPr>
          <w:rFonts w:cs="Arial"/>
          <w:spacing w:val="-2"/>
          <w:szCs w:val="22"/>
        </w:rPr>
      </w:pPr>
      <w:r w:rsidRPr="005F15DA">
        <w:rPr>
          <w:rFonts w:cs="Arial"/>
          <w:spacing w:val="-2"/>
          <w:szCs w:val="22"/>
        </w:rPr>
        <w:t>-</w:t>
      </w:r>
      <w:r w:rsidRPr="005F15DA">
        <w:rPr>
          <w:rFonts w:cs="Arial"/>
          <w:spacing w:val="-2"/>
          <w:szCs w:val="22"/>
        </w:rPr>
        <w:tab/>
        <w:t xml:space="preserve">Kostentragung; </w:t>
      </w:r>
    </w:p>
    <w:p w:rsidR="00046ACE" w:rsidRPr="005F15DA" w:rsidRDefault="00046ACE" w:rsidP="00046ACE">
      <w:pPr>
        <w:tabs>
          <w:tab w:val="left" w:pos="284"/>
        </w:tabs>
        <w:spacing w:line="240" w:lineRule="auto"/>
        <w:jc w:val="both"/>
        <w:rPr>
          <w:rFonts w:cs="Arial"/>
          <w:spacing w:val="-2"/>
          <w:szCs w:val="22"/>
        </w:rPr>
      </w:pPr>
      <w:r w:rsidRPr="005F15DA">
        <w:rPr>
          <w:rFonts w:cs="Arial"/>
          <w:spacing w:val="-2"/>
          <w:szCs w:val="22"/>
        </w:rPr>
        <w:t>-</w:t>
      </w:r>
      <w:r w:rsidRPr="005F15DA">
        <w:rPr>
          <w:rFonts w:cs="Arial"/>
          <w:spacing w:val="-2"/>
          <w:szCs w:val="22"/>
        </w:rPr>
        <w:tab/>
        <w:t xml:space="preserve">Ausfertigungen. </w:t>
      </w:r>
    </w:p>
    <w:p w:rsidR="00046ACE" w:rsidRPr="005F15DA" w:rsidRDefault="00046ACE" w:rsidP="00046ACE">
      <w:pPr>
        <w:tabs>
          <w:tab w:val="left" w:pos="426"/>
        </w:tabs>
        <w:spacing w:line="240" w:lineRule="auto"/>
        <w:jc w:val="both"/>
        <w:rPr>
          <w:rFonts w:cs="Arial"/>
          <w:szCs w:val="22"/>
        </w:rPr>
      </w:pPr>
    </w:p>
    <w:p w:rsidR="00046ACE" w:rsidRPr="005F15DA" w:rsidRDefault="00046ACE" w:rsidP="00046ACE">
      <w:pPr>
        <w:spacing w:line="240" w:lineRule="auto"/>
        <w:jc w:val="both"/>
        <w:rPr>
          <w:rFonts w:cs="Arial"/>
          <w:szCs w:val="22"/>
        </w:rPr>
      </w:pPr>
    </w:p>
    <w:p w:rsidR="00046ACE" w:rsidRPr="005F15DA" w:rsidRDefault="00046ACE" w:rsidP="00046ACE">
      <w:pPr>
        <w:spacing w:line="240" w:lineRule="auto"/>
        <w:jc w:val="both"/>
        <w:rPr>
          <w:rFonts w:cs="Arial"/>
          <w:szCs w:val="22"/>
        </w:rPr>
      </w:pPr>
    </w:p>
    <w:p w:rsidR="00046ACE" w:rsidRPr="005F15DA" w:rsidRDefault="00046ACE" w:rsidP="00046ACE">
      <w:pPr>
        <w:spacing w:line="240" w:lineRule="auto"/>
        <w:jc w:val="both"/>
        <w:rPr>
          <w:rFonts w:cs="Arial"/>
          <w:szCs w:val="22"/>
        </w:rPr>
      </w:pPr>
    </w:p>
    <w:p w:rsidR="00046ACE" w:rsidRPr="005F15DA" w:rsidRDefault="00046ACE" w:rsidP="00E36E8F">
      <w:pPr>
        <w:pStyle w:val="berschrift2"/>
      </w:pPr>
      <w:bookmarkStart w:id="175" w:name="_Toc432175695"/>
      <w:r w:rsidRPr="005F15DA">
        <w:t>XI</w:t>
      </w:r>
      <w:r w:rsidR="00C2120C" w:rsidRPr="005F15DA">
        <w:t>I</w:t>
      </w:r>
      <w:r w:rsidRPr="005F15DA">
        <w:t xml:space="preserve">. Der </w:t>
      </w:r>
      <w:r w:rsidR="00FC5B59" w:rsidRPr="005F15DA">
        <w:t xml:space="preserve">Kaufsrechtsvertrag </w:t>
      </w:r>
      <w:r w:rsidRPr="005F15DA">
        <w:t xml:space="preserve">(Art. 216 </w:t>
      </w:r>
      <w:r w:rsidR="00FC5B59" w:rsidRPr="005F15DA">
        <w:t xml:space="preserve">ff. </w:t>
      </w:r>
      <w:r w:rsidRPr="005F15DA">
        <w:t>OR)</w:t>
      </w:r>
      <w:bookmarkEnd w:id="175"/>
    </w:p>
    <w:p w:rsidR="00E90D39" w:rsidRPr="005F15DA" w:rsidRDefault="00E90D39" w:rsidP="00E90D39">
      <w:r w:rsidRPr="005F15DA">
        <w:t>______________________________________________</w:t>
      </w:r>
      <w:r w:rsidR="00ED5466">
        <w:t>________</w:t>
      </w:r>
    </w:p>
    <w:p w:rsidR="00046ACE" w:rsidRPr="005F15DA" w:rsidRDefault="00046ACE" w:rsidP="00046ACE">
      <w:pPr>
        <w:spacing w:line="240" w:lineRule="auto"/>
        <w:jc w:val="both"/>
        <w:rPr>
          <w:rFonts w:cs="Arial"/>
          <w:szCs w:val="22"/>
        </w:rPr>
      </w:pPr>
    </w:p>
    <w:p w:rsidR="00A11CE1" w:rsidRPr="005F15DA" w:rsidRDefault="004B3E7C" w:rsidP="00046ACE">
      <w:pPr>
        <w:tabs>
          <w:tab w:val="left" w:pos="284"/>
        </w:tabs>
        <w:spacing w:line="240" w:lineRule="auto"/>
        <w:jc w:val="both"/>
        <w:rPr>
          <w:rFonts w:cs="Arial"/>
          <w:spacing w:val="-2"/>
          <w:szCs w:val="22"/>
        </w:rPr>
      </w:pPr>
      <w:r w:rsidRPr="005F15DA">
        <w:rPr>
          <w:rFonts w:cs="Arial"/>
          <w:spacing w:val="-2"/>
          <w:szCs w:val="22"/>
        </w:rPr>
        <w:t>Mit dem Kaufsrecht wird einer Person das Recht eingeräumt, innerhalb einer bestimmten Frist ein Grundstück zu kaufen (einseitige Willenserklärung des Berechtigten). Zur dinglichen Sich</w:t>
      </w:r>
      <w:r w:rsidRPr="005F15DA">
        <w:rPr>
          <w:rFonts w:cs="Arial"/>
          <w:spacing w:val="-2"/>
          <w:szCs w:val="22"/>
        </w:rPr>
        <w:t>e</w:t>
      </w:r>
      <w:r w:rsidRPr="005F15DA">
        <w:rPr>
          <w:rFonts w:cs="Arial"/>
          <w:spacing w:val="-2"/>
          <w:szCs w:val="22"/>
        </w:rPr>
        <w:t xml:space="preserve">rung kann das Kaufsrecht im Grundbuch vorgemerkt werden. Sobald der Berechtigte das Grundstück kaufen will, teilt er dies dem Grundeigentümer mit. </w:t>
      </w:r>
    </w:p>
    <w:p w:rsidR="00A11CE1" w:rsidRPr="005F15DA" w:rsidRDefault="00A11CE1" w:rsidP="00046ACE">
      <w:pPr>
        <w:tabs>
          <w:tab w:val="left" w:pos="284"/>
        </w:tabs>
        <w:spacing w:line="240" w:lineRule="auto"/>
        <w:jc w:val="both"/>
        <w:rPr>
          <w:rFonts w:cs="Arial"/>
          <w:spacing w:val="-2"/>
          <w:szCs w:val="22"/>
        </w:rPr>
      </w:pPr>
    </w:p>
    <w:p w:rsidR="004B3E7C" w:rsidRPr="005F15DA" w:rsidRDefault="00A11CE1" w:rsidP="00046ACE">
      <w:pPr>
        <w:tabs>
          <w:tab w:val="left" w:pos="284"/>
        </w:tabs>
        <w:spacing w:line="240" w:lineRule="auto"/>
        <w:jc w:val="both"/>
        <w:rPr>
          <w:rFonts w:cs="Arial"/>
          <w:spacing w:val="-2"/>
          <w:szCs w:val="22"/>
        </w:rPr>
      </w:pPr>
      <w:r w:rsidRPr="005F15DA">
        <w:rPr>
          <w:rFonts w:cs="Arial"/>
          <w:spacing w:val="-2"/>
          <w:szCs w:val="22"/>
        </w:rPr>
        <w:t>Üblicherweise werden im Kaufsrechtsvertrag zusätzlich zur Vereinbarung des Kaufsrechts auch die Vereinbarungen für den Kauf getroffen (Kaufpreis, Tilgung, Weitere Vertragsbestimmungen, usw.). Sind alle Bestimmungen für den künftigen Kaufvertrag bereits im Kaufsrechtsvertrag en</w:t>
      </w:r>
      <w:r w:rsidRPr="005F15DA">
        <w:rPr>
          <w:rFonts w:cs="Arial"/>
          <w:spacing w:val="-2"/>
          <w:szCs w:val="22"/>
        </w:rPr>
        <w:t>t</w:t>
      </w:r>
      <w:r w:rsidRPr="005F15DA">
        <w:rPr>
          <w:rFonts w:cs="Arial"/>
          <w:spacing w:val="-2"/>
          <w:szCs w:val="22"/>
        </w:rPr>
        <w:t>halten, kann der Berechtigte mit einer schriftlichen Ausübungserklärung an den Grundeigent</w:t>
      </w:r>
      <w:r w:rsidRPr="005F15DA">
        <w:rPr>
          <w:rFonts w:cs="Arial"/>
          <w:spacing w:val="-2"/>
          <w:szCs w:val="22"/>
        </w:rPr>
        <w:t>ü</w:t>
      </w:r>
      <w:r w:rsidRPr="005F15DA">
        <w:rPr>
          <w:rFonts w:cs="Arial"/>
          <w:spacing w:val="-2"/>
          <w:szCs w:val="22"/>
        </w:rPr>
        <w:t>mer sein Recht ausüben und der Grundeigentümer muss die Eintragungsbewilligung erteilen, sobald allfällige Bedingungen (z.B. Kaufpreiszahlung) erfüllt sind. In diesem Fall entfällt die B</w:t>
      </w:r>
      <w:r w:rsidRPr="005F15DA">
        <w:rPr>
          <w:rFonts w:cs="Arial"/>
          <w:spacing w:val="-2"/>
          <w:szCs w:val="22"/>
        </w:rPr>
        <w:t>e</w:t>
      </w:r>
      <w:r w:rsidRPr="005F15DA">
        <w:rPr>
          <w:rFonts w:cs="Arial"/>
          <w:spacing w:val="-2"/>
          <w:szCs w:val="22"/>
        </w:rPr>
        <w:t>urkundung eines zusätzlichen Kaufvertrages. Die entsprechende Urkunde finden Sie in der MUSA des VbN (Nrn. 633.1 und 633.2).</w:t>
      </w:r>
    </w:p>
    <w:p w:rsidR="004B3E7C" w:rsidRPr="005F15DA" w:rsidRDefault="004B3E7C" w:rsidP="00046ACE">
      <w:pPr>
        <w:tabs>
          <w:tab w:val="left" w:pos="284"/>
        </w:tabs>
        <w:spacing w:line="240" w:lineRule="auto"/>
        <w:jc w:val="both"/>
        <w:rPr>
          <w:rFonts w:cs="Arial"/>
          <w:spacing w:val="-2"/>
          <w:szCs w:val="22"/>
        </w:rPr>
      </w:pPr>
    </w:p>
    <w:p w:rsidR="00046ACE" w:rsidRPr="005F15DA" w:rsidRDefault="00FC5B59" w:rsidP="00046ACE">
      <w:pPr>
        <w:tabs>
          <w:tab w:val="left" w:pos="284"/>
        </w:tabs>
        <w:spacing w:line="240" w:lineRule="auto"/>
        <w:jc w:val="both"/>
        <w:rPr>
          <w:rFonts w:cs="Arial"/>
          <w:spacing w:val="-2"/>
          <w:szCs w:val="22"/>
        </w:rPr>
      </w:pPr>
      <w:r w:rsidRPr="005F15DA">
        <w:rPr>
          <w:rFonts w:cs="Arial"/>
          <w:spacing w:val="-2"/>
          <w:szCs w:val="22"/>
        </w:rPr>
        <w:t xml:space="preserve">Kaufsrechtsverträge </w:t>
      </w:r>
      <w:r w:rsidR="00046ACE" w:rsidRPr="005F15DA">
        <w:rPr>
          <w:rFonts w:cs="Arial"/>
          <w:spacing w:val="-2"/>
          <w:szCs w:val="22"/>
        </w:rPr>
        <w:t xml:space="preserve">bedürfen zu ihrer Gültigkeit der öffentlichen Beurkundung (Art. 216 </w:t>
      </w:r>
      <w:r w:rsidRPr="005F15DA">
        <w:rPr>
          <w:rFonts w:cs="Arial"/>
          <w:spacing w:val="-2"/>
          <w:szCs w:val="22"/>
        </w:rPr>
        <w:t xml:space="preserve">Abs. 2 </w:t>
      </w:r>
      <w:r w:rsidR="00046ACE" w:rsidRPr="005F15DA">
        <w:rPr>
          <w:rFonts w:cs="Arial"/>
          <w:spacing w:val="-2"/>
          <w:szCs w:val="22"/>
        </w:rPr>
        <w:t xml:space="preserve">OR). Notwendiger Vertragsinhalt ist dabei folgendes: </w:t>
      </w:r>
    </w:p>
    <w:p w:rsidR="00046ACE" w:rsidRPr="005F15DA" w:rsidRDefault="00046ACE" w:rsidP="00046ACE">
      <w:pPr>
        <w:tabs>
          <w:tab w:val="left" w:pos="284"/>
        </w:tabs>
        <w:spacing w:line="240" w:lineRule="auto"/>
        <w:ind w:left="284" w:hanging="284"/>
        <w:jc w:val="both"/>
        <w:rPr>
          <w:rFonts w:cs="Arial"/>
          <w:spacing w:val="-2"/>
          <w:szCs w:val="22"/>
        </w:rPr>
      </w:pPr>
      <w:r w:rsidRPr="005F15DA">
        <w:rPr>
          <w:rFonts w:cs="Arial"/>
          <w:spacing w:val="-2"/>
          <w:szCs w:val="22"/>
        </w:rPr>
        <w:t>-</w:t>
      </w:r>
      <w:r w:rsidRPr="005F15DA">
        <w:rPr>
          <w:rFonts w:cs="Arial"/>
          <w:spacing w:val="-2"/>
          <w:szCs w:val="22"/>
        </w:rPr>
        <w:tab/>
        <w:t xml:space="preserve">Die genaue Bezeichnung der </w:t>
      </w:r>
      <w:r w:rsidRPr="005F15DA">
        <w:rPr>
          <w:rFonts w:cs="Arial"/>
          <w:b/>
          <w:spacing w:val="-2"/>
          <w:szCs w:val="22"/>
        </w:rPr>
        <w:t>Vertragsparteien</w:t>
      </w:r>
      <w:r w:rsidRPr="005F15DA">
        <w:rPr>
          <w:rFonts w:cs="Arial"/>
          <w:spacing w:val="-2"/>
          <w:szCs w:val="22"/>
        </w:rPr>
        <w:t xml:space="preserve"> mit den Angaben gemäss Notariatsveror</w:t>
      </w:r>
      <w:r w:rsidRPr="005F15DA">
        <w:rPr>
          <w:rFonts w:cs="Arial"/>
          <w:spacing w:val="-2"/>
          <w:szCs w:val="22"/>
        </w:rPr>
        <w:t>d</w:t>
      </w:r>
      <w:r w:rsidRPr="005F15DA">
        <w:rPr>
          <w:rFonts w:cs="Arial"/>
          <w:spacing w:val="-2"/>
          <w:szCs w:val="22"/>
        </w:rPr>
        <w:t>nung und der Angabe, ob verheiratet bzw. in eingetragener Partnerschaft oder nicht.</w:t>
      </w:r>
    </w:p>
    <w:p w:rsidR="00046ACE" w:rsidRPr="005F15DA" w:rsidRDefault="00046ACE" w:rsidP="00046ACE">
      <w:pPr>
        <w:tabs>
          <w:tab w:val="left" w:pos="284"/>
        </w:tabs>
        <w:spacing w:line="240" w:lineRule="auto"/>
        <w:ind w:left="284" w:hanging="284"/>
        <w:jc w:val="both"/>
        <w:rPr>
          <w:rFonts w:cs="Arial"/>
          <w:spacing w:val="-2"/>
          <w:szCs w:val="22"/>
        </w:rPr>
      </w:pPr>
      <w:r w:rsidRPr="005F15DA">
        <w:rPr>
          <w:rFonts w:cs="Arial"/>
          <w:spacing w:val="-2"/>
          <w:szCs w:val="22"/>
        </w:rPr>
        <w:t>-</w:t>
      </w:r>
      <w:r w:rsidRPr="005F15DA">
        <w:rPr>
          <w:rFonts w:cs="Arial"/>
          <w:spacing w:val="-2"/>
          <w:szCs w:val="22"/>
        </w:rPr>
        <w:tab/>
        <w:t xml:space="preserve">Die genaue Bezeichnung des </w:t>
      </w:r>
      <w:r w:rsidRPr="005F15DA">
        <w:rPr>
          <w:rFonts w:cs="Arial"/>
          <w:b/>
          <w:spacing w:val="-2"/>
          <w:szCs w:val="22"/>
        </w:rPr>
        <w:t>Vertragsgegenstandes</w:t>
      </w:r>
      <w:r w:rsidRPr="005F15DA">
        <w:rPr>
          <w:rFonts w:cs="Arial"/>
          <w:spacing w:val="-2"/>
          <w:szCs w:val="22"/>
        </w:rPr>
        <w:t>, d.h. des handändernden Grundst</w:t>
      </w:r>
      <w:r w:rsidRPr="005F15DA">
        <w:rPr>
          <w:rFonts w:cs="Arial"/>
          <w:spacing w:val="-2"/>
          <w:szCs w:val="22"/>
        </w:rPr>
        <w:t>ü</w:t>
      </w:r>
      <w:r w:rsidRPr="005F15DA">
        <w:rPr>
          <w:rFonts w:cs="Arial"/>
          <w:spacing w:val="-2"/>
          <w:szCs w:val="22"/>
        </w:rPr>
        <w:t>ckes, wobei gemäss Art. 34 Abs. 4 NV die ganze grundbuchliche Beschreibung enthalten sein muss, bei selbständigen und dauernden Rechten und Miteigentumsanteilen gehört dazu auch die Beschreibung der jeweiligen Stamm- und/oder Bodenparzellen.</w:t>
      </w:r>
    </w:p>
    <w:p w:rsidR="00FC5B59" w:rsidRPr="005F15DA" w:rsidRDefault="00FC5B59" w:rsidP="00046ACE">
      <w:pPr>
        <w:tabs>
          <w:tab w:val="left" w:pos="284"/>
        </w:tabs>
        <w:spacing w:line="240" w:lineRule="auto"/>
        <w:ind w:left="284" w:hanging="284"/>
        <w:jc w:val="both"/>
        <w:rPr>
          <w:rFonts w:cs="Arial"/>
          <w:spacing w:val="-2"/>
          <w:szCs w:val="22"/>
        </w:rPr>
      </w:pPr>
      <w:r w:rsidRPr="005F15DA">
        <w:rPr>
          <w:rFonts w:cs="Arial"/>
          <w:spacing w:val="-2"/>
          <w:szCs w:val="22"/>
        </w:rPr>
        <w:t>-</w:t>
      </w:r>
      <w:r w:rsidRPr="005F15DA">
        <w:rPr>
          <w:rFonts w:cs="Arial"/>
          <w:spacing w:val="-2"/>
          <w:szCs w:val="22"/>
        </w:rPr>
        <w:tab/>
        <w:t xml:space="preserve">Die </w:t>
      </w:r>
      <w:r w:rsidRPr="005F15DA">
        <w:rPr>
          <w:rFonts w:cs="Arial"/>
          <w:b/>
          <w:spacing w:val="-2"/>
          <w:szCs w:val="22"/>
        </w:rPr>
        <w:t>Dauer</w:t>
      </w:r>
      <w:r w:rsidRPr="005F15DA">
        <w:rPr>
          <w:rFonts w:cs="Arial"/>
          <w:spacing w:val="-2"/>
          <w:szCs w:val="22"/>
        </w:rPr>
        <w:t xml:space="preserve"> des Kaufsrechts, wobei zu beachten ist, dass Kaufsrechte für </w:t>
      </w:r>
      <w:r w:rsidRPr="005F15DA">
        <w:rPr>
          <w:rFonts w:cs="Arial"/>
          <w:b/>
          <w:spacing w:val="-2"/>
          <w:szCs w:val="22"/>
        </w:rPr>
        <w:t>höchstens 10 Ja</w:t>
      </w:r>
      <w:r w:rsidRPr="005F15DA">
        <w:rPr>
          <w:rFonts w:cs="Arial"/>
          <w:b/>
          <w:spacing w:val="-2"/>
          <w:szCs w:val="22"/>
        </w:rPr>
        <w:t>h</w:t>
      </w:r>
      <w:r w:rsidRPr="005F15DA">
        <w:rPr>
          <w:rFonts w:cs="Arial"/>
          <w:b/>
          <w:spacing w:val="-2"/>
          <w:szCs w:val="22"/>
        </w:rPr>
        <w:t>re vereinbart und im Grundbuch vorgemerkt</w:t>
      </w:r>
      <w:r w:rsidRPr="005F15DA">
        <w:rPr>
          <w:rFonts w:cs="Arial"/>
          <w:spacing w:val="-2"/>
          <w:szCs w:val="22"/>
        </w:rPr>
        <w:t xml:space="preserve"> werden dürfen</w:t>
      </w:r>
      <w:r w:rsidR="004B3E7C" w:rsidRPr="005F15DA">
        <w:rPr>
          <w:rFonts w:cs="Arial"/>
          <w:spacing w:val="-2"/>
          <w:szCs w:val="22"/>
        </w:rPr>
        <w:t xml:space="preserve"> (Art. 216a OR)</w:t>
      </w:r>
      <w:r w:rsidRPr="005F15DA">
        <w:rPr>
          <w:rFonts w:cs="Arial"/>
          <w:spacing w:val="-2"/>
          <w:szCs w:val="22"/>
        </w:rPr>
        <w:t>. Die Frist von 10 Jahren läuft ab Vertragsschluss. Ein Aufschub der Ausübbarkeit innerhalb der Frist von 10 Jahren ist zulässig; wenn nun ein Kaufsrecht erst nach der Frist von 10 Jahren ausübbar sein soll, ist dieses von Anfang an nichtig und kann nicht im Grundbuch vorgemerkt werden.</w:t>
      </w:r>
    </w:p>
    <w:p w:rsidR="004B3E7C" w:rsidRPr="005F15DA" w:rsidRDefault="004B3E7C" w:rsidP="00046ACE">
      <w:pPr>
        <w:tabs>
          <w:tab w:val="left" w:pos="284"/>
        </w:tabs>
        <w:spacing w:line="240" w:lineRule="auto"/>
        <w:ind w:left="284" w:hanging="284"/>
        <w:jc w:val="both"/>
        <w:rPr>
          <w:rFonts w:cs="Arial"/>
          <w:spacing w:val="-2"/>
          <w:szCs w:val="22"/>
        </w:rPr>
      </w:pPr>
      <w:r w:rsidRPr="005F15DA">
        <w:rPr>
          <w:rFonts w:cs="Arial"/>
          <w:spacing w:val="-2"/>
          <w:szCs w:val="22"/>
        </w:rPr>
        <w:t>-</w:t>
      </w:r>
      <w:r w:rsidRPr="005F15DA">
        <w:rPr>
          <w:rFonts w:cs="Arial"/>
          <w:spacing w:val="-2"/>
          <w:szCs w:val="22"/>
        </w:rPr>
        <w:tab/>
        <w:t xml:space="preserve">Vertragliche Kaufsrechte sind </w:t>
      </w:r>
      <w:r w:rsidRPr="005F15DA">
        <w:rPr>
          <w:rFonts w:cs="Arial"/>
          <w:b/>
          <w:spacing w:val="-2"/>
          <w:szCs w:val="22"/>
        </w:rPr>
        <w:t>vererblich aber nicht abtretbar</w:t>
      </w:r>
      <w:r w:rsidRPr="005F15DA">
        <w:rPr>
          <w:rFonts w:cs="Arial"/>
          <w:spacing w:val="-2"/>
          <w:szCs w:val="22"/>
        </w:rPr>
        <w:t xml:space="preserve"> (Art. 216b OR). Wollen die Parteien dies ändern, muss es ebenfalls öffentlich beurkundet werden.</w:t>
      </w:r>
    </w:p>
    <w:p w:rsidR="00046ACE" w:rsidRPr="005F15DA" w:rsidRDefault="00046ACE" w:rsidP="00046ACE">
      <w:pPr>
        <w:tabs>
          <w:tab w:val="left" w:pos="284"/>
        </w:tabs>
        <w:spacing w:line="240" w:lineRule="auto"/>
        <w:ind w:left="284" w:hanging="284"/>
        <w:jc w:val="both"/>
        <w:rPr>
          <w:rFonts w:cs="Arial"/>
          <w:spacing w:val="-2"/>
          <w:szCs w:val="22"/>
        </w:rPr>
      </w:pPr>
      <w:r w:rsidRPr="005F15DA">
        <w:rPr>
          <w:rFonts w:cs="Arial"/>
          <w:spacing w:val="-2"/>
          <w:szCs w:val="22"/>
        </w:rPr>
        <w:lastRenderedPageBreak/>
        <w:t>-</w:t>
      </w:r>
      <w:r w:rsidRPr="005F15DA">
        <w:rPr>
          <w:rFonts w:cs="Arial"/>
          <w:spacing w:val="-2"/>
          <w:szCs w:val="22"/>
        </w:rPr>
        <w:tab/>
      </w:r>
      <w:r w:rsidR="00A11CE1" w:rsidRPr="005F15DA">
        <w:rPr>
          <w:rFonts w:cs="Arial"/>
          <w:spacing w:val="-2"/>
          <w:szCs w:val="22"/>
        </w:rPr>
        <w:t xml:space="preserve">Soll das Kaufsrecht </w:t>
      </w:r>
      <w:r w:rsidR="00C2120C" w:rsidRPr="005F15DA">
        <w:rPr>
          <w:rFonts w:cs="Arial"/>
          <w:spacing w:val="-2"/>
          <w:szCs w:val="22"/>
        </w:rPr>
        <w:t xml:space="preserve">ohne zusätzlichen Kaufvertrag ausübbar sein, muss die </w:t>
      </w:r>
      <w:r w:rsidRPr="005F15DA">
        <w:rPr>
          <w:rFonts w:cs="Arial"/>
          <w:spacing w:val="-2"/>
          <w:szCs w:val="22"/>
        </w:rPr>
        <w:t xml:space="preserve">Angabe des </w:t>
      </w:r>
      <w:r w:rsidRPr="005F15DA">
        <w:rPr>
          <w:rFonts w:cs="Arial"/>
          <w:b/>
          <w:spacing w:val="-2"/>
          <w:szCs w:val="22"/>
        </w:rPr>
        <w:t>Kaufpreises</w:t>
      </w:r>
      <w:r w:rsidRPr="005F15DA">
        <w:rPr>
          <w:rFonts w:cs="Arial"/>
          <w:spacing w:val="-2"/>
          <w:szCs w:val="22"/>
        </w:rPr>
        <w:t>, welcher genau bestimmt oder zumindest genau bestimmbar sein muss</w:t>
      </w:r>
      <w:r w:rsidR="00C2120C" w:rsidRPr="005F15DA">
        <w:rPr>
          <w:rFonts w:cs="Arial"/>
          <w:spacing w:val="-2"/>
          <w:szCs w:val="22"/>
        </w:rPr>
        <w:t>, erfo</w:t>
      </w:r>
      <w:r w:rsidR="00C2120C" w:rsidRPr="005F15DA">
        <w:rPr>
          <w:rFonts w:cs="Arial"/>
          <w:spacing w:val="-2"/>
          <w:szCs w:val="22"/>
        </w:rPr>
        <w:t>l</w:t>
      </w:r>
      <w:r w:rsidR="00C2120C" w:rsidRPr="005F15DA">
        <w:rPr>
          <w:rFonts w:cs="Arial"/>
          <w:spacing w:val="-2"/>
          <w:szCs w:val="22"/>
        </w:rPr>
        <w:t>gen</w:t>
      </w:r>
      <w:r w:rsidRPr="005F15DA">
        <w:rPr>
          <w:rFonts w:cs="Arial"/>
          <w:spacing w:val="-2"/>
          <w:szCs w:val="22"/>
        </w:rPr>
        <w:t>.</w:t>
      </w:r>
    </w:p>
    <w:p w:rsidR="00046ACE" w:rsidRPr="005F15DA" w:rsidRDefault="00046ACE" w:rsidP="00046ACE">
      <w:pPr>
        <w:tabs>
          <w:tab w:val="left" w:pos="284"/>
        </w:tabs>
        <w:spacing w:line="240" w:lineRule="auto"/>
        <w:jc w:val="both"/>
        <w:rPr>
          <w:rFonts w:cs="Arial"/>
          <w:spacing w:val="-2"/>
          <w:szCs w:val="22"/>
        </w:rPr>
      </w:pPr>
    </w:p>
    <w:p w:rsidR="00046ACE" w:rsidRPr="005F15DA" w:rsidRDefault="00046ACE" w:rsidP="00046ACE">
      <w:pPr>
        <w:tabs>
          <w:tab w:val="left" w:pos="284"/>
        </w:tabs>
        <w:spacing w:line="240" w:lineRule="auto"/>
        <w:jc w:val="both"/>
        <w:rPr>
          <w:rFonts w:cs="Arial"/>
          <w:spacing w:val="-2"/>
          <w:szCs w:val="22"/>
        </w:rPr>
      </w:pPr>
      <w:r w:rsidRPr="005F15DA">
        <w:rPr>
          <w:rFonts w:cs="Arial"/>
          <w:spacing w:val="-2"/>
          <w:szCs w:val="22"/>
        </w:rPr>
        <w:t xml:space="preserve">Weiter werden üblicherweise </w:t>
      </w:r>
      <w:r w:rsidR="003C3AC9" w:rsidRPr="005F15DA">
        <w:rPr>
          <w:rFonts w:cs="Arial"/>
          <w:spacing w:val="-2"/>
          <w:szCs w:val="22"/>
        </w:rPr>
        <w:t>die gleichen Punkte wie im Kaufvertrag geregelt.</w:t>
      </w:r>
    </w:p>
    <w:p w:rsidR="0037487C" w:rsidRPr="005F15DA" w:rsidRDefault="0037487C" w:rsidP="0037487C">
      <w:pPr>
        <w:tabs>
          <w:tab w:val="left" w:pos="426"/>
        </w:tabs>
        <w:spacing w:line="240" w:lineRule="auto"/>
        <w:jc w:val="both"/>
        <w:rPr>
          <w:rFonts w:cs="Arial"/>
          <w:szCs w:val="22"/>
        </w:rPr>
      </w:pPr>
    </w:p>
    <w:p w:rsidR="00A1007A" w:rsidRPr="005F15DA" w:rsidRDefault="00A1007A" w:rsidP="00861D85">
      <w:pPr>
        <w:spacing w:line="240" w:lineRule="auto"/>
        <w:jc w:val="both"/>
        <w:rPr>
          <w:rFonts w:cs="Arial"/>
          <w:szCs w:val="22"/>
        </w:rPr>
      </w:pPr>
    </w:p>
    <w:p w:rsidR="00A1007A" w:rsidRPr="005F15DA" w:rsidRDefault="00A1007A" w:rsidP="00861D85">
      <w:pPr>
        <w:spacing w:line="240" w:lineRule="auto"/>
        <w:jc w:val="both"/>
        <w:rPr>
          <w:rFonts w:cs="Arial"/>
          <w:szCs w:val="22"/>
        </w:rPr>
      </w:pPr>
    </w:p>
    <w:p w:rsidR="00A1007A" w:rsidRPr="005F15DA" w:rsidRDefault="00A1007A" w:rsidP="00861D85">
      <w:pPr>
        <w:spacing w:line="240" w:lineRule="auto"/>
        <w:jc w:val="both"/>
        <w:rPr>
          <w:rFonts w:cs="Arial"/>
          <w:szCs w:val="22"/>
        </w:rPr>
      </w:pPr>
    </w:p>
    <w:p w:rsidR="00A1007A" w:rsidRPr="005F15DA" w:rsidRDefault="00A1007A" w:rsidP="00E36E8F">
      <w:pPr>
        <w:pStyle w:val="berschrift2"/>
      </w:pPr>
      <w:bookmarkStart w:id="176" w:name="_Toc432175696"/>
      <w:r w:rsidRPr="005F15DA">
        <w:t>XI</w:t>
      </w:r>
      <w:r w:rsidR="00C2120C" w:rsidRPr="005F15DA">
        <w:t>I</w:t>
      </w:r>
      <w:r w:rsidR="00B430A4" w:rsidRPr="005F15DA">
        <w:t>I</w:t>
      </w:r>
      <w:r w:rsidRPr="005F15DA">
        <w:t xml:space="preserve">. Der </w:t>
      </w:r>
      <w:r w:rsidR="00C2120C" w:rsidRPr="005F15DA">
        <w:t xml:space="preserve">Vorkaufsrechtsvertrag </w:t>
      </w:r>
      <w:r w:rsidRPr="005F15DA">
        <w:t xml:space="preserve">(Art. 216 </w:t>
      </w:r>
      <w:r w:rsidR="00C2120C" w:rsidRPr="005F15DA">
        <w:t xml:space="preserve">ff. </w:t>
      </w:r>
      <w:r w:rsidRPr="005F15DA">
        <w:t>OR)</w:t>
      </w:r>
      <w:bookmarkEnd w:id="176"/>
    </w:p>
    <w:p w:rsidR="00E90D39" w:rsidRPr="005F15DA" w:rsidRDefault="00E90D39" w:rsidP="00E90D39">
      <w:r w:rsidRPr="005F15DA">
        <w:t>______________________________________________</w:t>
      </w:r>
      <w:r>
        <w:t>____________</w:t>
      </w:r>
      <w:r w:rsidR="00ED5466">
        <w:t>_</w:t>
      </w:r>
    </w:p>
    <w:p w:rsidR="00A1007A" w:rsidRPr="005F15DA" w:rsidRDefault="00A1007A" w:rsidP="00861D85">
      <w:pPr>
        <w:spacing w:line="240" w:lineRule="auto"/>
        <w:jc w:val="both"/>
        <w:rPr>
          <w:rFonts w:cs="Arial"/>
          <w:szCs w:val="22"/>
        </w:rPr>
      </w:pPr>
    </w:p>
    <w:p w:rsidR="00C2120C" w:rsidRPr="005F15DA" w:rsidRDefault="00C2120C" w:rsidP="00861D85">
      <w:pPr>
        <w:tabs>
          <w:tab w:val="left" w:pos="284"/>
        </w:tabs>
        <w:spacing w:line="240" w:lineRule="auto"/>
        <w:jc w:val="both"/>
        <w:rPr>
          <w:rFonts w:cs="Arial"/>
          <w:spacing w:val="-2"/>
          <w:szCs w:val="22"/>
        </w:rPr>
      </w:pPr>
      <w:r w:rsidRPr="005F15DA">
        <w:rPr>
          <w:rFonts w:cs="Arial"/>
          <w:spacing w:val="-2"/>
          <w:szCs w:val="22"/>
        </w:rPr>
        <w:t>Mit dem Vorkaufsrecht wird einer Person das Recht eingeräumt, ein bestimmtes Grundstück zu kaufen, für den Fall, dass dieses verkauft wird.</w:t>
      </w:r>
      <w:r w:rsidR="00A4659C" w:rsidRPr="005F15DA">
        <w:rPr>
          <w:rFonts w:cs="Arial"/>
          <w:spacing w:val="-2"/>
          <w:szCs w:val="22"/>
        </w:rPr>
        <w:t xml:space="preserve"> Zur dinglichen Sicherung kann das Vorkauf</w:t>
      </w:r>
      <w:r w:rsidR="00A4659C" w:rsidRPr="005F15DA">
        <w:rPr>
          <w:rFonts w:cs="Arial"/>
          <w:spacing w:val="-2"/>
          <w:szCs w:val="22"/>
        </w:rPr>
        <w:t>s</w:t>
      </w:r>
      <w:r w:rsidR="00A4659C" w:rsidRPr="005F15DA">
        <w:rPr>
          <w:rFonts w:cs="Arial"/>
          <w:spacing w:val="-2"/>
          <w:szCs w:val="22"/>
        </w:rPr>
        <w:t>recht im Grundbuch vorgemerkt werden.</w:t>
      </w:r>
    </w:p>
    <w:p w:rsidR="002A6825" w:rsidRPr="005F15DA" w:rsidRDefault="002A6825" w:rsidP="002A6825">
      <w:pPr>
        <w:tabs>
          <w:tab w:val="left" w:pos="284"/>
        </w:tabs>
        <w:spacing w:line="240" w:lineRule="auto"/>
        <w:jc w:val="both"/>
        <w:rPr>
          <w:rFonts w:cs="Arial"/>
          <w:spacing w:val="-2"/>
          <w:szCs w:val="22"/>
        </w:rPr>
      </w:pPr>
    </w:p>
    <w:p w:rsidR="002A6825" w:rsidRPr="005F15DA" w:rsidRDefault="002A6825" w:rsidP="002A6825">
      <w:pPr>
        <w:tabs>
          <w:tab w:val="left" w:pos="284"/>
        </w:tabs>
        <w:spacing w:line="240" w:lineRule="auto"/>
        <w:jc w:val="both"/>
        <w:rPr>
          <w:rFonts w:cs="Arial"/>
          <w:spacing w:val="-2"/>
          <w:szCs w:val="22"/>
        </w:rPr>
      </w:pPr>
      <w:r w:rsidRPr="005F15DA">
        <w:rPr>
          <w:rFonts w:cs="Arial"/>
          <w:spacing w:val="-2"/>
          <w:szCs w:val="22"/>
        </w:rPr>
        <w:t>Das Vorkaufsrecht ist zu unterscheiden vom Vorhandrecht, bei welchem der verkaufswillige Eigentümer das Vertragsobjekt zuerst dem Vorhandberechtigten zum Kauf anbieten muss, b</w:t>
      </w:r>
      <w:r w:rsidRPr="005F15DA">
        <w:rPr>
          <w:rFonts w:cs="Arial"/>
          <w:spacing w:val="-2"/>
          <w:szCs w:val="22"/>
        </w:rPr>
        <w:t>e</w:t>
      </w:r>
      <w:r w:rsidRPr="005F15DA">
        <w:rPr>
          <w:rFonts w:cs="Arial"/>
          <w:spacing w:val="-2"/>
          <w:szCs w:val="22"/>
        </w:rPr>
        <w:t>vor er es Dritten anbietet.</w:t>
      </w:r>
    </w:p>
    <w:p w:rsidR="00A4659C" w:rsidRPr="005F15DA" w:rsidRDefault="00A4659C" w:rsidP="00861D85">
      <w:pPr>
        <w:tabs>
          <w:tab w:val="left" w:pos="284"/>
        </w:tabs>
        <w:spacing w:line="240" w:lineRule="auto"/>
        <w:jc w:val="both"/>
        <w:rPr>
          <w:rFonts w:cs="Arial"/>
          <w:spacing w:val="-2"/>
          <w:szCs w:val="22"/>
        </w:rPr>
      </w:pPr>
    </w:p>
    <w:p w:rsidR="00A4659C" w:rsidRPr="005F15DA" w:rsidRDefault="00A4659C" w:rsidP="00861D85">
      <w:pPr>
        <w:tabs>
          <w:tab w:val="left" w:pos="284"/>
        </w:tabs>
        <w:spacing w:line="240" w:lineRule="auto"/>
        <w:jc w:val="both"/>
        <w:rPr>
          <w:rFonts w:cs="Arial"/>
          <w:spacing w:val="-2"/>
          <w:szCs w:val="22"/>
        </w:rPr>
      </w:pPr>
      <w:r w:rsidRPr="005F15DA">
        <w:rPr>
          <w:rFonts w:cs="Arial"/>
          <w:spacing w:val="-2"/>
          <w:szCs w:val="22"/>
        </w:rPr>
        <w:t>Man unterscheidet das</w:t>
      </w:r>
    </w:p>
    <w:p w:rsidR="00A4659C" w:rsidRPr="005F15DA" w:rsidRDefault="00A4659C" w:rsidP="00861D85">
      <w:pPr>
        <w:tabs>
          <w:tab w:val="left" w:pos="284"/>
        </w:tabs>
        <w:spacing w:line="240" w:lineRule="auto"/>
        <w:jc w:val="both"/>
        <w:rPr>
          <w:rFonts w:cs="Arial"/>
          <w:spacing w:val="-2"/>
          <w:szCs w:val="22"/>
        </w:rPr>
      </w:pPr>
      <w:r w:rsidRPr="005F15DA">
        <w:rPr>
          <w:rFonts w:cs="Arial"/>
          <w:b/>
          <w:spacing w:val="-2"/>
          <w:szCs w:val="22"/>
        </w:rPr>
        <w:t>limitierte Vorkaufsrecht</w:t>
      </w:r>
      <w:r w:rsidRPr="005F15DA">
        <w:rPr>
          <w:rFonts w:cs="Arial"/>
          <w:spacing w:val="-2"/>
          <w:szCs w:val="22"/>
        </w:rPr>
        <w:t xml:space="preserve"> (der Preis wird im Vorkaufsvertrag festgesetzt) und das</w:t>
      </w:r>
    </w:p>
    <w:p w:rsidR="00A4659C" w:rsidRPr="005F15DA" w:rsidRDefault="00DF17FD" w:rsidP="00861D85">
      <w:pPr>
        <w:tabs>
          <w:tab w:val="left" w:pos="284"/>
        </w:tabs>
        <w:spacing w:line="240" w:lineRule="auto"/>
        <w:jc w:val="both"/>
        <w:rPr>
          <w:rFonts w:cs="Arial"/>
          <w:spacing w:val="-2"/>
          <w:szCs w:val="22"/>
        </w:rPr>
      </w:pPr>
      <w:r w:rsidRPr="005F15DA">
        <w:rPr>
          <w:rFonts w:cs="Arial"/>
          <w:b/>
          <w:spacing w:val="-2"/>
          <w:szCs w:val="22"/>
        </w:rPr>
        <w:t>un</w:t>
      </w:r>
      <w:r w:rsidR="00A4659C" w:rsidRPr="005F15DA">
        <w:rPr>
          <w:rFonts w:cs="Arial"/>
          <w:b/>
          <w:spacing w:val="-2"/>
          <w:szCs w:val="22"/>
        </w:rPr>
        <w:t>limitierte Vorkaufsrecht</w:t>
      </w:r>
      <w:r w:rsidR="00A4659C" w:rsidRPr="005F15DA">
        <w:rPr>
          <w:rFonts w:cs="Arial"/>
          <w:spacing w:val="-2"/>
          <w:szCs w:val="22"/>
        </w:rPr>
        <w:t xml:space="preserve"> (der Preis wird nicht zum Voraus festgesetzt</w:t>
      </w:r>
      <w:r w:rsidRPr="005F15DA">
        <w:rPr>
          <w:rFonts w:cs="Arial"/>
          <w:spacing w:val="-2"/>
          <w:szCs w:val="22"/>
        </w:rPr>
        <w:t>, d.h. der Vorkaufsb</w:t>
      </w:r>
      <w:r w:rsidRPr="005F15DA">
        <w:rPr>
          <w:rFonts w:cs="Arial"/>
          <w:spacing w:val="-2"/>
          <w:szCs w:val="22"/>
        </w:rPr>
        <w:t>e</w:t>
      </w:r>
      <w:r w:rsidRPr="005F15DA">
        <w:rPr>
          <w:rFonts w:cs="Arial"/>
          <w:spacing w:val="-2"/>
          <w:szCs w:val="22"/>
        </w:rPr>
        <w:t>rechtigte muss denjenigen Preis bezahlen, den ein Dritter im Vorkaufsfall bezahlen würde</w:t>
      </w:r>
      <w:r w:rsidR="00A4659C" w:rsidRPr="005F15DA">
        <w:rPr>
          <w:rFonts w:cs="Arial"/>
          <w:spacing w:val="-2"/>
          <w:szCs w:val="22"/>
        </w:rPr>
        <w:t>).</w:t>
      </w:r>
    </w:p>
    <w:p w:rsidR="00A4659C" w:rsidRPr="005F15DA" w:rsidRDefault="00A4659C" w:rsidP="00861D85">
      <w:pPr>
        <w:tabs>
          <w:tab w:val="left" w:pos="284"/>
        </w:tabs>
        <w:spacing w:line="240" w:lineRule="auto"/>
        <w:jc w:val="both"/>
        <w:rPr>
          <w:rFonts w:cs="Arial"/>
          <w:spacing w:val="-2"/>
          <w:szCs w:val="22"/>
        </w:rPr>
      </w:pPr>
    </w:p>
    <w:p w:rsidR="00A4659C" w:rsidRPr="005F15DA" w:rsidRDefault="00A4659C" w:rsidP="00861D85">
      <w:pPr>
        <w:tabs>
          <w:tab w:val="left" w:pos="284"/>
        </w:tabs>
        <w:spacing w:line="240" w:lineRule="auto"/>
        <w:jc w:val="both"/>
        <w:rPr>
          <w:rFonts w:cs="Arial"/>
          <w:spacing w:val="-2"/>
          <w:szCs w:val="22"/>
        </w:rPr>
      </w:pPr>
      <w:r w:rsidRPr="005F15DA">
        <w:rPr>
          <w:rFonts w:cs="Arial"/>
          <w:spacing w:val="-2"/>
          <w:szCs w:val="22"/>
        </w:rPr>
        <w:t xml:space="preserve">Beim </w:t>
      </w:r>
      <w:r w:rsidRPr="005F15DA">
        <w:rPr>
          <w:rFonts w:cs="Arial"/>
          <w:b/>
          <w:spacing w:val="-2"/>
          <w:szCs w:val="22"/>
        </w:rPr>
        <w:t>limitierten Vorkaufsrecht muss der Vertrag öffentlich beurkundet</w:t>
      </w:r>
      <w:r w:rsidRPr="005F15DA">
        <w:rPr>
          <w:rFonts w:cs="Arial"/>
          <w:spacing w:val="-2"/>
          <w:szCs w:val="22"/>
        </w:rPr>
        <w:t xml:space="preserve"> werden (Art. 216 Abs. 2 OR); beim </w:t>
      </w:r>
      <w:r w:rsidR="00DF17FD" w:rsidRPr="005F15DA">
        <w:rPr>
          <w:rFonts w:cs="Arial"/>
          <w:b/>
          <w:spacing w:val="-2"/>
          <w:szCs w:val="22"/>
        </w:rPr>
        <w:t>un</w:t>
      </w:r>
      <w:r w:rsidRPr="005F15DA">
        <w:rPr>
          <w:rFonts w:cs="Arial"/>
          <w:b/>
          <w:spacing w:val="-2"/>
          <w:szCs w:val="22"/>
        </w:rPr>
        <w:t xml:space="preserve">limitierten Vorkaufsrecht reicht </w:t>
      </w:r>
      <w:r w:rsidR="00DF17FD" w:rsidRPr="005F15DA">
        <w:rPr>
          <w:rFonts w:cs="Arial"/>
          <w:b/>
          <w:spacing w:val="-2"/>
          <w:szCs w:val="22"/>
        </w:rPr>
        <w:t xml:space="preserve">einfache </w:t>
      </w:r>
      <w:r w:rsidRPr="005F15DA">
        <w:rPr>
          <w:rFonts w:cs="Arial"/>
          <w:b/>
          <w:spacing w:val="-2"/>
          <w:szCs w:val="22"/>
        </w:rPr>
        <w:t>Schriftlichkeit</w:t>
      </w:r>
      <w:r w:rsidRPr="005F15DA">
        <w:rPr>
          <w:rFonts w:cs="Arial"/>
          <w:spacing w:val="-2"/>
          <w:szCs w:val="22"/>
        </w:rPr>
        <w:t xml:space="preserve"> (Art. 216 Abs. 3 OR).</w:t>
      </w:r>
    </w:p>
    <w:p w:rsidR="00A4659C" w:rsidRPr="005F15DA" w:rsidRDefault="00A4659C" w:rsidP="00861D85">
      <w:pPr>
        <w:tabs>
          <w:tab w:val="left" w:pos="284"/>
        </w:tabs>
        <w:spacing w:line="240" w:lineRule="auto"/>
        <w:jc w:val="both"/>
        <w:rPr>
          <w:rFonts w:cs="Arial"/>
          <w:spacing w:val="-2"/>
          <w:szCs w:val="22"/>
        </w:rPr>
      </w:pPr>
    </w:p>
    <w:p w:rsidR="00A4659C" w:rsidRPr="005F15DA" w:rsidRDefault="00A4659C" w:rsidP="00861D85">
      <w:pPr>
        <w:tabs>
          <w:tab w:val="left" w:pos="284"/>
        </w:tabs>
        <w:spacing w:line="240" w:lineRule="auto"/>
        <w:jc w:val="both"/>
        <w:rPr>
          <w:rFonts w:cs="Arial"/>
          <w:spacing w:val="-2"/>
          <w:szCs w:val="22"/>
        </w:rPr>
      </w:pPr>
      <w:r w:rsidRPr="005F15DA">
        <w:rPr>
          <w:rFonts w:cs="Arial"/>
          <w:spacing w:val="-2"/>
          <w:szCs w:val="22"/>
        </w:rPr>
        <w:t xml:space="preserve">Vorkaufsrechte (wie auch Rückkaufsrechte) dürfen für </w:t>
      </w:r>
      <w:r w:rsidRPr="005F15DA">
        <w:rPr>
          <w:rFonts w:cs="Arial"/>
          <w:b/>
          <w:spacing w:val="-2"/>
          <w:szCs w:val="22"/>
        </w:rPr>
        <w:t>höchstens 25 Jahre vereinbart und im Grundbuch vorgemerkt</w:t>
      </w:r>
      <w:r w:rsidRPr="005F15DA">
        <w:rPr>
          <w:rFonts w:cs="Arial"/>
          <w:spacing w:val="-2"/>
          <w:szCs w:val="22"/>
        </w:rPr>
        <w:t xml:space="preserve"> werden. Fristbeginn für die höchstzulässige Vertrags- und Vorme</w:t>
      </w:r>
      <w:r w:rsidRPr="005F15DA">
        <w:rPr>
          <w:rFonts w:cs="Arial"/>
          <w:spacing w:val="-2"/>
          <w:szCs w:val="22"/>
        </w:rPr>
        <w:t>r</w:t>
      </w:r>
      <w:r w:rsidRPr="005F15DA">
        <w:rPr>
          <w:rFonts w:cs="Arial"/>
          <w:spacing w:val="-2"/>
          <w:szCs w:val="22"/>
        </w:rPr>
        <w:t>kungsdauer ist das Datum des Vertragsabschlusses.</w:t>
      </w:r>
    </w:p>
    <w:p w:rsidR="00C2120C" w:rsidRPr="005F15DA" w:rsidRDefault="00C2120C" w:rsidP="00861D85">
      <w:pPr>
        <w:tabs>
          <w:tab w:val="left" w:pos="284"/>
        </w:tabs>
        <w:spacing w:line="240" w:lineRule="auto"/>
        <w:jc w:val="both"/>
        <w:rPr>
          <w:rFonts w:cs="Arial"/>
          <w:spacing w:val="-2"/>
          <w:szCs w:val="22"/>
        </w:rPr>
      </w:pPr>
    </w:p>
    <w:p w:rsidR="00A4659C" w:rsidRPr="005F15DA" w:rsidRDefault="00A4659C" w:rsidP="00861D85">
      <w:pPr>
        <w:tabs>
          <w:tab w:val="left" w:pos="284"/>
        </w:tabs>
        <w:spacing w:line="240" w:lineRule="auto"/>
        <w:jc w:val="both"/>
        <w:rPr>
          <w:rFonts w:cs="Arial"/>
          <w:spacing w:val="-2"/>
          <w:szCs w:val="22"/>
        </w:rPr>
      </w:pPr>
      <w:r w:rsidRPr="005F15DA">
        <w:rPr>
          <w:rFonts w:cs="Arial"/>
          <w:spacing w:val="-2"/>
          <w:szCs w:val="22"/>
        </w:rPr>
        <w:t xml:space="preserve">Vertragliche Vorkaufsrechte sind </w:t>
      </w:r>
      <w:r w:rsidRPr="005F15DA">
        <w:rPr>
          <w:rFonts w:cs="Arial"/>
          <w:b/>
          <w:spacing w:val="-2"/>
          <w:szCs w:val="22"/>
        </w:rPr>
        <w:t>vererblich aber nicht abtretbar</w:t>
      </w:r>
      <w:r w:rsidRPr="005F15DA">
        <w:rPr>
          <w:rFonts w:cs="Arial"/>
          <w:spacing w:val="-2"/>
          <w:szCs w:val="22"/>
        </w:rPr>
        <w:t xml:space="preserve"> (Art. 216b OR); soll das Vo</w:t>
      </w:r>
      <w:r w:rsidRPr="005F15DA">
        <w:rPr>
          <w:rFonts w:cs="Arial"/>
          <w:spacing w:val="-2"/>
          <w:szCs w:val="22"/>
        </w:rPr>
        <w:t>r</w:t>
      </w:r>
      <w:r w:rsidRPr="005F15DA">
        <w:rPr>
          <w:rFonts w:cs="Arial"/>
          <w:spacing w:val="-2"/>
          <w:szCs w:val="22"/>
        </w:rPr>
        <w:t>kaufsrecht abtretbar sein, muss dies vertraglich vereinbart werden.</w:t>
      </w:r>
    </w:p>
    <w:p w:rsidR="00A4659C" w:rsidRPr="005F15DA" w:rsidRDefault="00A4659C" w:rsidP="00861D85">
      <w:pPr>
        <w:tabs>
          <w:tab w:val="left" w:pos="284"/>
        </w:tabs>
        <w:spacing w:line="240" w:lineRule="auto"/>
        <w:jc w:val="both"/>
        <w:rPr>
          <w:rFonts w:cs="Arial"/>
          <w:spacing w:val="-2"/>
          <w:szCs w:val="22"/>
        </w:rPr>
      </w:pPr>
    </w:p>
    <w:p w:rsidR="00A4659C" w:rsidRPr="005F15DA" w:rsidRDefault="00DF17FD" w:rsidP="00861D85">
      <w:pPr>
        <w:tabs>
          <w:tab w:val="left" w:pos="284"/>
        </w:tabs>
        <w:spacing w:line="240" w:lineRule="auto"/>
        <w:jc w:val="both"/>
        <w:rPr>
          <w:rFonts w:cs="Arial"/>
          <w:spacing w:val="-2"/>
          <w:szCs w:val="22"/>
        </w:rPr>
      </w:pPr>
      <w:r w:rsidRPr="005F15DA">
        <w:rPr>
          <w:rFonts w:cs="Arial"/>
          <w:spacing w:val="-2"/>
          <w:szCs w:val="22"/>
        </w:rPr>
        <w:t>Das Vorkaufsrecht kann geltend gemacht werden, wenn das Grundstück verkauft wird; als Vo</w:t>
      </w:r>
      <w:r w:rsidRPr="005F15DA">
        <w:rPr>
          <w:rFonts w:cs="Arial"/>
          <w:spacing w:val="-2"/>
          <w:szCs w:val="22"/>
        </w:rPr>
        <w:t>r</w:t>
      </w:r>
      <w:r w:rsidRPr="005F15DA">
        <w:rPr>
          <w:rFonts w:cs="Arial"/>
          <w:spacing w:val="-2"/>
          <w:szCs w:val="22"/>
        </w:rPr>
        <w:t>kaufsfall gilt jedes Rechtsgeschäft, das wirtschaftlich einem Verkauf gleichkommt</w:t>
      </w:r>
      <w:r w:rsidR="00AA0C1A" w:rsidRPr="005F15DA">
        <w:rPr>
          <w:rFonts w:cs="Arial"/>
          <w:spacing w:val="-2"/>
          <w:szCs w:val="22"/>
        </w:rPr>
        <w:t xml:space="preserve"> (Art. 216c OR)</w:t>
      </w:r>
      <w:r w:rsidRPr="005F15DA">
        <w:rPr>
          <w:rFonts w:cs="Arial"/>
          <w:spacing w:val="-2"/>
          <w:szCs w:val="22"/>
        </w:rPr>
        <w:t>. Keinen Vorkaufsfall stellen in der Regel dar:</w:t>
      </w:r>
    </w:p>
    <w:p w:rsidR="00DF17FD" w:rsidRPr="005F15DA" w:rsidRDefault="00DF17FD" w:rsidP="009D34F3">
      <w:pPr>
        <w:pStyle w:val="Listenabsatz"/>
        <w:numPr>
          <w:ilvl w:val="0"/>
          <w:numId w:val="32"/>
        </w:numPr>
        <w:tabs>
          <w:tab w:val="left" w:pos="284"/>
        </w:tabs>
        <w:spacing w:line="240" w:lineRule="auto"/>
        <w:ind w:left="284" w:hanging="284"/>
        <w:jc w:val="both"/>
        <w:rPr>
          <w:rFonts w:cs="Arial"/>
          <w:spacing w:val="-2"/>
          <w:szCs w:val="22"/>
        </w:rPr>
      </w:pPr>
      <w:r w:rsidRPr="005F15DA">
        <w:rPr>
          <w:rFonts w:cs="Arial"/>
          <w:spacing w:val="-2"/>
          <w:szCs w:val="22"/>
        </w:rPr>
        <w:t xml:space="preserve">Rechtsgeschäfte, bei denen </w:t>
      </w:r>
      <w:proofErr w:type="gramStart"/>
      <w:r w:rsidRPr="005F15DA">
        <w:rPr>
          <w:rFonts w:cs="Arial"/>
          <w:spacing w:val="-2"/>
          <w:szCs w:val="22"/>
        </w:rPr>
        <w:t>der Veräusserer</w:t>
      </w:r>
      <w:proofErr w:type="gramEnd"/>
      <w:r w:rsidRPr="005F15DA">
        <w:rPr>
          <w:rFonts w:cs="Arial"/>
          <w:spacing w:val="-2"/>
          <w:szCs w:val="22"/>
        </w:rPr>
        <w:t xml:space="preserve"> als Gegenleistung nicht Geld erhält, bzw. die nicht auf die wirtschaftliche Umsetzung und Verflüssigung des im Grundstück verkörperten Werts abzielen (echter Tausch, Verpfründung. Leibrente, </w:t>
      </w:r>
      <w:r w:rsidR="00AA0C1A" w:rsidRPr="005F15DA">
        <w:rPr>
          <w:rFonts w:cs="Arial"/>
          <w:spacing w:val="-2"/>
          <w:szCs w:val="22"/>
        </w:rPr>
        <w:t>Begründung oder Liquidation G</w:t>
      </w:r>
      <w:r w:rsidR="00AA0C1A" w:rsidRPr="005F15DA">
        <w:rPr>
          <w:rFonts w:cs="Arial"/>
          <w:spacing w:val="-2"/>
          <w:szCs w:val="22"/>
        </w:rPr>
        <w:t>ü</w:t>
      </w:r>
      <w:r w:rsidR="00AA0C1A" w:rsidRPr="005F15DA">
        <w:rPr>
          <w:rFonts w:cs="Arial"/>
          <w:spacing w:val="-2"/>
          <w:szCs w:val="22"/>
        </w:rPr>
        <w:t>tergemeinschaft, Vollzug einer güterrechtlichen Auseinandersetzung (z.B. Gütertrennung, Ehescheidung), gesellschaftsrechtlich begründete Eigentumsübertragungen (z.B. Einbringen in eine Gesellschaft, Fusion)),</w:t>
      </w:r>
    </w:p>
    <w:p w:rsidR="00AA0C1A" w:rsidRPr="005F15DA" w:rsidRDefault="00AA0C1A" w:rsidP="009D34F3">
      <w:pPr>
        <w:pStyle w:val="Listenabsatz"/>
        <w:numPr>
          <w:ilvl w:val="0"/>
          <w:numId w:val="32"/>
        </w:numPr>
        <w:tabs>
          <w:tab w:val="left" w:pos="284"/>
        </w:tabs>
        <w:spacing w:line="240" w:lineRule="auto"/>
        <w:ind w:left="284" w:hanging="284"/>
        <w:jc w:val="both"/>
        <w:rPr>
          <w:rFonts w:cs="Arial"/>
          <w:spacing w:val="-2"/>
          <w:szCs w:val="22"/>
        </w:rPr>
      </w:pPr>
      <w:r w:rsidRPr="005F15DA">
        <w:rPr>
          <w:rFonts w:cs="Arial"/>
          <w:spacing w:val="-2"/>
          <w:szCs w:val="22"/>
        </w:rPr>
        <w:t>Rechtsgeschäfte, bei denen die Person des Erwerbers im Vordergrund steht und nicht der Empfang der Gegenleistung, bzw. Rechtsgeschäfte, die nur unter der speziellen Berücksic</w:t>
      </w:r>
      <w:r w:rsidRPr="005F15DA">
        <w:rPr>
          <w:rFonts w:cs="Arial"/>
          <w:spacing w:val="-2"/>
          <w:szCs w:val="22"/>
        </w:rPr>
        <w:t>h</w:t>
      </w:r>
      <w:r w:rsidRPr="005F15DA">
        <w:rPr>
          <w:rFonts w:cs="Arial"/>
          <w:spacing w:val="-2"/>
          <w:szCs w:val="22"/>
        </w:rPr>
        <w:t>tigung persönlicher Beziehungen abgeschlossen werden und mit einem Dritten nicht zum Tragen kämen (z.B. Schenkung, gemischte Schenkung, Erbrechtlich motivierte Veräuss</w:t>
      </w:r>
      <w:r w:rsidRPr="005F15DA">
        <w:rPr>
          <w:rFonts w:cs="Arial"/>
          <w:spacing w:val="-2"/>
          <w:szCs w:val="22"/>
        </w:rPr>
        <w:t>e</w:t>
      </w:r>
      <w:r w:rsidRPr="005F15DA">
        <w:rPr>
          <w:rFonts w:cs="Arial"/>
          <w:spacing w:val="-2"/>
          <w:szCs w:val="22"/>
        </w:rPr>
        <w:t>rungen (z.B. Abtretung auf Rechnung künftiger Erbschaft, echter Kindskauf, Verwandte</w:t>
      </w:r>
      <w:r w:rsidRPr="005F15DA">
        <w:rPr>
          <w:rFonts w:cs="Arial"/>
          <w:spacing w:val="-2"/>
          <w:szCs w:val="22"/>
        </w:rPr>
        <w:t>n</w:t>
      </w:r>
      <w:r w:rsidRPr="005F15DA">
        <w:rPr>
          <w:rFonts w:cs="Arial"/>
          <w:spacing w:val="-2"/>
          <w:szCs w:val="22"/>
        </w:rPr>
        <w:t>kauf), Ausrichtung eines Vermächtnisses, Grenzverbesserungen, Grenzbereinigungen),</w:t>
      </w:r>
    </w:p>
    <w:p w:rsidR="00AA0C1A" w:rsidRPr="005F15DA" w:rsidRDefault="00AA0C1A" w:rsidP="009D34F3">
      <w:pPr>
        <w:pStyle w:val="Listenabsatz"/>
        <w:numPr>
          <w:ilvl w:val="0"/>
          <w:numId w:val="32"/>
        </w:numPr>
        <w:tabs>
          <w:tab w:val="left" w:pos="284"/>
        </w:tabs>
        <w:spacing w:line="240" w:lineRule="auto"/>
        <w:ind w:left="284" w:hanging="284"/>
        <w:jc w:val="both"/>
        <w:rPr>
          <w:rFonts w:cs="Arial"/>
          <w:spacing w:val="-2"/>
          <w:szCs w:val="22"/>
        </w:rPr>
      </w:pPr>
      <w:r w:rsidRPr="005F15DA">
        <w:rPr>
          <w:rFonts w:cs="Arial"/>
          <w:spacing w:val="-2"/>
          <w:szCs w:val="22"/>
        </w:rPr>
        <w:t>Unfreiwillige Veräusserung (z.B. Enteignung),</w:t>
      </w:r>
    </w:p>
    <w:p w:rsidR="00AA0C1A" w:rsidRPr="005F15DA" w:rsidRDefault="00AA0C1A" w:rsidP="009D34F3">
      <w:pPr>
        <w:pStyle w:val="Listenabsatz"/>
        <w:numPr>
          <w:ilvl w:val="0"/>
          <w:numId w:val="32"/>
        </w:numPr>
        <w:tabs>
          <w:tab w:val="left" w:pos="284"/>
        </w:tabs>
        <w:spacing w:line="240" w:lineRule="auto"/>
        <w:ind w:left="284" w:hanging="284"/>
        <w:jc w:val="both"/>
        <w:rPr>
          <w:rFonts w:cs="Arial"/>
          <w:spacing w:val="-2"/>
          <w:szCs w:val="22"/>
        </w:rPr>
      </w:pPr>
      <w:r w:rsidRPr="005F15DA">
        <w:rPr>
          <w:rFonts w:cs="Arial"/>
          <w:spacing w:val="-2"/>
          <w:szCs w:val="22"/>
        </w:rPr>
        <w:lastRenderedPageBreak/>
        <w:t>Einräumung von Dienstbarkeiten (Nutzniessung, Wohnrecht, Baurecht sofern dieses keinen Umgehungstatbestand darstellt).</w:t>
      </w:r>
    </w:p>
    <w:p w:rsidR="00ED5466" w:rsidRDefault="00ED5466" w:rsidP="00861D85">
      <w:pPr>
        <w:tabs>
          <w:tab w:val="left" w:pos="284"/>
        </w:tabs>
        <w:spacing w:line="240" w:lineRule="auto"/>
        <w:jc w:val="both"/>
        <w:rPr>
          <w:rFonts w:cs="Arial"/>
          <w:spacing w:val="-2"/>
          <w:szCs w:val="22"/>
        </w:rPr>
      </w:pPr>
    </w:p>
    <w:p w:rsidR="00A4659C" w:rsidRPr="005F15DA" w:rsidRDefault="00AA0C1A" w:rsidP="00861D85">
      <w:pPr>
        <w:tabs>
          <w:tab w:val="left" w:pos="284"/>
        </w:tabs>
        <w:spacing w:line="240" w:lineRule="auto"/>
        <w:jc w:val="both"/>
        <w:rPr>
          <w:rFonts w:cs="Arial"/>
          <w:spacing w:val="-2"/>
          <w:szCs w:val="22"/>
        </w:rPr>
      </w:pPr>
      <w:r w:rsidRPr="005F15DA">
        <w:rPr>
          <w:rFonts w:cs="Arial"/>
          <w:spacing w:val="-2"/>
          <w:szCs w:val="22"/>
        </w:rPr>
        <w:t xml:space="preserve">Im Vorkaufsfall muss der Verkäufer den Vorkaufsberechtigten über den Abschluss und den Inhalt des Kaufvertrages in Kenntnis setzen (Art. 216d OR). </w:t>
      </w:r>
      <w:r w:rsidR="002A6825" w:rsidRPr="005F15DA">
        <w:rPr>
          <w:rFonts w:cs="Arial"/>
          <w:spacing w:val="-2"/>
          <w:szCs w:val="22"/>
        </w:rPr>
        <w:t xml:space="preserve">Der Berechtigte hat ab diesem Zeitpunkt drei Monate Zeit, sein Vorkaufsrecht auszuüben (Art. 216e OR). </w:t>
      </w:r>
    </w:p>
    <w:p w:rsidR="002A6825" w:rsidRPr="005F15DA" w:rsidRDefault="002A6825" w:rsidP="00861D85">
      <w:pPr>
        <w:tabs>
          <w:tab w:val="left" w:pos="284"/>
        </w:tabs>
        <w:spacing w:line="240" w:lineRule="auto"/>
        <w:jc w:val="both"/>
        <w:rPr>
          <w:rFonts w:cs="Arial"/>
          <w:spacing w:val="-2"/>
          <w:szCs w:val="22"/>
        </w:rPr>
      </w:pPr>
    </w:p>
    <w:p w:rsidR="002A6825" w:rsidRPr="005F15DA" w:rsidRDefault="002A6825" w:rsidP="00861D85">
      <w:pPr>
        <w:tabs>
          <w:tab w:val="left" w:pos="284"/>
        </w:tabs>
        <w:spacing w:line="240" w:lineRule="auto"/>
        <w:jc w:val="both"/>
        <w:rPr>
          <w:rFonts w:cs="Arial"/>
          <w:spacing w:val="-2"/>
          <w:szCs w:val="22"/>
        </w:rPr>
      </w:pPr>
      <w:r w:rsidRPr="005F15DA">
        <w:rPr>
          <w:rFonts w:cs="Arial"/>
          <w:spacing w:val="-2"/>
          <w:szCs w:val="22"/>
        </w:rPr>
        <w:t>Das Vorkaufsrecht geht unter:</w:t>
      </w:r>
    </w:p>
    <w:p w:rsidR="002A6825" w:rsidRPr="005F15DA" w:rsidRDefault="002A6825" w:rsidP="009D34F3">
      <w:pPr>
        <w:pStyle w:val="Listenabsatz"/>
        <w:numPr>
          <w:ilvl w:val="0"/>
          <w:numId w:val="33"/>
        </w:numPr>
        <w:tabs>
          <w:tab w:val="left" w:pos="284"/>
        </w:tabs>
        <w:spacing w:line="240" w:lineRule="auto"/>
        <w:ind w:left="284" w:hanging="284"/>
        <w:jc w:val="both"/>
        <w:rPr>
          <w:rFonts w:cs="Arial"/>
          <w:spacing w:val="-2"/>
          <w:szCs w:val="22"/>
        </w:rPr>
      </w:pPr>
      <w:r w:rsidRPr="005F15DA">
        <w:rPr>
          <w:rFonts w:cs="Arial"/>
          <w:spacing w:val="-2"/>
          <w:szCs w:val="22"/>
        </w:rPr>
        <w:t>mit der Ausübung,</w:t>
      </w:r>
    </w:p>
    <w:p w:rsidR="002A6825" w:rsidRPr="005F15DA" w:rsidRDefault="002A6825" w:rsidP="009D34F3">
      <w:pPr>
        <w:pStyle w:val="Listenabsatz"/>
        <w:numPr>
          <w:ilvl w:val="0"/>
          <w:numId w:val="33"/>
        </w:numPr>
        <w:tabs>
          <w:tab w:val="left" w:pos="284"/>
        </w:tabs>
        <w:spacing w:line="240" w:lineRule="auto"/>
        <w:ind w:left="284" w:hanging="284"/>
        <w:jc w:val="both"/>
        <w:rPr>
          <w:rFonts w:cs="Arial"/>
          <w:spacing w:val="-2"/>
          <w:szCs w:val="22"/>
        </w:rPr>
      </w:pPr>
      <w:r w:rsidRPr="005F15DA">
        <w:rPr>
          <w:rFonts w:cs="Arial"/>
          <w:spacing w:val="-2"/>
          <w:szCs w:val="22"/>
        </w:rPr>
        <w:t>durch Verzicht,</w:t>
      </w:r>
    </w:p>
    <w:p w:rsidR="002A6825" w:rsidRPr="005F15DA" w:rsidRDefault="002A6825" w:rsidP="009D34F3">
      <w:pPr>
        <w:pStyle w:val="Listenabsatz"/>
        <w:numPr>
          <w:ilvl w:val="0"/>
          <w:numId w:val="33"/>
        </w:numPr>
        <w:tabs>
          <w:tab w:val="left" w:pos="284"/>
        </w:tabs>
        <w:spacing w:line="240" w:lineRule="auto"/>
        <w:ind w:left="284" w:hanging="284"/>
        <w:jc w:val="both"/>
        <w:rPr>
          <w:rFonts w:cs="Arial"/>
          <w:spacing w:val="-2"/>
          <w:szCs w:val="22"/>
        </w:rPr>
      </w:pPr>
      <w:r w:rsidRPr="005F15DA">
        <w:rPr>
          <w:rFonts w:cs="Arial"/>
          <w:spacing w:val="-2"/>
          <w:szCs w:val="22"/>
        </w:rPr>
        <w:t>durch Ablauf der vereinbarten Dauer,</w:t>
      </w:r>
    </w:p>
    <w:p w:rsidR="002A6825" w:rsidRPr="005F15DA" w:rsidRDefault="002A6825" w:rsidP="009D34F3">
      <w:pPr>
        <w:pStyle w:val="Listenabsatz"/>
        <w:numPr>
          <w:ilvl w:val="0"/>
          <w:numId w:val="33"/>
        </w:numPr>
        <w:tabs>
          <w:tab w:val="left" w:pos="284"/>
        </w:tabs>
        <w:spacing w:line="240" w:lineRule="auto"/>
        <w:ind w:left="284" w:hanging="284"/>
        <w:jc w:val="both"/>
        <w:rPr>
          <w:rFonts w:cs="Arial"/>
          <w:spacing w:val="-2"/>
          <w:szCs w:val="22"/>
        </w:rPr>
      </w:pPr>
      <w:r w:rsidRPr="005F15DA">
        <w:rPr>
          <w:rFonts w:cs="Arial"/>
          <w:spacing w:val="-2"/>
          <w:szCs w:val="22"/>
        </w:rPr>
        <w:t>bei Unvererblichkeit mit dem Tod des Berechtigten,</w:t>
      </w:r>
    </w:p>
    <w:p w:rsidR="002A6825" w:rsidRPr="005F15DA" w:rsidRDefault="002A6825" w:rsidP="009D34F3">
      <w:pPr>
        <w:pStyle w:val="Listenabsatz"/>
        <w:numPr>
          <w:ilvl w:val="0"/>
          <w:numId w:val="33"/>
        </w:numPr>
        <w:tabs>
          <w:tab w:val="left" w:pos="284"/>
        </w:tabs>
        <w:spacing w:line="240" w:lineRule="auto"/>
        <w:ind w:left="284" w:hanging="284"/>
        <w:jc w:val="both"/>
        <w:rPr>
          <w:rFonts w:cs="Arial"/>
          <w:spacing w:val="-2"/>
          <w:szCs w:val="22"/>
        </w:rPr>
      </w:pPr>
      <w:r w:rsidRPr="005F15DA">
        <w:rPr>
          <w:rFonts w:cs="Arial"/>
          <w:spacing w:val="-2"/>
          <w:szCs w:val="22"/>
        </w:rPr>
        <w:t>bei Unübertragbarkeit mit dem Konkurs des Berechtigten,</w:t>
      </w:r>
    </w:p>
    <w:p w:rsidR="002A6825" w:rsidRPr="005F15DA" w:rsidRDefault="002A6825" w:rsidP="009D34F3">
      <w:pPr>
        <w:pStyle w:val="Listenabsatz"/>
        <w:numPr>
          <w:ilvl w:val="0"/>
          <w:numId w:val="33"/>
        </w:numPr>
        <w:tabs>
          <w:tab w:val="left" w:pos="284"/>
        </w:tabs>
        <w:spacing w:line="240" w:lineRule="auto"/>
        <w:ind w:left="284" w:hanging="284"/>
        <w:jc w:val="both"/>
        <w:rPr>
          <w:rFonts w:cs="Arial"/>
          <w:spacing w:val="-2"/>
          <w:szCs w:val="22"/>
        </w:rPr>
      </w:pPr>
      <w:r w:rsidRPr="005F15DA">
        <w:rPr>
          <w:rFonts w:cs="Arial"/>
          <w:spacing w:val="-2"/>
          <w:szCs w:val="22"/>
        </w:rPr>
        <w:t>mit der Nichtausübung innert der Frist von 3 Monaten (dies gilt aber nur für das nicht vorg</w:t>
      </w:r>
      <w:r w:rsidRPr="005F15DA">
        <w:rPr>
          <w:rFonts w:cs="Arial"/>
          <w:spacing w:val="-2"/>
          <w:szCs w:val="22"/>
        </w:rPr>
        <w:t>e</w:t>
      </w:r>
      <w:r w:rsidRPr="005F15DA">
        <w:rPr>
          <w:rFonts w:cs="Arial"/>
          <w:spacing w:val="-2"/>
          <w:szCs w:val="22"/>
        </w:rPr>
        <w:t>merkte Vorkaufsrecht; das vorgemerkte Vorkaufsrecht geht bei Nichtausübung nicht unter).</w:t>
      </w:r>
    </w:p>
    <w:p w:rsidR="00AA0C1A" w:rsidRPr="005F15DA" w:rsidRDefault="00AA0C1A" w:rsidP="00861D85">
      <w:pPr>
        <w:tabs>
          <w:tab w:val="left" w:pos="284"/>
        </w:tabs>
        <w:spacing w:line="240" w:lineRule="auto"/>
        <w:jc w:val="both"/>
        <w:rPr>
          <w:rFonts w:cs="Arial"/>
          <w:spacing w:val="-2"/>
          <w:szCs w:val="22"/>
        </w:rPr>
      </w:pPr>
    </w:p>
    <w:p w:rsidR="002A6825" w:rsidRPr="005F15DA" w:rsidRDefault="002A6825" w:rsidP="00861D85">
      <w:pPr>
        <w:tabs>
          <w:tab w:val="left" w:pos="284"/>
        </w:tabs>
        <w:spacing w:line="240" w:lineRule="auto"/>
        <w:jc w:val="both"/>
        <w:rPr>
          <w:rFonts w:cs="Arial"/>
          <w:spacing w:val="-2"/>
          <w:szCs w:val="22"/>
        </w:rPr>
      </w:pPr>
      <w:r w:rsidRPr="005F15DA">
        <w:rPr>
          <w:rFonts w:cs="Arial"/>
          <w:spacing w:val="-2"/>
          <w:szCs w:val="22"/>
        </w:rPr>
        <w:t xml:space="preserve">Der Vorkaufsrechtsvertrag kann so ausgestaltet werden, dass der Vorkaufsberechtigte bei der Ausübung nur noch die Ausübungserklärung abgeben muss. </w:t>
      </w:r>
      <w:r w:rsidR="00B430A4" w:rsidRPr="005F15DA">
        <w:rPr>
          <w:rFonts w:cs="Arial"/>
          <w:spacing w:val="-2"/>
          <w:szCs w:val="22"/>
        </w:rPr>
        <w:t>Beim limitierten Vorkaufsrecht müssen zusätzlich zu den Bedingungen des Vorkaufsrechts auch der Preis bei der Ausübung sowie die weiteren für den Kaufvertrag notwendigen Bestimmungen vereinbart werden; dem Grundbuchamt werden in diesem Fall die Grundbuchanmeldung, der Vorkaufsrechtsvertrag (falls das VKR nicht vorgemerkt wurde), die Ausübungserklärung des Berechtigten und die Ei</w:t>
      </w:r>
      <w:r w:rsidR="00B430A4" w:rsidRPr="005F15DA">
        <w:rPr>
          <w:rFonts w:cs="Arial"/>
          <w:spacing w:val="-2"/>
          <w:szCs w:val="22"/>
        </w:rPr>
        <w:t>n</w:t>
      </w:r>
      <w:r w:rsidR="00B430A4" w:rsidRPr="005F15DA">
        <w:rPr>
          <w:rFonts w:cs="Arial"/>
          <w:spacing w:val="-2"/>
          <w:szCs w:val="22"/>
        </w:rPr>
        <w:t>tragungsbewilligung des Belasteten zugestellt (siehe MUSA Nrn. 632.1 und 632.2 des VbN).</w:t>
      </w:r>
    </w:p>
    <w:p w:rsidR="00A1007A" w:rsidRPr="005F15DA" w:rsidRDefault="00A1007A" w:rsidP="00861D85">
      <w:pPr>
        <w:spacing w:line="240" w:lineRule="auto"/>
        <w:jc w:val="both"/>
        <w:rPr>
          <w:rFonts w:cs="Arial"/>
          <w:szCs w:val="22"/>
        </w:rPr>
      </w:pPr>
    </w:p>
    <w:p w:rsidR="00A1007A" w:rsidRPr="005F15DA" w:rsidRDefault="00A1007A" w:rsidP="00861D85">
      <w:pPr>
        <w:spacing w:line="240" w:lineRule="auto"/>
        <w:jc w:val="both"/>
        <w:rPr>
          <w:rFonts w:cs="Arial"/>
          <w:szCs w:val="22"/>
        </w:rPr>
      </w:pPr>
    </w:p>
    <w:p w:rsidR="00A1007A" w:rsidRPr="005F15DA" w:rsidRDefault="00A1007A" w:rsidP="00861D85">
      <w:pPr>
        <w:spacing w:line="240" w:lineRule="auto"/>
        <w:jc w:val="both"/>
        <w:rPr>
          <w:rFonts w:cs="Arial"/>
          <w:szCs w:val="22"/>
        </w:rPr>
      </w:pPr>
    </w:p>
    <w:p w:rsidR="00A1007A" w:rsidRPr="005F15DA" w:rsidRDefault="00A1007A" w:rsidP="00861D85">
      <w:pPr>
        <w:spacing w:line="240" w:lineRule="auto"/>
        <w:jc w:val="both"/>
        <w:rPr>
          <w:rFonts w:cs="Arial"/>
          <w:szCs w:val="22"/>
        </w:rPr>
      </w:pPr>
    </w:p>
    <w:p w:rsidR="00A1007A" w:rsidRPr="005F15DA" w:rsidRDefault="00A1007A" w:rsidP="00E36E8F">
      <w:pPr>
        <w:pStyle w:val="berschrift2"/>
      </w:pPr>
      <w:bookmarkStart w:id="177" w:name="_Toc432175697"/>
      <w:r w:rsidRPr="005F15DA">
        <w:t>XI</w:t>
      </w:r>
      <w:r w:rsidR="00166E29" w:rsidRPr="005F15DA">
        <w:t>V</w:t>
      </w:r>
      <w:r w:rsidRPr="005F15DA">
        <w:t>. Parzellierung von Grundstücken</w:t>
      </w:r>
      <w:bookmarkEnd w:id="177"/>
    </w:p>
    <w:p w:rsidR="00E90D39" w:rsidRPr="005F15DA" w:rsidRDefault="00E90D39" w:rsidP="00E90D39">
      <w:r w:rsidRPr="005F15DA">
        <w:t>______________________________________________</w:t>
      </w:r>
      <w:r w:rsidR="00207DC6">
        <w:t>_</w:t>
      </w:r>
    </w:p>
    <w:p w:rsidR="00A1007A" w:rsidRPr="005F15DA" w:rsidRDefault="00A1007A" w:rsidP="00861D85">
      <w:pPr>
        <w:spacing w:line="240" w:lineRule="auto"/>
        <w:jc w:val="both"/>
        <w:rPr>
          <w:rFonts w:cs="Arial"/>
          <w:szCs w:val="22"/>
        </w:rPr>
      </w:pPr>
    </w:p>
    <w:p w:rsidR="00A1007A" w:rsidRPr="005F15DA" w:rsidRDefault="00A1007A" w:rsidP="00861D85">
      <w:pPr>
        <w:spacing w:line="240" w:lineRule="auto"/>
        <w:jc w:val="both"/>
        <w:rPr>
          <w:rFonts w:cs="Arial"/>
          <w:spacing w:val="-2"/>
          <w:szCs w:val="22"/>
        </w:rPr>
      </w:pPr>
      <w:r w:rsidRPr="005F15DA">
        <w:rPr>
          <w:rFonts w:cs="Arial"/>
          <w:spacing w:val="-2"/>
          <w:szCs w:val="22"/>
        </w:rPr>
        <w:t>Eine Parzellierung ist eine Änderung am Grenzverlauf eines Grundstückes, indem entweder ein Grundstück aufgeteilt, zwei Nachbargrundstücke vereinigt oder ein Teil von einem Grundstück abgetrennt und mit einem Nachbargrundstück vereinigt wird.</w:t>
      </w:r>
    </w:p>
    <w:p w:rsidR="00A1007A" w:rsidRPr="005F15DA" w:rsidRDefault="00A1007A" w:rsidP="00861D85">
      <w:pPr>
        <w:spacing w:line="240" w:lineRule="auto"/>
        <w:jc w:val="both"/>
        <w:rPr>
          <w:rFonts w:cs="Arial"/>
          <w:spacing w:val="-2"/>
          <w:szCs w:val="22"/>
        </w:rPr>
      </w:pPr>
    </w:p>
    <w:p w:rsidR="00A1007A" w:rsidRPr="005F15DA" w:rsidRDefault="00A1007A" w:rsidP="00861D85">
      <w:pPr>
        <w:spacing w:line="240" w:lineRule="auto"/>
        <w:jc w:val="both"/>
        <w:rPr>
          <w:rFonts w:cs="Arial"/>
          <w:spacing w:val="-2"/>
          <w:szCs w:val="22"/>
        </w:rPr>
      </w:pPr>
      <w:r w:rsidRPr="005F15DA">
        <w:rPr>
          <w:rFonts w:cs="Arial"/>
          <w:spacing w:val="-2"/>
          <w:szCs w:val="22"/>
        </w:rPr>
        <w:t xml:space="preserve">Sofern sich die beteiligten Grundstücke alle im Eigentum derselben Person befinden, genügt einfache Schriftlichkeit, ist mit der Parzellierung eine Handänderung verbunden, ist öffentliche Beurkundung notwendig. </w:t>
      </w:r>
    </w:p>
    <w:p w:rsidR="00A1007A" w:rsidRPr="005F15DA" w:rsidRDefault="00A1007A" w:rsidP="00861D85">
      <w:pPr>
        <w:spacing w:line="240" w:lineRule="auto"/>
        <w:jc w:val="both"/>
        <w:rPr>
          <w:rFonts w:cs="Arial"/>
          <w:spacing w:val="-2"/>
          <w:szCs w:val="22"/>
        </w:rPr>
      </w:pPr>
    </w:p>
    <w:p w:rsidR="00A1007A" w:rsidRPr="005F15DA" w:rsidRDefault="00A1007A" w:rsidP="00861D85">
      <w:pPr>
        <w:spacing w:line="240" w:lineRule="auto"/>
        <w:jc w:val="both"/>
        <w:rPr>
          <w:rFonts w:cs="Arial"/>
          <w:spacing w:val="-2"/>
          <w:szCs w:val="22"/>
        </w:rPr>
      </w:pPr>
      <w:r w:rsidRPr="005F15DA">
        <w:rPr>
          <w:rFonts w:cs="Arial"/>
          <w:spacing w:val="-2"/>
          <w:szCs w:val="22"/>
        </w:rPr>
        <w:t>Die Änderung von Grundstückgrenzen muss vom zuständigen Geometer vorgenommen we</w:t>
      </w:r>
      <w:r w:rsidRPr="005F15DA">
        <w:rPr>
          <w:rFonts w:cs="Arial"/>
          <w:spacing w:val="-2"/>
          <w:szCs w:val="22"/>
        </w:rPr>
        <w:t>r</w:t>
      </w:r>
      <w:r w:rsidRPr="005F15DA">
        <w:rPr>
          <w:rFonts w:cs="Arial"/>
          <w:spacing w:val="-2"/>
          <w:szCs w:val="22"/>
        </w:rPr>
        <w:t>den. Dieser stellt dem Notar auf entsprechenden Auftrag hin die Messurkunde und den daz</w:t>
      </w:r>
      <w:r w:rsidRPr="005F15DA">
        <w:rPr>
          <w:rFonts w:cs="Arial"/>
          <w:spacing w:val="-2"/>
          <w:szCs w:val="22"/>
        </w:rPr>
        <w:t>u</w:t>
      </w:r>
      <w:r w:rsidRPr="005F15DA">
        <w:rPr>
          <w:rFonts w:cs="Arial"/>
          <w:spacing w:val="-2"/>
          <w:szCs w:val="22"/>
        </w:rPr>
        <w:t>gehörigen Situationsplan zu. Diese Messakten sind von den Parteien zu unterzeichnen und im Original beim Grundbuchamt abzugeben; ein Situationsplan wird (meist im Original) als Beilage zur Urschrift auf</w:t>
      </w:r>
      <w:r w:rsidR="00CE5056" w:rsidRPr="005F15DA">
        <w:rPr>
          <w:rFonts w:cs="Arial"/>
          <w:spacing w:val="-2"/>
          <w:szCs w:val="22"/>
        </w:rPr>
        <w:t>bewahrt.</w:t>
      </w:r>
    </w:p>
    <w:p w:rsidR="00CE5056" w:rsidRPr="005F15DA" w:rsidRDefault="00CE5056" w:rsidP="00861D85">
      <w:pPr>
        <w:spacing w:line="240" w:lineRule="auto"/>
        <w:jc w:val="both"/>
        <w:rPr>
          <w:rFonts w:cs="Arial"/>
          <w:spacing w:val="-2"/>
          <w:szCs w:val="22"/>
        </w:rPr>
      </w:pPr>
    </w:p>
    <w:p w:rsidR="00A1007A" w:rsidRPr="005F15DA" w:rsidRDefault="00A1007A" w:rsidP="00861D85">
      <w:pPr>
        <w:spacing w:line="240" w:lineRule="auto"/>
        <w:jc w:val="both"/>
        <w:rPr>
          <w:rFonts w:cs="Arial"/>
          <w:spacing w:val="-2"/>
          <w:szCs w:val="22"/>
        </w:rPr>
      </w:pPr>
      <w:r w:rsidRPr="005F15DA">
        <w:rPr>
          <w:rFonts w:cs="Arial"/>
          <w:spacing w:val="-2"/>
          <w:szCs w:val="22"/>
        </w:rPr>
        <w:t xml:space="preserve">Bei einer Parzellierung sind </w:t>
      </w:r>
      <w:r w:rsidRPr="005F15DA">
        <w:rPr>
          <w:rFonts w:cs="Arial"/>
          <w:b/>
          <w:spacing w:val="-2"/>
          <w:szCs w:val="22"/>
        </w:rPr>
        <w:t>alle Einschreibungen im Grundbuch einzeln zu bereinigen</w:t>
      </w:r>
      <w:r w:rsidRPr="005F15DA">
        <w:rPr>
          <w:rFonts w:cs="Arial"/>
          <w:spacing w:val="-2"/>
          <w:szCs w:val="22"/>
        </w:rPr>
        <w:t>, d.h. es muss festgestellt und beantragt werden, welche Rechte und Lasten die bisherigen bzw. ne</w:t>
      </w:r>
      <w:r w:rsidRPr="005F15DA">
        <w:rPr>
          <w:rFonts w:cs="Arial"/>
          <w:spacing w:val="-2"/>
          <w:szCs w:val="22"/>
        </w:rPr>
        <w:t>u</w:t>
      </w:r>
      <w:r w:rsidRPr="005F15DA">
        <w:rPr>
          <w:rFonts w:cs="Arial"/>
          <w:spacing w:val="-2"/>
          <w:szCs w:val="22"/>
        </w:rPr>
        <w:t xml:space="preserve">en Grundstücke </w:t>
      </w:r>
      <w:proofErr w:type="gramStart"/>
      <w:r w:rsidRPr="005F15DA">
        <w:rPr>
          <w:rFonts w:cs="Arial"/>
          <w:spacing w:val="-2"/>
          <w:szCs w:val="22"/>
        </w:rPr>
        <w:t>betreffen</w:t>
      </w:r>
      <w:r w:rsidR="00AB2ADE" w:rsidRPr="005F15DA">
        <w:rPr>
          <w:rFonts w:cs="Arial"/>
          <w:spacing w:val="-2"/>
          <w:szCs w:val="22"/>
        </w:rPr>
        <w:t xml:space="preserve"> </w:t>
      </w:r>
      <w:r w:rsidRPr="005F15DA">
        <w:rPr>
          <w:rFonts w:cs="Arial"/>
          <w:spacing w:val="-2"/>
          <w:szCs w:val="22"/>
        </w:rPr>
        <w:t>.</w:t>
      </w:r>
      <w:proofErr w:type="gramEnd"/>
    </w:p>
    <w:p w:rsidR="00A1007A" w:rsidRPr="005F15DA" w:rsidRDefault="00A1007A" w:rsidP="00861D85">
      <w:pPr>
        <w:tabs>
          <w:tab w:val="left" w:pos="426"/>
        </w:tabs>
        <w:spacing w:line="240" w:lineRule="auto"/>
        <w:jc w:val="both"/>
        <w:rPr>
          <w:rFonts w:cs="Arial"/>
          <w:spacing w:val="-2"/>
          <w:szCs w:val="22"/>
        </w:rPr>
      </w:pPr>
      <w:r w:rsidRPr="005F15DA">
        <w:rPr>
          <w:rFonts w:cs="Arial"/>
          <w:spacing w:val="-2"/>
          <w:szCs w:val="22"/>
        </w:rPr>
        <w:t>-</w:t>
      </w:r>
      <w:r w:rsidRPr="005F15DA">
        <w:rPr>
          <w:rFonts w:cs="Arial"/>
          <w:spacing w:val="-2"/>
          <w:szCs w:val="22"/>
        </w:rPr>
        <w:tab/>
      </w:r>
      <w:r w:rsidRPr="005F15DA">
        <w:rPr>
          <w:rFonts w:cs="Arial"/>
          <w:spacing w:val="-2"/>
          <w:szCs w:val="22"/>
          <w:u w:val="single"/>
        </w:rPr>
        <w:t>Bereinigung von Dienstbarkeiten und Grundlasten</w:t>
      </w:r>
      <w:r w:rsidRPr="005F15DA">
        <w:rPr>
          <w:rFonts w:cs="Arial"/>
          <w:spacing w:val="-2"/>
          <w:szCs w:val="22"/>
        </w:rPr>
        <w:t>:</w:t>
      </w:r>
    </w:p>
    <w:p w:rsidR="00A1007A" w:rsidRPr="005F15DA" w:rsidRDefault="00A1007A" w:rsidP="00861D85">
      <w:pPr>
        <w:tabs>
          <w:tab w:val="left" w:pos="426"/>
        </w:tabs>
        <w:spacing w:line="240" w:lineRule="auto"/>
        <w:ind w:left="425"/>
        <w:jc w:val="both"/>
        <w:rPr>
          <w:rFonts w:cs="Arial"/>
          <w:spacing w:val="-2"/>
          <w:szCs w:val="22"/>
        </w:rPr>
      </w:pPr>
      <w:r w:rsidRPr="005F15DA">
        <w:rPr>
          <w:rFonts w:cs="Arial"/>
          <w:spacing w:val="-2"/>
          <w:szCs w:val="22"/>
        </w:rPr>
        <w:t>Lasten: In der Regel besteht eine Last bei der Teilung eines Grundstückes auf allen Teilen weiter. Wenn eine Last auf einzelnen durch die Parzellierung entstehenden Grundstücken oder Grundstückteilen nicht ruht oder nach den Umständen, insbesondere der örtlichen Lage, nicht ruhen kann, ist der Eigentümer eines nicht belasteten Teiles berechtigt, zu ve</w:t>
      </w:r>
      <w:r w:rsidRPr="005F15DA">
        <w:rPr>
          <w:rFonts w:cs="Arial"/>
          <w:spacing w:val="-2"/>
          <w:szCs w:val="22"/>
        </w:rPr>
        <w:t>r</w:t>
      </w:r>
      <w:r w:rsidRPr="005F15DA">
        <w:rPr>
          <w:rFonts w:cs="Arial"/>
          <w:spacing w:val="-2"/>
          <w:szCs w:val="22"/>
        </w:rPr>
        <w:lastRenderedPageBreak/>
        <w:t>langen, dass die Last auf diesem Teil gelöscht wird (Art. 74</w:t>
      </w:r>
      <w:r w:rsidR="00AB2ADE" w:rsidRPr="005F15DA">
        <w:rPr>
          <w:rFonts w:cs="Arial"/>
          <w:spacing w:val="-2"/>
          <w:szCs w:val="22"/>
        </w:rPr>
        <w:t>3</w:t>
      </w:r>
      <w:r w:rsidRPr="005F15DA">
        <w:rPr>
          <w:rFonts w:cs="Arial"/>
          <w:spacing w:val="-2"/>
          <w:szCs w:val="22"/>
        </w:rPr>
        <w:t xml:space="preserve"> </w:t>
      </w:r>
      <w:r w:rsidR="00AB2ADE" w:rsidRPr="005F15DA">
        <w:rPr>
          <w:rFonts w:cs="Arial"/>
          <w:spacing w:val="-2"/>
          <w:szCs w:val="22"/>
        </w:rPr>
        <w:t xml:space="preserve">und 974a </w:t>
      </w:r>
      <w:r w:rsidRPr="005F15DA">
        <w:rPr>
          <w:rFonts w:cs="Arial"/>
          <w:spacing w:val="-2"/>
          <w:szCs w:val="22"/>
        </w:rPr>
        <w:t>ZGB</w:t>
      </w:r>
      <w:r w:rsidR="00AB2ADE" w:rsidRPr="005F15DA">
        <w:rPr>
          <w:rFonts w:cs="Arial"/>
          <w:spacing w:val="-2"/>
          <w:szCs w:val="22"/>
        </w:rPr>
        <w:t xml:space="preserve"> sowie Art. 154 GBV)</w:t>
      </w:r>
      <w:r w:rsidRPr="005F15DA">
        <w:rPr>
          <w:rFonts w:cs="Arial"/>
          <w:spacing w:val="-2"/>
          <w:szCs w:val="22"/>
        </w:rPr>
        <w:t xml:space="preserve">. </w:t>
      </w:r>
    </w:p>
    <w:p w:rsidR="00A1007A" w:rsidRPr="005F15DA" w:rsidRDefault="00A1007A" w:rsidP="00861D85">
      <w:pPr>
        <w:tabs>
          <w:tab w:val="left" w:pos="426"/>
        </w:tabs>
        <w:spacing w:line="240" w:lineRule="auto"/>
        <w:ind w:left="425"/>
        <w:jc w:val="both"/>
        <w:rPr>
          <w:rFonts w:cs="Arial"/>
          <w:spacing w:val="-2"/>
          <w:szCs w:val="22"/>
        </w:rPr>
      </w:pPr>
      <w:r w:rsidRPr="005F15DA">
        <w:rPr>
          <w:rFonts w:cs="Arial"/>
          <w:spacing w:val="-2"/>
          <w:szCs w:val="22"/>
        </w:rPr>
        <w:t>Rechte: Wird das berechtigte Grundstück geteilt, so besteht die Dienstbarkeit, sofern die Ausübung nicht auf einen Teil beschränkt ist, zugunsten aller Teile weiter. Die Übertragung der Dienstbarkeit bei einer Grundstückvereinigung oder eine Zuschreibung eines Teils zu einem andern Grundstück kann jedoch nur erfolgen, wenn entweder die Eigentümer der belasteten Grundstücke dazu einwilligen oder wenn durch die Vereinigung keine Vergrö</w:t>
      </w:r>
      <w:r w:rsidRPr="005F15DA">
        <w:rPr>
          <w:rFonts w:cs="Arial"/>
          <w:spacing w:val="-2"/>
          <w:szCs w:val="22"/>
        </w:rPr>
        <w:t>s</w:t>
      </w:r>
      <w:r w:rsidRPr="005F15DA">
        <w:rPr>
          <w:rFonts w:cs="Arial"/>
          <w:spacing w:val="-2"/>
          <w:szCs w:val="22"/>
        </w:rPr>
        <w:t>serung der Belastung eintritt. Im Zweifelsfalle ist bei den Eigentümern von belasteten Grundstücken die Zustimmungserklärung einzuholen; die Unterschriften sind zu beglaub</w:t>
      </w:r>
      <w:r w:rsidRPr="005F15DA">
        <w:rPr>
          <w:rFonts w:cs="Arial"/>
          <w:spacing w:val="-2"/>
          <w:szCs w:val="22"/>
        </w:rPr>
        <w:t>i</w:t>
      </w:r>
      <w:r w:rsidRPr="005F15DA">
        <w:rPr>
          <w:rFonts w:cs="Arial"/>
          <w:spacing w:val="-2"/>
          <w:szCs w:val="22"/>
        </w:rPr>
        <w:t>gen.</w:t>
      </w:r>
    </w:p>
    <w:p w:rsidR="00A1007A" w:rsidRPr="005F15DA" w:rsidRDefault="00A1007A" w:rsidP="00861D85">
      <w:pPr>
        <w:tabs>
          <w:tab w:val="left" w:pos="426"/>
        </w:tabs>
        <w:spacing w:line="240" w:lineRule="auto"/>
        <w:jc w:val="both"/>
        <w:rPr>
          <w:rFonts w:cs="Arial"/>
          <w:spacing w:val="-2"/>
          <w:szCs w:val="22"/>
        </w:rPr>
      </w:pPr>
      <w:r w:rsidRPr="005F15DA">
        <w:rPr>
          <w:rFonts w:cs="Arial"/>
          <w:spacing w:val="-2"/>
          <w:szCs w:val="22"/>
        </w:rPr>
        <w:t>-</w:t>
      </w:r>
      <w:r w:rsidRPr="005F15DA">
        <w:rPr>
          <w:rFonts w:cs="Arial"/>
          <w:spacing w:val="-2"/>
          <w:szCs w:val="22"/>
        </w:rPr>
        <w:tab/>
      </w:r>
      <w:r w:rsidRPr="005F15DA">
        <w:rPr>
          <w:rFonts w:cs="Arial"/>
          <w:spacing w:val="-2"/>
          <w:szCs w:val="22"/>
          <w:u w:val="single"/>
        </w:rPr>
        <w:t>Bereinigung von Grundpfandrechten</w:t>
      </w:r>
      <w:r w:rsidRPr="005F15DA">
        <w:rPr>
          <w:rFonts w:cs="Arial"/>
          <w:spacing w:val="-2"/>
          <w:szCs w:val="22"/>
        </w:rPr>
        <w:t>:</w:t>
      </w:r>
    </w:p>
    <w:p w:rsidR="00A1007A" w:rsidRPr="005F15DA" w:rsidRDefault="00A1007A" w:rsidP="00861D85">
      <w:pPr>
        <w:tabs>
          <w:tab w:val="left" w:pos="426"/>
        </w:tabs>
        <w:spacing w:line="240" w:lineRule="auto"/>
        <w:ind w:left="425"/>
        <w:jc w:val="both"/>
        <w:rPr>
          <w:rFonts w:cs="Arial"/>
          <w:spacing w:val="-2"/>
          <w:szCs w:val="22"/>
        </w:rPr>
      </w:pPr>
      <w:r w:rsidRPr="005F15DA">
        <w:rPr>
          <w:rFonts w:cs="Arial"/>
          <w:spacing w:val="-2"/>
          <w:szCs w:val="22"/>
        </w:rPr>
        <w:t>Wenn die von einem Grundstück abgehenden Teilstücke aus der Pfandhaft der darauf la</w:t>
      </w:r>
      <w:r w:rsidRPr="005F15DA">
        <w:rPr>
          <w:rFonts w:cs="Arial"/>
          <w:spacing w:val="-2"/>
          <w:szCs w:val="22"/>
        </w:rPr>
        <w:t>s</w:t>
      </w:r>
      <w:r w:rsidRPr="005F15DA">
        <w:rPr>
          <w:rFonts w:cs="Arial"/>
          <w:spacing w:val="-2"/>
          <w:szCs w:val="22"/>
        </w:rPr>
        <w:t xml:space="preserve">tenden Grundpfandrechte entlassen werden, spricht man von einer Pfandentlassung. Zu beachten gilt, dass der Grundpfandgläubiger der Pfandentlassung zustimmen muss. </w:t>
      </w:r>
    </w:p>
    <w:p w:rsidR="00A1007A" w:rsidRPr="005F15DA" w:rsidRDefault="00A1007A" w:rsidP="00861D85">
      <w:pPr>
        <w:tabs>
          <w:tab w:val="left" w:pos="426"/>
        </w:tabs>
        <w:spacing w:line="240" w:lineRule="auto"/>
        <w:ind w:left="425"/>
        <w:jc w:val="both"/>
        <w:rPr>
          <w:rFonts w:cs="Arial"/>
          <w:spacing w:val="-2"/>
          <w:szCs w:val="22"/>
        </w:rPr>
      </w:pPr>
      <w:r w:rsidRPr="005F15DA">
        <w:rPr>
          <w:rFonts w:cs="Arial"/>
          <w:spacing w:val="-2"/>
          <w:szCs w:val="22"/>
        </w:rPr>
        <w:t>Wenn ein Grundstück oder ein Teil davon mit einem anderen Grundstück vereinigt wird und die Pfandhaft der auf dem vergrösserten Grundstück lastenden Schuldbriefe des vergrö</w:t>
      </w:r>
      <w:r w:rsidRPr="005F15DA">
        <w:rPr>
          <w:rFonts w:cs="Arial"/>
          <w:spacing w:val="-2"/>
          <w:szCs w:val="22"/>
        </w:rPr>
        <w:t>s</w:t>
      </w:r>
      <w:r w:rsidRPr="005F15DA">
        <w:rPr>
          <w:rFonts w:cs="Arial"/>
          <w:spacing w:val="-2"/>
          <w:szCs w:val="22"/>
        </w:rPr>
        <w:t>serten Grundstückes auf die hinzukommende Fläche ausgedehnt wird, spricht man von e</w:t>
      </w:r>
      <w:r w:rsidRPr="005F15DA">
        <w:rPr>
          <w:rFonts w:cs="Arial"/>
          <w:spacing w:val="-2"/>
          <w:szCs w:val="22"/>
        </w:rPr>
        <w:t>i</w:t>
      </w:r>
      <w:r w:rsidRPr="005F15DA">
        <w:rPr>
          <w:rFonts w:cs="Arial"/>
          <w:spacing w:val="-2"/>
          <w:szCs w:val="22"/>
        </w:rPr>
        <w:t>ner Pfandausdehnung, bzw. wenn ein ganzes Grundstück hinzugefügt wird, von einer Pfandeinsetzung. Die Zustimmung der Grundpfandgläubiger ist in diesen Fällen nicht no</w:t>
      </w:r>
      <w:r w:rsidRPr="005F15DA">
        <w:rPr>
          <w:rFonts w:cs="Arial"/>
          <w:spacing w:val="-2"/>
          <w:szCs w:val="22"/>
        </w:rPr>
        <w:t>t</w:t>
      </w:r>
      <w:r w:rsidRPr="005F15DA">
        <w:rPr>
          <w:rFonts w:cs="Arial"/>
          <w:spacing w:val="-2"/>
          <w:szCs w:val="22"/>
        </w:rPr>
        <w:t xml:space="preserve">wendig, weil sie zusätzliches Haftungssubstrat erhalten, also besser gestellt werden. </w:t>
      </w:r>
    </w:p>
    <w:p w:rsidR="00A1007A" w:rsidRPr="005F15DA" w:rsidRDefault="00A1007A" w:rsidP="00861D85">
      <w:pPr>
        <w:tabs>
          <w:tab w:val="left" w:pos="426"/>
        </w:tabs>
        <w:spacing w:line="240" w:lineRule="auto"/>
        <w:ind w:left="425"/>
        <w:jc w:val="both"/>
        <w:rPr>
          <w:rFonts w:cs="Arial"/>
          <w:spacing w:val="-2"/>
          <w:szCs w:val="22"/>
        </w:rPr>
      </w:pPr>
      <w:r w:rsidRPr="005F15DA">
        <w:rPr>
          <w:rFonts w:cs="Arial"/>
          <w:spacing w:val="-2"/>
          <w:szCs w:val="22"/>
        </w:rPr>
        <w:t xml:space="preserve">Werden zwei mit verschiedenen Pfandrechten belastete Grundstücke vereinigt, müssen die Pfandrechte neu geordnet werden, d.h. dem Grundbuchamt </w:t>
      </w:r>
      <w:proofErr w:type="gramStart"/>
      <w:r w:rsidRPr="005F15DA">
        <w:rPr>
          <w:rFonts w:cs="Arial"/>
          <w:spacing w:val="-2"/>
          <w:szCs w:val="22"/>
        </w:rPr>
        <w:t>ist</w:t>
      </w:r>
      <w:proofErr w:type="gramEnd"/>
      <w:r w:rsidRPr="005F15DA">
        <w:rPr>
          <w:rFonts w:cs="Arial"/>
          <w:spacing w:val="-2"/>
          <w:szCs w:val="22"/>
        </w:rPr>
        <w:t xml:space="preserve"> anzugeben, welches Pfan</w:t>
      </w:r>
      <w:r w:rsidRPr="005F15DA">
        <w:rPr>
          <w:rFonts w:cs="Arial"/>
          <w:spacing w:val="-2"/>
          <w:szCs w:val="22"/>
        </w:rPr>
        <w:t>d</w:t>
      </w:r>
      <w:r w:rsidRPr="005F15DA">
        <w:rPr>
          <w:rFonts w:cs="Arial"/>
          <w:spacing w:val="-2"/>
          <w:szCs w:val="22"/>
        </w:rPr>
        <w:t xml:space="preserve">recht neu in welchem Rang lastet. Hier bedarf es grundsätzlich ebenfalls der Zustimmung der Grundpfandgläubiger. </w:t>
      </w:r>
    </w:p>
    <w:p w:rsidR="00A1007A" w:rsidRPr="005F15DA" w:rsidRDefault="00A1007A" w:rsidP="00861D85">
      <w:pPr>
        <w:tabs>
          <w:tab w:val="left" w:pos="426"/>
        </w:tabs>
        <w:spacing w:line="240" w:lineRule="auto"/>
        <w:jc w:val="both"/>
        <w:rPr>
          <w:rFonts w:cs="Arial"/>
          <w:spacing w:val="-2"/>
          <w:szCs w:val="22"/>
        </w:rPr>
      </w:pPr>
      <w:r w:rsidRPr="005F15DA">
        <w:rPr>
          <w:rFonts w:cs="Arial"/>
          <w:spacing w:val="-2"/>
          <w:szCs w:val="22"/>
        </w:rPr>
        <w:t>-</w:t>
      </w:r>
      <w:r w:rsidRPr="005F15DA">
        <w:rPr>
          <w:rFonts w:cs="Arial"/>
          <w:spacing w:val="-2"/>
          <w:szCs w:val="22"/>
        </w:rPr>
        <w:tab/>
      </w:r>
      <w:r w:rsidRPr="005F15DA">
        <w:rPr>
          <w:rFonts w:cs="Arial"/>
          <w:spacing w:val="-2"/>
          <w:szCs w:val="22"/>
          <w:u w:val="single"/>
        </w:rPr>
        <w:t>Bereinigung von Anmerkungen und Vormerkungen</w:t>
      </w:r>
      <w:r w:rsidRPr="005F15DA">
        <w:rPr>
          <w:rFonts w:cs="Arial"/>
          <w:spacing w:val="-2"/>
          <w:szCs w:val="22"/>
        </w:rPr>
        <w:t>:</w:t>
      </w:r>
    </w:p>
    <w:p w:rsidR="00A1007A" w:rsidRPr="005F15DA" w:rsidRDefault="00A1007A" w:rsidP="00861D85">
      <w:pPr>
        <w:tabs>
          <w:tab w:val="left" w:pos="426"/>
        </w:tabs>
        <w:spacing w:line="240" w:lineRule="auto"/>
        <w:ind w:left="425"/>
        <w:jc w:val="both"/>
        <w:rPr>
          <w:rFonts w:cs="Arial"/>
          <w:spacing w:val="-2"/>
          <w:szCs w:val="22"/>
        </w:rPr>
      </w:pPr>
      <w:r w:rsidRPr="005F15DA">
        <w:rPr>
          <w:rFonts w:cs="Arial"/>
          <w:spacing w:val="-2"/>
          <w:szCs w:val="22"/>
        </w:rPr>
        <w:t xml:space="preserve">Auch Anmerkungen und Vormerkungen bestehen in der Regel bei der Teilung eines Grundstückes auf allen Teilen weiter. Betrifft eine Anmerkung oder eine Vormerkung ein Teilstück nicht, kann beantragt werden, dass sie nicht übertragen bzw. gelöscht wird. </w:t>
      </w:r>
    </w:p>
    <w:p w:rsidR="00F11B70" w:rsidRPr="005F15DA" w:rsidRDefault="00F11B70" w:rsidP="00861D85">
      <w:pPr>
        <w:spacing w:line="240" w:lineRule="auto"/>
        <w:jc w:val="both"/>
        <w:rPr>
          <w:rFonts w:cs="Arial"/>
          <w:szCs w:val="22"/>
        </w:rPr>
      </w:pPr>
    </w:p>
    <w:p w:rsidR="00A1007A" w:rsidRPr="005F15DA" w:rsidRDefault="00A1007A" w:rsidP="00861D85">
      <w:pPr>
        <w:spacing w:line="240" w:lineRule="auto"/>
        <w:jc w:val="both"/>
        <w:rPr>
          <w:rFonts w:cs="Arial"/>
          <w:szCs w:val="22"/>
        </w:rPr>
      </w:pPr>
    </w:p>
    <w:p w:rsidR="003332A6" w:rsidRPr="005F15DA" w:rsidRDefault="003332A6" w:rsidP="00861D85">
      <w:pPr>
        <w:spacing w:line="240" w:lineRule="auto"/>
        <w:jc w:val="both"/>
        <w:rPr>
          <w:rFonts w:cs="Arial"/>
          <w:szCs w:val="22"/>
        </w:rPr>
      </w:pPr>
    </w:p>
    <w:p w:rsidR="00A1007A" w:rsidRPr="005F15DA" w:rsidRDefault="00A1007A" w:rsidP="00861D85">
      <w:pPr>
        <w:spacing w:line="240" w:lineRule="auto"/>
        <w:jc w:val="both"/>
        <w:rPr>
          <w:rFonts w:cs="Arial"/>
          <w:szCs w:val="22"/>
        </w:rPr>
      </w:pPr>
    </w:p>
    <w:p w:rsidR="003332A6" w:rsidRPr="005F15DA" w:rsidRDefault="003332A6" w:rsidP="00E36E8F">
      <w:pPr>
        <w:pStyle w:val="berschrift2"/>
      </w:pPr>
      <w:bookmarkStart w:id="178" w:name="_Toc432175698"/>
      <w:r w:rsidRPr="005F15DA">
        <w:t>X</w:t>
      </w:r>
      <w:r w:rsidR="004E47CE" w:rsidRPr="005F15DA">
        <w:t>V</w:t>
      </w:r>
      <w:r w:rsidRPr="005F15DA">
        <w:t>. BGBB (Bundesgesetz über das bäuerliche Bodenrecht)</w:t>
      </w:r>
      <w:bookmarkEnd w:id="178"/>
    </w:p>
    <w:p w:rsidR="00E90D39" w:rsidRPr="005F15DA" w:rsidRDefault="00E90D39" w:rsidP="00E90D39">
      <w:r w:rsidRPr="005F15DA">
        <w:t>______________________________________________</w:t>
      </w:r>
      <w:r>
        <w:t>____________</w:t>
      </w:r>
      <w:r w:rsidR="00ED5466">
        <w:t>_______________</w:t>
      </w:r>
    </w:p>
    <w:p w:rsidR="00DE536B" w:rsidRPr="005F15DA" w:rsidRDefault="00DE536B" w:rsidP="00DE536B">
      <w:pPr>
        <w:tabs>
          <w:tab w:val="left" w:pos="426"/>
        </w:tabs>
        <w:spacing w:line="240" w:lineRule="auto"/>
        <w:jc w:val="both"/>
        <w:rPr>
          <w:rFonts w:cs="Arial"/>
          <w:spacing w:val="-2"/>
          <w:szCs w:val="22"/>
        </w:rPr>
      </w:pPr>
    </w:p>
    <w:p w:rsidR="003332A6" w:rsidRPr="005F15DA" w:rsidRDefault="00FE3F8C" w:rsidP="005759BE">
      <w:pPr>
        <w:pStyle w:val="berschrift3"/>
        <w:rPr>
          <w:lang w:val="de-CH"/>
        </w:rPr>
      </w:pPr>
      <w:bookmarkStart w:id="179" w:name="_Toc432175699"/>
      <w:r w:rsidRPr="005F15DA">
        <w:rPr>
          <w:lang w:val="de-CH"/>
        </w:rPr>
        <w:t>1.</w:t>
      </w:r>
      <w:r w:rsidRPr="005F15DA">
        <w:rPr>
          <w:lang w:val="de-CH"/>
        </w:rPr>
        <w:tab/>
      </w:r>
      <w:r w:rsidR="003332A6" w:rsidRPr="005F15DA">
        <w:rPr>
          <w:lang w:val="de-CH"/>
        </w:rPr>
        <w:t>Allgemeines</w:t>
      </w:r>
      <w:bookmarkEnd w:id="179"/>
    </w:p>
    <w:p w:rsidR="003332A6" w:rsidRPr="005F15DA" w:rsidRDefault="003332A6" w:rsidP="00FB258F">
      <w:r w:rsidRPr="005F15DA">
        <w:t>Das bäuerliche Bodenrecht bezweckt in erster Linie, dem Selbstbewirtschafter den Erwerb von landwirtschaftlichen Gewerben und Grundstücken zu tragbaren Preisen zu erleichtern. Das bäuerliche Grundeigentum soll auf der Basis von Familienbetrieben gestärkt und gefö</w:t>
      </w:r>
      <w:r w:rsidRPr="005F15DA">
        <w:t>r</w:t>
      </w:r>
      <w:r w:rsidRPr="005F15DA">
        <w:t>dert werden und die Spekulation mit Bauernland soll durch die Bekämpfung von übersetzten Bodenpreisen eingeschränkt werden.</w:t>
      </w:r>
    </w:p>
    <w:p w:rsidR="00DE536B" w:rsidRPr="005F15DA" w:rsidRDefault="00DE536B" w:rsidP="00FB258F"/>
    <w:p w:rsidR="003332A6" w:rsidRPr="005F15DA" w:rsidRDefault="003332A6" w:rsidP="00FB258F">
      <w:r w:rsidRPr="005F15DA">
        <w:t>Das BGBB ist grundsätzlich anwendbar für einzelne oder zu einen landwirtschaftlichen G</w:t>
      </w:r>
      <w:r w:rsidRPr="005F15DA">
        <w:t>e</w:t>
      </w:r>
      <w:r w:rsidRPr="005F15DA">
        <w:t>werbe gehörende landwirtschaftliche Grundstücke, welche ausserhalb der Bauzonen liegen und für welche die landwirtschaftliche Nutzung zulässig ist (Art. 2 BGBB). In den Art. 2 und 3 BGBB werden zudem weitere Grundstücke dem BGBB unterstellt. Das BGBB gilt nicht für Grundstücke von weniger als 15 Aren Rebland oder 25 Aren anderem Land, die nicht zu e</w:t>
      </w:r>
      <w:r w:rsidRPr="005F15DA">
        <w:t>i</w:t>
      </w:r>
      <w:r w:rsidRPr="005F15DA">
        <w:t>nem landwirt</w:t>
      </w:r>
      <w:r w:rsidR="00DE536B" w:rsidRPr="005F15DA">
        <w:t>schaftlichen Gewerbe gehören.</w:t>
      </w:r>
    </w:p>
    <w:p w:rsidR="00DE536B" w:rsidRPr="005F15DA" w:rsidRDefault="00DE536B" w:rsidP="00FB258F"/>
    <w:p w:rsidR="003332A6" w:rsidRPr="005F15DA" w:rsidRDefault="003332A6" w:rsidP="00FB258F">
      <w:r w:rsidRPr="005F15DA">
        <w:t>Die Begriffe „Landwirtschaftliches Grundstück“, „Landwirtschaftliches Gewerbe“ und „Selbs</w:t>
      </w:r>
      <w:r w:rsidRPr="005F15DA">
        <w:t>t</w:t>
      </w:r>
      <w:r w:rsidRPr="005F15DA">
        <w:t>bewirtschafter“ sind in den Art. 6 – 9 BGBB umschrieben.</w:t>
      </w:r>
    </w:p>
    <w:p w:rsidR="003332A6" w:rsidRPr="005F15DA" w:rsidRDefault="003332A6" w:rsidP="00FB258F">
      <w:r w:rsidRPr="005F15DA">
        <w:lastRenderedPageBreak/>
        <w:t>Bei jedem Eigentümerwechsel ist abzuklären, ob das BGBB anwendbar ist oder nicht. Allfäll</w:t>
      </w:r>
      <w:r w:rsidRPr="005F15DA">
        <w:t>i</w:t>
      </w:r>
      <w:r w:rsidRPr="005F15DA">
        <w:t>ge Bewilligungen müssen zum Zeitpunkt der Grundbuchanmeldung rechtskräftig sein; notar</w:t>
      </w:r>
      <w:r w:rsidRPr="005F15DA">
        <w:t>i</w:t>
      </w:r>
      <w:r w:rsidRPr="005F15DA">
        <w:t>elle Feststellungen sind dem Grundbuchamt mit der Anmeldung einzureichen.</w:t>
      </w:r>
    </w:p>
    <w:p w:rsidR="00DE536B" w:rsidRPr="005F15DA" w:rsidRDefault="00DE536B" w:rsidP="00FB258F"/>
    <w:p w:rsidR="002D65AE" w:rsidRPr="005F15DA" w:rsidRDefault="002D65AE" w:rsidP="00FB258F">
      <w:r w:rsidRPr="005F15DA">
        <w:t xml:space="preserve">Bei jedem Eigentümerwechsel sind insbesondere die </w:t>
      </w:r>
      <w:r w:rsidRPr="005F15DA">
        <w:rPr>
          <w:u w:val="single"/>
        </w:rPr>
        <w:t>privatrechtlichen Beschränkungen</w:t>
      </w:r>
      <w:r w:rsidRPr="005F15DA">
        <w:t xml:space="preserve"> des BGBB zu berücksichtigen bzw. die dazu notwendigen Abklärungen zu treffen:</w:t>
      </w:r>
    </w:p>
    <w:p w:rsidR="002D65AE" w:rsidRPr="005F15DA" w:rsidRDefault="002D65AE" w:rsidP="00FB258F">
      <w:r w:rsidRPr="005F15DA">
        <w:t>Anspruch auf Zuweisung eines landwirtschaftlichen Gewerbes in der Erbteilung für den selbstbewirtschaftenden, dafür als geeignet erscheinenden Erben</w:t>
      </w:r>
    </w:p>
    <w:p w:rsidR="002D65AE" w:rsidRPr="005F15DA" w:rsidRDefault="002D65AE" w:rsidP="009D34F3">
      <w:pPr>
        <w:pStyle w:val="Listenabsatz"/>
        <w:numPr>
          <w:ilvl w:val="0"/>
          <w:numId w:val="54"/>
        </w:numPr>
        <w:ind w:left="426" w:hanging="284"/>
      </w:pPr>
      <w:r w:rsidRPr="005F15DA">
        <w:t>Veräusserung eines in der Erbteilung zur Selbstbewirtschaftung zugewiesenen Gewerbes während 10 Jahren nur mit Zustimmung der Miterben</w:t>
      </w:r>
    </w:p>
    <w:p w:rsidR="002D65AE" w:rsidRPr="005F15DA" w:rsidRDefault="002D65AE" w:rsidP="009D34F3">
      <w:pPr>
        <w:pStyle w:val="Listenabsatz"/>
        <w:numPr>
          <w:ilvl w:val="0"/>
          <w:numId w:val="54"/>
        </w:numPr>
        <w:ind w:left="426" w:hanging="284"/>
      </w:pPr>
      <w:r w:rsidRPr="005F15DA">
        <w:t>Kaufsrecht von Verwandten</w:t>
      </w:r>
    </w:p>
    <w:p w:rsidR="002D65AE" w:rsidRPr="005F15DA" w:rsidRDefault="002D65AE" w:rsidP="009D34F3">
      <w:pPr>
        <w:pStyle w:val="Listenabsatz"/>
        <w:numPr>
          <w:ilvl w:val="0"/>
          <w:numId w:val="54"/>
        </w:numPr>
        <w:ind w:left="426" w:hanging="284"/>
      </w:pPr>
      <w:r w:rsidRPr="005F15DA">
        <w:t>Gewinnanspruch der Miterben</w:t>
      </w:r>
    </w:p>
    <w:p w:rsidR="002D65AE" w:rsidRPr="005F15DA" w:rsidRDefault="002D65AE" w:rsidP="009D34F3">
      <w:pPr>
        <w:pStyle w:val="Listenabsatz"/>
        <w:numPr>
          <w:ilvl w:val="0"/>
          <w:numId w:val="54"/>
        </w:numPr>
        <w:ind w:left="426" w:hanging="284"/>
      </w:pPr>
      <w:r w:rsidRPr="005F15DA">
        <w:t>Zustimmung des Ehegatten zur Veräusserung eines landwirtschaftlichen Gewerbes oder eines Miteigentumsanteils an einem solchen</w:t>
      </w:r>
    </w:p>
    <w:p w:rsidR="002D65AE" w:rsidRPr="005F15DA" w:rsidRDefault="002D65AE" w:rsidP="009D34F3">
      <w:pPr>
        <w:pStyle w:val="Listenabsatz"/>
        <w:numPr>
          <w:ilvl w:val="0"/>
          <w:numId w:val="54"/>
        </w:numPr>
        <w:ind w:left="426" w:hanging="284"/>
      </w:pPr>
      <w:r w:rsidRPr="005F15DA">
        <w:t>Vorkaufsrecht der Verwandten</w:t>
      </w:r>
    </w:p>
    <w:p w:rsidR="002D65AE" w:rsidRPr="005F15DA" w:rsidRDefault="002D65AE" w:rsidP="009D34F3">
      <w:pPr>
        <w:pStyle w:val="Listenabsatz"/>
        <w:numPr>
          <w:ilvl w:val="0"/>
          <w:numId w:val="54"/>
        </w:numPr>
        <w:ind w:left="426" w:hanging="284"/>
      </w:pPr>
      <w:r w:rsidRPr="005F15DA">
        <w:t>Vorkaufsrecht des Pächters</w:t>
      </w:r>
    </w:p>
    <w:p w:rsidR="002D65AE" w:rsidRPr="005F15DA" w:rsidRDefault="002D65AE" w:rsidP="009D34F3">
      <w:pPr>
        <w:pStyle w:val="Listenabsatz"/>
        <w:numPr>
          <w:ilvl w:val="0"/>
          <w:numId w:val="54"/>
        </w:numPr>
        <w:ind w:left="426" w:hanging="284"/>
      </w:pPr>
      <w:r w:rsidRPr="005F15DA">
        <w:t>Vorkaufsrecht an Miteigentumsanteilen</w:t>
      </w:r>
    </w:p>
    <w:p w:rsidR="002D65AE" w:rsidRPr="005F15DA" w:rsidRDefault="002D65AE" w:rsidP="00FB258F"/>
    <w:p w:rsidR="00DE536B" w:rsidRPr="005F15DA" w:rsidRDefault="00DE536B" w:rsidP="00FB258F"/>
    <w:p w:rsidR="003332A6" w:rsidRPr="005F15DA" w:rsidRDefault="00FE3F8C" w:rsidP="005759BE">
      <w:pPr>
        <w:pStyle w:val="berschrift3"/>
        <w:rPr>
          <w:lang w:val="de-CH"/>
        </w:rPr>
      </w:pPr>
      <w:bookmarkStart w:id="180" w:name="_Toc432175700"/>
      <w:r w:rsidRPr="005F15DA">
        <w:rPr>
          <w:lang w:val="de-CH"/>
        </w:rPr>
        <w:t>2.</w:t>
      </w:r>
      <w:r w:rsidRPr="005F15DA">
        <w:rPr>
          <w:lang w:val="de-CH"/>
        </w:rPr>
        <w:tab/>
      </w:r>
      <w:r w:rsidR="003332A6" w:rsidRPr="005F15DA">
        <w:rPr>
          <w:lang w:val="de-CH"/>
        </w:rPr>
        <w:t>Veräusserungsverbot</w:t>
      </w:r>
      <w:bookmarkEnd w:id="180"/>
    </w:p>
    <w:p w:rsidR="003332A6" w:rsidRPr="005F15DA" w:rsidRDefault="003332A6" w:rsidP="00FB258F">
      <w:pPr>
        <w:tabs>
          <w:tab w:val="left" w:pos="426"/>
        </w:tabs>
      </w:pPr>
      <w:r w:rsidRPr="005F15DA">
        <w:t>In folgenden Fällen besteht ein Veräusserungsverbot:</w:t>
      </w:r>
    </w:p>
    <w:p w:rsidR="003332A6" w:rsidRPr="005F15DA" w:rsidRDefault="003332A6" w:rsidP="00FB258F">
      <w:pPr>
        <w:tabs>
          <w:tab w:val="left" w:pos="426"/>
        </w:tabs>
        <w:ind w:left="426" w:hanging="426"/>
      </w:pPr>
      <w:r w:rsidRPr="005F15DA">
        <w:t>-</w:t>
      </w:r>
      <w:r w:rsidRPr="005F15DA">
        <w:tab/>
        <w:t>Wird in der Erbteilung ein landwirtschaftliches Gewerbe einem Erben zur Selbstbewir</w:t>
      </w:r>
      <w:r w:rsidRPr="005F15DA">
        <w:t>t</w:t>
      </w:r>
      <w:r w:rsidRPr="005F15DA">
        <w:t>schaftung zugewiesen, so darf er es während 10 Jahren nur mit Zustimmung der Mite</w:t>
      </w:r>
      <w:r w:rsidRPr="005F15DA">
        <w:t>r</w:t>
      </w:r>
      <w:r w:rsidRPr="005F15DA">
        <w:t>ben veräussern (Art. 23 BGBB).</w:t>
      </w:r>
    </w:p>
    <w:p w:rsidR="003332A6" w:rsidRPr="005F15DA" w:rsidRDefault="003332A6" w:rsidP="00FB258F">
      <w:pPr>
        <w:tabs>
          <w:tab w:val="left" w:pos="426"/>
        </w:tabs>
        <w:ind w:left="426" w:hanging="426"/>
      </w:pPr>
      <w:r w:rsidRPr="005F15DA">
        <w:t>-</w:t>
      </w:r>
      <w:r w:rsidRPr="005F15DA">
        <w:tab/>
        <w:t>Hat ein Eigentümer ein landwirtschaftliches Gewerbe durch Ausübung eines Vorkauf</w:t>
      </w:r>
      <w:r w:rsidRPr="005F15DA">
        <w:t>s</w:t>
      </w:r>
      <w:r w:rsidRPr="005F15DA">
        <w:t>rechts zur Selbstbewirtschaftung erworben, so darf er es während 10 Jahren nur mit Z</w:t>
      </w:r>
      <w:r w:rsidRPr="005F15DA">
        <w:t>u</w:t>
      </w:r>
      <w:r w:rsidRPr="005F15DA">
        <w:t>stimmung des Verkäufers veräussern (Art. 54 BGBB).</w:t>
      </w:r>
    </w:p>
    <w:p w:rsidR="003332A6" w:rsidRPr="005F15DA" w:rsidRDefault="003332A6" w:rsidP="00FB258F">
      <w:pPr>
        <w:tabs>
          <w:tab w:val="left" w:pos="426"/>
        </w:tabs>
        <w:ind w:left="426" w:hanging="426"/>
      </w:pPr>
      <w:r w:rsidRPr="005F15DA">
        <w:t>-</w:t>
      </w:r>
      <w:r w:rsidRPr="005F15DA">
        <w:tab/>
        <w:t>Sofern im Rahmen einer Auflösung von Mit- oder Gesamteigentum ein landwirtschaftl</w:t>
      </w:r>
      <w:r w:rsidRPr="005F15DA">
        <w:t>i</w:t>
      </w:r>
      <w:r w:rsidRPr="005F15DA">
        <w:t>ches Gewerbe einem Mitbeteiligten zugewiesen wird, so darf er eine Veräusserung wä</w:t>
      </w:r>
      <w:r w:rsidRPr="005F15DA">
        <w:t>h</w:t>
      </w:r>
      <w:r w:rsidRPr="005F15DA">
        <w:t>rend 10 Jahren nur mit Zustimmung der anderen Mit- bzw. Gesamteigentümer vorne</w:t>
      </w:r>
      <w:r w:rsidRPr="005F15DA">
        <w:t>h</w:t>
      </w:r>
      <w:r w:rsidRPr="005F15DA">
        <w:t>men (Art. 38 BGBB).</w:t>
      </w:r>
    </w:p>
    <w:p w:rsidR="00DE536B" w:rsidRPr="005F15DA" w:rsidRDefault="00DE536B" w:rsidP="00FB258F">
      <w:pPr>
        <w:tabs>
          <w:tab w:val="left" w:pos="426"/>
        </w:tabs>
      </w:pPr>
    </w:p>
    <w:p w:rsidR="00DE536B" w:rsidRPr="005F15DA" w:rsidRDefault="00DE536B" w:rsidP="00FB258F">
      <w:pPr>
        <w:tabs>
          <w:tab w:val="left" w:pos="426"/>
        </w:tabs>
      </w:pPr>
    </w:p>
    <w:p w:rsidR="003332A6" w:rsidRPr="005F15DA" w:rsidRDefault="00FE3F8C" w:rsidP="005759BE">
      <w:pPr>
        <w:pStyle w:val="berschrift3"/>
        <w:rPr>
          <w:lang w:val="de-CH"/>
        </w:rPr>
      </w:pPr>
      <w:bookmarkStart w:id="181" w:name="_Toc432175701"/>
      <w:r w:rsidRPr="005F15DA">
        <w:rPr>
          <w:lang w:val="de-CH"/>
        </w:rPr>
        <w:t>3.</w:t>
      </w:r>
      <w:r w:rsidRPr="005F15DA">
        <w:rPr>
          <w:lang w:val="de-CH"/>
        </w:rPr>
        <w:tab/>
      </w:r>
      <w:r w:rsidR="003332A6" w:rsidRPr="005F15DA">
        <w:rPr>
          <w:lang w:val="de-CH"/>
        </w:rPr>
        <w:t>Verfügungsbeschränkung zugunsten des Ehegatten</w:t>
      </w:r>
      <w:bookmarkEnd w:id="181"/>
    </w:p>
    <w:p w:rsidR="003332A6" w:rsidRPr="005F15DA" w:rsidRDefault="003332A6" w:rsidP="00FB258F">
      <w:r w:rsidRPr="005F15DA">
        <w:t>Der Eigentümer kann ein landwirtschaftliches Gewerbe, das er zusammen mit seinem Eh</w:t>
      </w:r>
      <w:r w:rsidRPr="005F15DA">
        <w:t>e</w:t>
      </w:r>
      <w:r w:rsidRPr="005F15DA">
        <w:t>partner bewirtschaftet, oder einen Miteigentumsanteil daran, nur mit Zustimmung des anderen Ehepartners veräussern (Art. 40 BGBB). Sofern ein verheirateter Eigentümer mit seinem Ehepartner die Wohnung der Familie im landwirtschaftlichen Gewerbe hat, muss der andere Ehepartner zu einer Veräusserung des Gewerbes zustimmen, und zwar unabhängig davon, ob die Bewirtschaftung durch beide Ehegatten erfolgt oder nicht.</w:t>
      </w:r>
    </w:p>
    <w:p w:rsidR="00DE536B" w:rsidRPr="005F15DA" w:rsidRDefault="00DE536B" w:rsidP="00FB258F"/>
    <w:p w:rsidR="00DE536B" w:rsidRPr="005F15DA" w:rsidRDefault="00DE536B" w:rsidP="00FB258F"/>
    <w:p w:rsidR="003332A6" w:rsidRPr="005F15DA" w:rsidRDefault="00FE3F8C" w:rsidP="005759BE">
      <w:pPr>
        <w:pStyle w:val="berschrift3"/>
        <w:rPr>
          <w:lang w:val="de-CH"/>
        </w:rPr>
      </w:pPr>
      <w:bookmarkStart w:id="182" w:name="_Toc432175702"/>
      <w:r w:rsidRPr="005F15DA">
        <w:rPr>
          <w:lang w:val="de-CH"/>
        </w:rPr>
        <w:t>4.</w:t>
      </w:r>
      <w:r w:rsidRPr="005F15DA">
        <w:rPr>
          <w:lang w:val="de-CH"/>
        </w:rPr>
        <w:tab/>
      </w:r>
      <w:r w:rsidR="003332A6" w:rsidRPr="005F15DA">
        <w:rPr>
          <w:lang w:val="de-CH"/>
        </w:rPr>
        <w:t>Bewilligungsverfahren für den Erwerb</w:t>
      </w:r>
      <w:bookmarkEnd w:id="182"/>
    </w:p>
    <w:p w:rsidR="003332A6" w:rsidRPr="005F15DA" w:rsidRDefault="003332A6" w:rsidP="00FB258F">
      <w:r w:rsidRPr="005F15DA">
        <w:t>Wer ein landwirtschaftliches Gewerbe oder Grundstück erwerben will, braucht dazu grun</w:t>
      </w:r>
      <w:r w:rsidRPr="005F15DA">
        <w:t>d</w:t>
      </w:r>
      <w:r w:rsidRPr="005F15DA">
        <w:t xml:space="preserve">sätzlich eine Bewilligung des Regierungsstatthalters am Ort der gelegenen Sache (Art. 61 BGBB). In gewissen Fällen ist der Erwerb von der Bewilligungspflicht ausgenommen (z.B. </w:t>
      </w:r>
      <w:r w:rsidRPr="005F15DA">
        <w:lastRenderedPageBreak/>
        <w:t>Erbgang; erbrechtliche Zuweisung an gesetzliche Erben; Erwerb durch Nachkommen, den anderen Ehepartner, die Eltern, ein Geschwister oder Geschwisterkind des Veräusserers) (Art. 62 BGBB).</w:t>
      </w:r>
    </w:p>
    <w:p w:rsidR="00DE536B" w:rsidRPr="005F15DA" w:rsidRDefault="00DE536B" w:rsidP="00FB258F"/>
    <w:p w:rsidR="003332A6" w:rsidRPr="005F15DA" w:rsidRDefault="003332A6" w:rsidP="00FB258F">
      <w:r w:rsidRPr="005F15DA">
        <w:t>Der Erwerb von landwirtschaftlichen Grundstücken von weniger als 25 Aren (bzw. von 10 Aren bei Rebland), die nicht zu einem landwirtschaftlichen Gewerbe gehören, ist nicht bewill</w:t>
      </w:r>
      <w:r w:rsidRPr="005F15DA">
        <w:t>i</w:t>
      </w:r>
      <w:r w:rsidRPr="005F15DA">
        <w:t>gungspflichtig (weil nicht dem BGBB unterstehend).</w:t>
      </w:r>
    </w:p>
    <w:p w:rsidR="00DE536B" w:rsidRPr="005F15DA" w:rsidRDefault="00DE536B" w:rsidP="00FB258F"/>
    <w:p w:rsidR="003332A6" w:rsidRPr="005F15DA" w:rsidRDefault="003332A6" w:rsidP="00FB258F">
      <w:r w:rsidRPr="005F15DA">
        <w:t>Ein Selbstbewirtschafter kann ein landwirtschaftliches Grundstück oder Gewerbe zu einem marktüblichen Preis erwerben; der Preis darf nicht übersetzt sein und muss vom Regierung</w:t>
      </w:r>
      <w:r w:rsidRPr="005F15DA">
        <w:t>s</w:t>
      </w:r>
      <w:r w:rsidRPr="005F15DA">
        <w:t>statthalter bewilligt werden. Als Selbstbewirtschafter gilt jeder, der den landwirtschaftlichen Boden selber bearbeitet und das landwirtschaftliche Gewerbe persönlich leitet. Nur in Au</w:t>
      </w:r>
      <w:r w:rsidRPr="005F15DA">
        <w:t>s</w:t>
      </w:r>
      <w:r w:rsidRPr="005F15DA">
        <w:t>nahmefällen kann die Bewilligungsbehörde den Erwerb durch einen Nichtselbstbewirtschafter zulassen.</w:t>
      </w:r>
    </w:p>
    <w:p w:rsidR="00DE536B" w:rsidRPr="005F15DA" w:rsidRDefault="00DE536B" w:rsidP="00FB258F"/>
    <w:p w:rsidR="00DE536B" w:rsidRPr="005F15DA" w:rsidRDefault="00DE536B" w:rsidP="00FB258F"/>
    <w:p w:rsidR="003332A6" w:rsidRPr="005F15DA" w:rsidRDefault="00FE3F8C" w:rsidP="005759BE">
      <w:pPr>
        <w:pStyle w:val="berschrift3"/>
        <w:rPr>
          <w:lang w:val="de-CH"/>
        </w:rPr>
      </w:pPr>
      <w:bookmarkStart w:id="183" w:name="_Toc432175703"/>
      <w:r w:rsidRPr="005F15DA">
        <w:rPr>
          <w:lang w:val="de-CH"/>
        </w:rPr>
        <w:t>5.</w:t>
      </w:r>
      <w:r w:rsidRPr="005F15DA">
        <w:rPr>
          <w:lang w:val="de-CH"/>
        </w:rPr>
        <w:tab/>
      </w:r>
      <w:r w:rsidR="003332A6" w:rsidRPr="005F15DA">
        <w:rPr>
          <w:lang w:val="de-CH"/>
        </w:rPr>
        <w:t>Realteilungs- und Zerstückelungsverbot</w:t>
      </w:r>
      <w:bookmarkEnd w:id="183"/>
    </w:p>
    <w:p w:rsidR="003332A6" w:rsidRPr="005F15DA" w:rsidRDefault="003332A6" w:rsidP="00FB258F">
      <w:r w:rsidRPr="005F15DA">
        <w:t>Einzelne Grundstücke oder Grundstückteile von landwirtschaftlichen Gewerben dürfen nicht abgetrennt und veräussert werden (Realteilungsverbot). Andererseits dürfen landwirtschaftl</w:t>
      </w:r>
      <w:r w:rsidRPr="005F15DA">
        <w:t>i</w:t>
      </w:r>
      <w:r w:rsidRPr="005F15DA">
        <w:t xml:space="preserve">che Grundstücke nicht in Teilstücke unter </w:t>
      </w:r>
      <w:r w:rsidR="004348B8">
        <w:t>25</w:t>
      </w:r>
      <w:r w:rsidRPr="005F15DA">
        <w:t xml:space="preserve"> Aren aufgeteilt werden (Zerstückelungsverbot) (bei Rebgrundstücken 1</w:t>
      </w:r>
      <w:r w:rsidR="004348B8">
        <w:t>5</w:t>
      </w:r>
      <w:r w:rsidRPr="005F15DA">
        <w:t xml:space="preserve"> Aren). Im Einzelfall kann der Regierungsstatthalter eine Ausnahm</w:t>
      </w:r>
      <w:r w:rsidRPr="005F15DA">
        <w:t>e</w:t>
      </w:r>
      <w:r w:rsidRPr="005F15DA">
        <w:t>bewilligung vom Realteilungs- oder Zerstückelungsverbot erteilen (Art. 58 – 60 BGBB).</w:t>
      </w:r>
    </w:p>
    <w:p w:rsidR="00DE536B" w:rsidRPr="005F15DA" w:rsidRDefault="00DE536B" w:rsidP="00FB258F"/>
    <w:p w:rsidR="00DE536B" w:rsidRPr="005F15DA" w:rsidRDefault="00DE536B" w:rsidP="00FB258F"/>
    <w:p w:rsidR="003332A6" w:rsidRPr="005F15DA" w:rsidRDefault="00FE3F8C" w:rsidP="005759BE">
      <w:pPr>
        <w:pStyle w:val="berschrift3"/>
        <w:rPr>
          <w:lang w:val="de-CH"/>
        </w:rPr>
      </w:pPr>
      <w:bookmarkStart w:id="184" w:name="_Toc432175704"/>
      <w:r w:rsidRPr="005F15DA">
        <w:rPr>
          <w:lang w:val="de-CH"/>
        </w:rPr>
        <w:t>6.</w:t>
      </w:r>
      <w:r w:rsidRPr="005F15DA">
        <w:rPr>
          <w:lang w:val="de-CH"/>
        </w:rPr>
        <w:tab/>
      </w:r>
      <w:r w:rsidR="003332A6" w:rsidRPr="005F15DA">
        <w:rPr>
          <w:lang w:val="de-CH"/>
        </w:rPr>
        <w:t>Vorkaufsrechte</w:t>
      </w:r>
      <w:bookmarkEnd w:id="184"/>
    </w:p>
    <w:p w:rsidR="003332A6" w:rsidRPr="005F15DA" w:rsidRDefault="003332A6" w:rsidP="00FB258F">
      <w:r w:rsidRPr="005F15DA">
        <w:t xml:space="preserve">Wird ein landwirtschaftliches </w:t>
      </w:r>
      <w:r w:rsidRPr="005F15DA">
        <w:rPr>
          <w:u w:val="single"/>
        </w:rPr>
        <w:t>Gewerbe</w:t>
      </w:r>
      <w:r w:rsidRPr="005F15DA">
        <w:t xml:space="preserve"> veräussert, so haben daran die Nachkommen des Veräusserers und eventuell dessen Geschwister oder Geschwisterkinder ein gesetzliches Vorkaufsrecht, sofern sie das Gewerbe selber bewirtschaften wollen und dafür als geeignet erscheinen. Der Übernahmepreis entspricht grundsätzlich dem Ertragswert. (Art. 42 ff. BGBB)</w:t>
      </w:r>
    </w:p>
    <w:p w:rsidR="00DE536B" w:rsidRPr="005F15DA" w:rsidRDefault="00DE536B" w:rsidP="00FB258F"/>
    <w:p w:rsidR="003332A6" w:rsidRPr="005F15DA" w:rsidRDefault="003332A6" w:rsidP="00FB258F">
      <w:r w:rsidRPr="005F15DA">
        <w:t xml:space="preserve">Wird ein landwirtschaftliches </w:t>
      </w:r>
      <w:r w:rsidRPr="005F15DA">
        <w:rPr>
          <w:u w:val="single"/>
        </w:rPr>
        <w:t>Grundstück</w:t>
      </w:r>
      <w:r w:rsidRPr="005F15DA">
        <w:t xml:space="preserve"> veräussert, so hat jeder Nachkomme des Veräuss</w:t>
      </w:r>
      <w:r w:rsidRPr="005F15DA">
        <w:t>e</w:t>
      </w:r>
      <w:r w:rsidRPr="005F15DA">
        <w:t>rers ein gesetzliches Vorkaufsrecht daran, wenn er Eigentümer eines landwirtschaftlichen Gewerbes ist oder wirtschaftlich über ein solches verfügt und das Grundstück im ortsüblichen Bewirtschaftungsbereich dieses Gewerbes liegt. Der Übernahmepreis entspricht grundsätzlich dem doppelten Ertragswert. (Art. 42 ff. BGBB) Auch der Pächter hat ein gesetzliches Vo</w:t>
      </w:r>
      <w:r w:rsidRPr="005F15DA">
        <w:t>r</w:t>
      </w:r>
      <w:r w:rsidRPr="005F15DA">
        <w:t>kaufsrecht, sofern gewisse Voraussetzungen erfüllt sind (Art. 47 ff. BGBB).</w:t>
      </w:r>
    </w:p>
    <w:p w:rsidR="00DE536B" w:rsidRPr="005F15DA" w:rsidRDefault="00DE536B" w:rsidP="00FB258F"/>
    <w:p w:rsidR="00DE536B" w:rsidRPr="005F15DA" w:rsidRDefault="00DE536B" w:rsidP="00FB258F"/>
    <w:p w:rsidR="003332A6" w:rsidRPr="005F15DA" w:rsidRDefault="00FE3F8C" w:rsidP="005759BE">
      <w:pPr>
        <w:pStyle w:val="berschrift3"/>
        <w:rPr>
          <w:lang w:val="de-CH"/>
        </w:rPr>
      </w:pPr>
      <w:bookmarkStart w:id="185" w:name="_Toc432175705"/>
      <w:r w:rsidRPr="005F15DA">
        <w:rPr>
          <w:lang w:val="de-CH"/>
        </w:rPr>
        <w:t>7.</w:t>
      </w:r>
      <w:r w:rsidRPr="005F15DA">
        <w:rPr>
          <w:lang w:val="de-CH"/>
        </w:rPr>
        <w:tab/>
      </w:r>
      <w:r w:rsidR="003332A6" w:rsidRPr="005F15DA">
        <w:rPr>
          <w:lang w:val="de-CH"/>
        </w:rPr>
        <w:t>Rückkaufsrechte</w:t>
      </w:r>
      <w:bookmarkEnd w:id="185"/>
    </w:p>
    <w:p w:rsidR="003332A6" w:rsidRPr="005F15DA" w:rsidRDefault="003332A6" w:rsidP="00FB258F">
      <w:r w:rsidRPr="005F15DA">
        <w:t xml:space="preserve">Ein </w:t>
      </w:r>
      <w:r w:rsidRPr="005F15DA">
        <w:rPr>
          <w:u w:val="single"/>
        </w:rPr>
        <w:t>gesetzliches</w:t>
      </w:r>
      <w:r w:rsidRPr="005F15DA">
        <w:t xml:space="preserve"> Rückkaufsrecht ist vorgesehen in den Fällen, wo ein Vorkaufsrecht ausgeübt wird: Gibt ein Eigentümer oder sein Nachkomme, an den das landwirtschaftliche Gewerbe übertragen worden ist, innert 10 Jahren die Selbstbewirtschaftung endgültig auf, so hat der Verkäufer, gegen den das Vorkaufsrecht ausgeübt worden ist, ein Rückkaufsrecht (Art. 55 BGBB).</w:t>
      </w:r>
    </w:p>
    <w:p w:rsidR="00DE536B" w:rsidRPr="005F15DA" w:rsidRDefault="00DE536B" w:rsidP="00FB258F"/>
    <w:p w:rsidR="003332A6" w:rsidRPr="005F15DA" w:rsidRDefault="003332A6" w:rsidP="00FB258F">
      <w:r w:rsidRPr="005F15DA">
        <w:t xml:space="preserve">Daneben gibt es noch das </w:t>
      </w:r>
      <w:r w:rsidRPr="005F15DA">
        <w:rPr>
          <w:u w:val="single"/>
        </w:rPr>
        <w:t>vertragliche</w:t>
      </w:r>
      <w:r w:rsidRPr="005F15DA">
        <w:t xml:space="preserve"> Rückkaufsrecht (Art. 41 BGBB).</w:t>
      </w:r>
    </w:p>
    <w:p w:rsidR="003332A6" w:rsidRPr="005F15DA" w:rsidRDefault="00FE3F8C" w:rsidP="005759BE">
      <w:pPr>
        <w:pStyle w:val="berschrift3"/>
        <w:rPr>
          <w:lang w:val="de-CH"/>
        </w:rPr>
      </w:pPr>
      <w:bookmarkStart w:id="186" w:name="_Toc432175706"/>
      <w:r w:rsidRPr="005F15DA">
        <w:rPr>
          <w:lang w:val="de-CH"/>
        </w:rPr>
        <w:lastRenderedPageBreak/>
        <w:t>8.</w:t>
      </w:r>
      <w:r w:rsidRPr="005F15DA">
        <w:rPr>
          <w:lang w:val="de-CH"/>
        </w:rPr>
        <w:tab/>
      </w:r>
      <w:r w:rsidR="003332A6" w:rsidRPr="005F15DA">
        <w:rPr>
          <w:lang w:val="de-CH"/>
        </w:rPr>
        <w:t>Kaufsrechte</w:t>
      </w:r>
      <w:bookmarkEnd w:id="186"/>
    </w:p>
    <w:p w:rsidR="003332A6" w:rsidRPr="005F15DA" w:rsidRDefault="005859A6" w:rsidP="00FB258F">
      <w:r>
        <w:t>Gibt ein Erbe</w:t>
      </w:r>
      <w:r w:rsidR="003332A6" w:rsidRPr="005F15DA">
        <w:t xml:space="preserve"> oder sein Nachkomme, an den das landwirtschaftliche Gewerbe (im Rahmen einer Erbteilung) übertragen worden ist, innert 10 Jahren die Selbstbewirtschaftung endgültig auf, so hat jeder Miterbe, der das landwirtschaftliche Gewerbe selber bewirtschaften will und dafür geeignet erschein</w:t>
      </w:r>
      <w:r>
        <w:t>t</w:t>
      </w:r>
      <w:r w:rsidR="003332A6" w:rsidRPr="005F15DA">
        <w:t>, ein gesetzliches Kaufsrecht (Art. 24 BGBB).</w:t>
      </w:r>
    </w:p>
    <w:p w:rsidR="00DE536B" w:rsidRPr="005F15DA" w:rsidRDefault="00DE536B" w:rsidP="00FB258F"/>
    <w:p w:rsidR="003332A6" w:rsidRPr="005F15DA" w:rsidRDefault="003332A6" w:rsidP="00FB258F">
      <w:r w:rsidRPr="005F15DA">
        <w:t>Im Übrigen steht unter gewissen Voraussetzungen auch den Verwandten (Nachkommen, Geschwister, Geschwisterkinder) ein gesetzliches Kaufsrecht zu, sofern sich in der Erbschaft ein landwirtschaftliches Gewerbe befindet (Art. 25 BGBB).</w:t>
      </w:r>
    </w:p>
    <w:p w:rsidR="00DE536B" w:rsidRPr="005F15DA" w:rsidRDefault="00DE536B" w:rsidP="00FB258F"/>
    <w:p w:rsidR="00DE536B" w:rsidRPr="005F15DA" w:rsidRDefault="00DE536B" w:rsidP="00FB258F"/>
    <w:p w:rsidR="003332A6" w:rsidRPr="005F15DA" w:rsidRDefault="00FE3F8C" w:rsidP="005759BE">
      <w:pPr>
        <w:pStyle w:val="berschrift3"/>
        <w:rPr>
          <w:lang w:val="de-CH"/>
        </w:rPr>
      </w:pPr>
      <w:bookmarkStart w:id="187" w:name="_Toc432175707"/>
      <w:r w:rsidRPr="005F15DA">
        <w:rPr>
          <w:lang w:val="de-CH"/>
        </w:rPr>
        <w:t>9.</w:t>
      </w:r>
      <w:r w:rsidRPr="005F15DA">
        <w:rPr>
          <w:lang w:val="de-CH"/>
        </w:rPr>
        <w:tab/>
      </w:r>
      <w:r w:rsidR="003332A6" w:rsidRPr="005F15DA">
        <w:rPr>
          <w:lang w:val="de-CH"/>
        </w:rPr>
        <w:t>Erbteilung</w:t>
      </w:r>
      <w:bookmarkEnd w:id="187"/>
    </w:p>
    <w:p w:rsidR="003332A6" w:rsidRPr="005F15DA" w:rsidRDefault="003332A6" w:rsidP="00FB258F">
      <w:pPr>
        <w:ind w:left="851" w:hanging="425"/>
      </w:pPr>
      <w:r w:rsidRPr="005F15DA">
        <w:t>a.</w:t>
      </w:r>
      <w:r w:rsidRPr="005F15DA">
        <w:tab/>
      </w:r>
      <w:r w:rsidRPr="00ED5466">
        <w:rPr>
          <w:u w:val="single"/>
        </w:rPr>
        <w:t>Zuweisungsanspruch</w:t>
      </w:r>
    </w:p>
    <w:p w:rsidR="003332A6" w:rsidRPr="005F15DA" w:rsidRDefault="003332A6" w:rsidP="00FB258F">
      <w:pPr>
        <w:ind w:left="851" w:hanging="425"/>
      </w:pPr>
      <w:r w:rsidRPr="005F15DA">
        <w:tab/>
        <w:t>Befindet sich in der Erbschaft ein landwirtschaftliches Gewerbe, so kann jeder Erbe verlangen, dass ihm dieses in der Erbteilung zugewiesen wird, wenn er es selber bewirtschaften will und dafür als geeignet erscheint, und zwar grundsätzlich zum E</w:t>
      </w:r>
      <w:r w:rsidRPr="005F15DA">
        <w:t>r</w:t>
      </w:r>
      <w:r w:rsidRPr="005F15DA">
        <w:t>tragswert (Art. 11 BGBB).</w:t>
      </w:r>
    </w:p>
    <w:p w:rsidR="003332A6" w:rsidRPr="005F15DA" w:rsidRDefault="003332A6" w:rsidP="00FB258F">
      <w:pPr>
        <w:ind w:left="851" w:hanging="425"/>
      </w:pPr>
      <w:r w:rsidRPr="005F15DA">
        <w:tab/>
        <w:t>Befindet sich in der Erbschaft ein landwirtschaftliches Grundstück, das nicht zu e</w:t>
      </w:r>
      <w:r w:rsidRPr="005F15DA">
        <w:t>i</w:t>
      </w:r>
      <w:r w:rsidRPr="005F15DA">
        <w:t>nem landwirtschaftlichen Gewerbe gehört, so kann ein Erbe dessen Zuweisung grundsätzlich zum doppelten Ertragswert verlangen, wenn er Eigentümer eines landwirtschaftlichen Gewerbes ist oder über ein solches wirtschaftlich verfügt und das Grundstück im ortsüblichen Bewirtschaftungsbereich dieses Gewerbes liegt (Art. 21 BGBB).</w:t>
      </w:r>
    </w:p>
    <w:p w:rsidR="003332A6" w:rsidRPr="005F15DA" w:rsidRDefault="003332A6" w:rsidP="00FB258F">
      <w:pPr>
        <w:ind w:left="851" w:hanging="425"/>
      </w:pPr>
      <w:r w:rsidRPr="005F15DA">
        <w:t>b.</w:t>
      </w:r>
      <w:r w:rsidRPr="005F15DA">
        <w:tab/>
      </w:r>
      <w:r w:rsidRPr="00ED5466">
        <w:rPr>
          <w:u w:val="single"/>
        </w:rPr>
        <w:t>Gewinnanspruch</w:t>
      </w:r>
    </w:p>
    <w:p w:rsidR="003332A6" w:rsidRPr="005F15DA" w:rsidRDefault="003332A6" w:rsidP="00FB258F">
      <w:pPr>
        <w:ind w:left="851" w:hanging="425"/>
      </w:pPr>
      <w:r w:rsidRPr="005F15DA">
        <w:tab/>
        <w:t>Wird einem Erben bei der Erbteilung ein landwirtschaftliches Gewerbe oder Grun</w:t>
      </w:r>
      <w:r w:rsidRPr="005F15DA">
        <w:t>d</w:t>
      </w:r>
      <w:r w:rsidRPr="005F15DA">
        <w:t>stück zu einem Anrechnungswert unter dem Verkehrswert zugewiesen, so hat jeder Miterbe bei einer Veräusserung innerhalb von 25 Jahren Anspruch auf den seiner Erbquote entsprechenden Anteil am Gewinn (Art. 28 ff. BGBB).</w:t>
      </w:r>
    </w:p>
    <w:p w:rsidR="00DE536B" w:rsidRPr="005F15DA" w:rsidRDefault="00DE536B" w:rsidP="00FB258F">
      <w:pPr>
        <w:ind w:left="851" w:hanging="425"/>
      </w:pPr>
    </w:p>
    <w:p w:rsidR="00DE536B" w:rsidRPr="005F15DA" w:rsidRDefault="00DE536B" w:rsidP="00FB258F">
      <w:pPr>
        <w:ind w:left="851" w:hanging="425"/>
      </w:pPr>
    </w:p>
    <w:p w:rsidR="003332A6" w:rsidRPr="005F15DA" w:rsidRDefault="00FE3F8C" w:rsidP="005759BE">
      <w:pPr>
        <w:pStyle w:val="berschrift3"/>
        <w:rPr>
          <w:lang w:val="de-CH"/>
        </w:rPr>
      </w:pPr>
      <w:bookmarkStart w:id="188" w:name="_Toc432175708"/>
      <w:r w:rsidRPr="005F15DA">
        <w:rPr>
          <w:lang w:val="de-CH"/>
        </w:rPr>
        <w:t>10.</w:t>
      </w:r>
      <w:r w:rsidRPr="005F15DA">
        <w:rPr>
          <w:lang w:val="de-CH"/>
        </w:rPr>
        <w:tab/>
      </w:r>
      <w:r w:rsidR="003332A6" w:rsidRPr="005F15DA">
        <w:rPr>
          <w:lang w:val="de-CH"/>
        </w:rPr>
        <w:t>Belastungsgrenze</w:t>
      </w:r>
      <w:bookmarkEnd w:id="188"/>
    </w:p>
    <w:p w:rsidR="003332A6" w:rsidRPr="005F15DA" w:rsidRDefault="003332A6" w:rsidP="00FB258F">
      <w:r w:rsidRPr="005F15DA">
        <w:t>Landwirtschaftliche Grundstücke dürfen nur bis zur Belastungsgrenze mit Grundpfandrechten belastet werden. Die Belastungsgrenze entspricht dem um 35% erhöhten Ertragswert (Art. 73 BGBB). Im Kanton Bern gilt grundsätzlich der von der Steuerverwaltung festgesetzte amtliche Wert als Ertragswert.</w:t>
      </w:r>
    </w:p>
    <w:p w:rsidR="00DE536B" w:rsidRPr="005F15DA" w:rsidRDefault="00DE536B" w:rsidP="00FB258F"/>
    <w:p w:rsidR="003332A6" w:rsidRPr="005F15DA" w:rsidRDefault="003332A6" w:rsidP="00FB258F">
      <w:r w:rsidRPr="005F15DA">
        <w:t>Für bestimmte Fälle kommt die Belastungsgrenze nicht zur Anwendung (Art. 75 – 76 BGBB), beispielsweise für Grundpfandrechte zu Gunsten der Bernischen Stiftung für Agrarkredite BAK. Andererseits ist es möglich, die Belastungsgrenze zu überschreiten, sofern dies vom Regierungsstatthalter bewilligt wird. In einem solchen Fall müssen bestimmte Voraussetzu</w:t>
      </w:r>
      <w:r w:rsidRPr="005F15DA">
        <w:t>n</w:t>
      </w:r>
      <w:r w:rsidRPr="005F15DA">
        <w:t>gen erfüllt sein.</w:t>
      </w:r>
    </w:p>
    <w:p w:rsidR="00DE536B" w:rsidRPr="005F15DA" w:rsidRDefault="00DE536B" w:rsidP="00FB258F">
      <w:pPr>
        <w:rPr>
          <w:rFonts w:cs="Arial"/>
          <w:spacing w:val="-2"/>
          <w:szCs w:val="22"/>
        </w:rPr>
      </w:pPr>
    </w:p>
    <w:p w:rsidR="00DE536B" w:rsidRPr="005F15DA" w:rsidRDefault="00DE536B" w:rsidP="00FB258F">
      <w:pPr>
        <w:rPr>
          <w:rFonts w:cs="Arial"/>
          <w:spacing w:val="-2"/>
          <w:szCs w:val="22"/>
        </w:rPr>
      </w:pPr>
    </w:p>
    <w:p w:rsidR="00DE536B" w:rsidRPr="005F15DA" w:rsidRDefault="00DE536B" w:rsidP="00FB258F">
      <w:pPr>
        <w:rPr>
          <w:rFonts w:cs="Arial"/>
          <w:spacing w:val="-2"/>
          <w:szCs w:val="22"/>
        </w:rPr>
      </w:pPr>
    </w:p>
    <w:p w:rsidR="00DE536B" w:rsidRPr="005F15DA" w:rsidRDefault="00DE536B" w:rsidP="00FB258F">
      <w:pPr>
        <w:rPr>
          <w:rFonts w:cs="Arial"/>
          <w:spacing w:val="-2"/>
          <w:szCs w:val="22"/>
        </w:rPr>
      </w:pPr>
    </w:p>
    <w:p w:rsidR="006A5FCA" w:rsidRDefault="006A5FCA">
      <w:pPr>
        <w:spacing w:after="200"/>
        <w:rPr>
          <w:rFonts w:eastAsiaTheme="majorEastAsia" w:cstheme="majorBidi"/>
          <w:b/>
          <w:bCs/>
          <w:color w:val="000000" w:themeColor="text1"/>
          <w:sz w:val="32"/>
          <w:szCs w:val="26"/>
        </w:rPr>
      </w:pPr>
      <w:r>
        <w:br w:type="page"/>
      </w:r>
    </w:p>
    <w:p w:rsidR="003332A6" w:rsidRPr="005F15DA" w:rsidRDefault="003332A6" w:rsidP="00E36E8F">
      <w:pPr>
        <w:pStyle w:val="berschrift2"/>
      </w:pPr>
      <w:bookmarkStart w:id="189" w:name="_Toc432175709"/>
      <w:r w:rsidRPr="005F15DA">
        <w:lastRenderedPageBreak/>
        <w:t>X</w:t>
      </w:r>
      <w:r w:rsidR="004E47CE" w:rsidRPr="005F15DA">
        <w:t>V</w:t>
      </w:r>
      <w:r w:rsidRPr="005F15DA">
        <w:t>I. Enteignung</w:t>
      </w:r>
      <w:bookmarkEnd w:id="189"/>
    </w:p>
    <w:p w:rsidR="00E90D39" w:rsidRPr="005F15DA" w:rsidRDefault="00ED5466" w:rsidP="00E90D39">
      <w:r>
        <w:t>____________________</w:t>
      </w:r>
    </w:p>
    <w:p w:rsidR="00DE536B" w:rsidRPr="005F15DA" w:rsidRDefault="00DE536B" w:rsidP="00DE536B">
      <w:pPr>
        <w:tabs>
          <w:tab w:val="left" w:pos="426"/>
        </w:tabs>
        <w:spacing w:line="240" w:lineRule="auto"/>
        <w:jc w:val="both"/>
        <w:rPr>
          <w:rFonts w:cs="Arial"/>
          <w:spacing w:val="-2"/>
          <w:szCs w:val="22"/>
        </w:rPr>
      </w:pPr>
    </w:p>
    <w:p w:rsidR="003332A6" w:rsidRPr="005F15DA" w:rsidRDefault="00FE3F8C" w:rsidP="005759BE">
      <w:pPr>
        <w:pStyle w:val="berschrift3"/>
        <w:rPr>
          <w:lang w:val="de-CH"/>
        </w:rPr>
      </w:pPr>
      <w:bookmarkStart w:id="190" w:name="_Toc432175710"/>
      <w:r w:rsidRPr="005F15DA">
        <w:rPr>
          <w:lang w:val="de-CH"/>
        </w:rPr>
        <w:t>1.</w:t>
      </w:r>
      <w:r w:rsidRPr="005F15DA">
        <w:rPr>
          <w:lang w:val="de-CH"/>
        </w:rPr>
        <w:tab/>
      </w:r>
      <w:r w:rsidR="003332A6" w:rsidRPr="005F15DA">
        <w:rPr>
          <w:lang w:val="de-CH"/>
        </w:rPr>
        <w:t>Formelle Enteignung</w:t>
      </w:r>
      <w:bookmarkEnd w:id="190"/>
    </w:p>
    <w:p w:rsidR="003332A6" w:rsidRPr="005F15DA" w:rsidRDefault="00D61B75" w:rsidP="00FB258F">
      <w:r>
        <w:t xml:space="preserve">(Im Enteignungsverfahren geht das Recht oder Eigentum über.) </w:t>
      </w:r>
      <w:r w:rsidR="003332A6" w:rsidRPr="005F15DA">
        <w:t>Der Gesetzgeber kann für bestimmte Fälle (z.B. Verbreiterung einer Strasse) der Gemeinde, dem Staat oder anderen Berechtigten das Recht einräumen, den privaten Grundeigentümern Teile ihrer Grundstücke oder ihre ganzen Grundstücke gegen ihren Willen, aber gegen volle Entschädigung (in Geld oder Realersatz), wegzunehmen (der Grundeigentümer verliert sein Eigentum).</w:t>
      </w:r>
    </w:p>
    <w:p w:rsidR="00DE536B" w:rsidRPr="005F15DA" w:rsidRDefault="00DE536B" w:rsidP="00FB258F">
      <w:pPr>
        <w:rPr>
          <w:szCs w:val="22"/>
        </w:rPr>
      </w:pPr>
    </w:p>
    <w:p w:rsidR="00DE536B" w:rsidRPr="005F15DA" w:rsidRDefault="00DE536B" w:rsidP="00FB258F">
      <w:pPr>
        <w:rPr>
          <w:szCs w:val="22"/>
        </w:rPr>
      </w:pPr>
    </w:p>
    <w:p w:rsidR="003332A6" w:rsidRPr="005F15DA" w:rsidRDefault="00FE3F8C" w:rsidP="005759BE">
      <w:pPr>
        <w:pStyle w:val="berschrift3"/>
        <w:rPr>
          <w:lang w:val="de-CH"/>
        </w:rPr>
      </w:pPr>
      <w:bookmarkStart w:id="191" w:name="_Toc432175711"/>
      <w:r w:rsidRPr="005F15DA">
        <w:rPr>
          <w:lang w:val="de-CH"/>
        </w:rPr>
        <w:t>2.</w:t>
      </w:r>
      <w:r w:rsidRPr="005F15DA">
        <w:rPr>
          <w:lang w:val="de-CH"/>
        </w:rPr>
        <w:tab/>
      </w:r>
      <w:r w:rsidR="003332A6" w:rsidRPr="005F15DA">
        <w:rPr>
          <w:lang w:val="de-CH"/>
        </w:rPr>
        <w:t>Materielle Enteignung</w:t>
      </w:r>
      <w:bookmarkEnd w:id="191"/>
    </w:p>
    <w:p w:rsidR="003332A6" w:rsidRPr="005F15DA" w:rsidRDefault="00D61B75" w:rsidP="00FB258F">
      <w:r>
        <w:t>(Kein Enteignungsverfahren; eine Handlung erzielt die Wirkung einer Enteignung</w:t>
      </w:r>
      <w:r w:rsidR="00934384">
        <w:t xml:space="preserve"> ohne en</w:t>
      </w:r>
      <w:r w:rsidR="00934384">
        <w:t>t</w:t>
      </w:r>
      <w:r w:rsidR="00934384">
        <w:t>sprechendes Verfahren</w:t>
      </w:r>
      <w:r>
        <w:t xml:space="preserve">.) </w:t>
      </w:r>
      <w:r w:rsidR="003332A6" w:rsidRPr="005F15DA">
        <w:t>Der Gesetzgeber kann der Gemeinde, dem Kanton oder anderen Berechtigten das Recht einräumen, den Gebrauch eines Grundstückes stark einzuschränken (z.B. Umzonung von der Bauzone in die Landwirtschaftszone). Der dadurch enteignete Grundeigentümer bleibt Eigentümer seines Grundstückes. Wenn er in besonders schwerer Weise eingeschränkt wird, muss ihm eine Entschädigung ausgerichtet werden (spezielle bu</w:t>
      </w:r>
      <w:r w:rsidR="003332A6" w:rsidRPr="005F15DA">
        <w:t>n</w:t>
      </w:r>
      <w:r w:rsidR="003332A6" w:rsidRPr="005F15DA">
        <w:t>desgerichtliche Praxis).</w:t>
      </w:r>
    </w:p>
    <w:p w:rsidR="00DE536B" w:rsidRPr="005F15DA" w:rsidRDefault="00DE536B" w:rsidP="00FB258F">
      <w:pPr>
        <w:rPr>
          <w:szCs w:val="22"/>
        </w:rPr>
      </w:pPr>
    </w:p>
    <w:p w:rsidR="00DE536B" w:rsidRPr="005F15DA" w:rsidRDefault="00DE536B" w:rsidP="00FB258F">
      <w:pPr>
        <w:rPr>
          <w:szCs w:val="22"/>
        </w:rPr>
      </w:pPr>
    </w:p>
    <w:p w:rsidR="00DE536B" w:rsidRPr="005F15DA" w:rsidRDefault="00DE536B" w:rsidP="00FB258F">
      <w:pPr>
        <w:rPr>
          <w:szCs w:val="22"/>
        </w:rPr>
      </w:pPr>
    </w:p>
    <w:p w:rsidR="00DE536B" w:rsidRPr="005F15DA" w:rsidRDefault="00DE536B" w:rsidP="00FB258F">
      <w:pPr>
        <w:rPr>
          <w:szCs w:val="22"/>
        </w:rPr>
      </w:pPr>
    </w:p>
    <w:p w:rsidR="003332A6" w:rsidRPr="005F15DA" w:rsidRDefault="003332A6" w:rsidP="00FB258F">
      <w:pPr>
        <w:pStyle w:val="berschrift2"/>
        <w:tabs>
          <w:tab w:val="clear" w:pos="851"/>
        </w:tabs>
      </w:pPr>
      <w:bookmarkStart w:id="192" w:name="_Toc432175712"/>
      <w:r w:rsidRPr="005F15DA">
        <w:t>XV</w:t>
      </w:r>
      <w:r w:rsidR="004E47CE" w:rsidRPr="005F15DA">
        <w:t>II</w:t>
      </w:r>
      <w:r w:rsidR="00FB258F" w:rsidRPr="005F15DA">
        <w:t xml:space="preserve">. </w:t>
      </w:r>
      <w:r w:rsidRPr="005F15DA">
        <w:t>BG über den Erwerb von Grundstücken durch Pers</w:t>
      </w:r>
      <w:r w:rsidR="00FB258F" w:rsidRPr="005F15DA">
        <w:t>o</w:t>
      </w:r>
      <w:r w:rsidRPr="005F15DA">
        <w:t>nen im Ausland</w:t>
      </w:r>
      <w:bookmarkEnd w:id="192"/>
    </w:p>
    <w:p w:rsidR="00E90D39" w:rsidRPr="005F15DA" w:rsidRDefault="00E90D39" w:rsidP="00E90D39">
      <w:r w:rsidRPr="005F15DA">
        <w:t>______________________________________________</w:t>
      </w:r>
      <w:r>
        <w:t>____________</w:t>
      </w:r>
      <w:r w:rsidR="005A29E2">
        <w:t>_______________</w:t>
      </w:r>
    </w:p>
    <w:p w:rsidR="00DE536B" w:rsidRPr="005F15DA" w:rsidRDefault="00DE536B" w:rsidP="00FB258F"/>
    <w:p w:rsidR="003332A6" w:rsidRPr="005F15DA" w:rsidRDefault="003332A6" w:rsidP="00FB258F">
      <w:r w:rsidRPr="005F15DA">
        <w:t>Für den Erwerb von Grundstücken durch Personen im Ausland gelten folgende Grundsätze:</w:t>
      </w:r>
    </w:p>
    <w:p w:rsidR="00DE536B" w:rsidRPr="005F15DA" w:rsidRDefault="00DE536B" w:rsidP="00FB258F"/>
    <w:p w:rsidR="003332A6" w:rsidRPr="005F15DA" w:rsidRDefault="00FE3F8C" w:rsidP="005759BE">
      <w:pPr>
        <w:pStyle w:val="berschrift3"/>
        <w:rPr>
          <w:lang w:val="de-CH"/>
        </w:rPr>
      </w:pPr>
      <w:bookmarkStart w:id="193" w:name="_Toc432175713"/>
      <w:r w:rsidRPr="005F15DA">
        <w:rPr>
          <w:lang w:val="de-CH"/>
        </w:rPr>
        <w:t>1.</w:t>
      </w:r>
      <w:r w:rsidRPr="005F15DA">
        <w:rPr>
          <w:lang w:val="de-CH"/>
        </w:rPr>
        <w:tab/>
      </w:r>
      <w:r w:rsidR="003332A6" w:rsidRPr="005F15DA">
        <w:rPr>
          <w:lang w:val="de-CH"/>
        </w:rPr>
        <w:t>Erwerb durch natürliche Personen</w:t>
      </w:r>
      <w:bookmarkEnd w:id="193"/>
    </w:p>
    <w:p w:rsidR="003332A6" w:rsidRPr="005F15DA" w:rsidRDefault="003332A6" w:rsidP="00FB258F">
      <w:pPr>
        <w:tabs>
          <w:tab w:val="left" w:pos="426"/>
        </w:tabs>
      </w:pPr>
      <w:r w:rsidRPr="005F15DA">
        <w:t>Nicht bewilligungspflichtig ist beispielsweise der Erwerb von Grundstücken durch:</w:t>
      </w:r>
    </w:p>
    <w:p w:rsidR="003332A6" w:rsidRPr="005F15DA" w:rsidRDefault="003332A6" w:rsidP="00FB258F">
      <w:pPr>
        <w:tabs>
          <w:tab w:val="left" w:pos="426"/>
        </w:tabs>
        <w:rPr>
          <w:rFonts w:cs="Arial"/>
          <w:spacing w:val="-2"/>
        </w:rPr>
      </w:pPr>
      <w:r w:rsidRPr="005F15DA">
        <w:rPr>
          <w:rFonts w:cs="Arial"/>
          <w:spacing w:val="-2"/>
        </w:rPr>
        <w:t>-</w:t>
      </w:r>
      <w:r w:rsidRPr="005F15DA">
        <w:rPr>
          <w:rFonts w:cs="Arial"/>
          <w:spacing w:val="-2"/>
        </w:rPr>
        <w:tab/>
        <w:t>Schweizerbürger (einschliesslich Auslandschweizer und Doppelbürger),</w:t>
      </w:r>
    </w:p>
    <w:p w:rsidR="003332A6" w:rsidRPr="005F15DA" w:rsidRDefault="003332A6" w:rsidP="00FB258F">
      <w:pPr>
        <w:tabs>
          <w:tab w:val="left" w:pos="426"/>
        </w:tabs>
        <w:ind w:left="426" w:hanging="426"/>
        <w:rPr>
          <w:rFonts w:cs="Arial"/>
          <w:spacing w:val="-2"/>
        </w:rPr>
      </w:pPr>
      <w:r w:rsidRPr="005F15DA">
        <w:rPr>
          <w:rFonts w:cs="Arial"/>
          <w:spacing w:val="-2"/>
        </w:rPr>
        <w:t>-</w:t>
      </w:r>
      <w:r w:rsidRPr="005F15DA">
        <w:rPr>
          <w:rFonts w:cs="Arial"/>
          <w:spacing w:val="-2"/>
        </w:rPr>
        <w:tab/>
        <w:t>Staatsangehörige der Mitgliedstaaten der Europäischen Gemeinschaft EU oder der Eur</w:t>
      </w:r>
      <w:r w:rsidRPr="005F15DA">
        <w:rPr>
          <w:rFonts w:cs="Arial"/>
          <w:spacing w:val="-2"/>
        </w:rPr>
        <w:t>o</w:t>
      </w:r>
      <w:r w:rsidRPr="005F15DA">
        <w:rPr>
          <w:rFonts w:cs="Arial"/>
          <w:spacing w:val="-2"/>
        </w:rPr>
        <w:t>päischen Freihandelsassoziation EFTA, die ihren rechtmässigen und tatsächlichen Woh</w:t>
      </w:r>
      <w:r w:rsidRPr="005F15DA">
        <w:rPr>
          <w:rFonts w:cs="Arial"/>
          <w:spacing w:val="-2"/>
        </w:rPr>
        <w:t>n</w:t>
      </w:r>
      <w:r w:rsidRPr="005F15DA">
        <w:rPr>
          <w:rFonts w:cs="Arial"/>
          <w:spacing w:val="-2"/>
        </w:rPr>
        <w:t>sitz in der Schweiz haben,</w:t>
      </w:r>
    </w:p>
    <w:p w:rsidR="003332A6" w:rsidRPr="005F15DA" w:rsidRDefault="003332A6" w:rsidP="00FB258F">
      <w:pPr>
        <w:tabs>
          <w:tab w:val="left" w:pos="426"/>
        </w:tabs>
        <w:ind w:left="426" w:hanging="426"/>
        <w:rPr>
          <w:rFonts w:cs="Arial"/>
          <w:spacing w:val="-2"/>
        </w:rPr>
      </w:pPr>
      <w:r w:rsidRPr="005F15DA">
        <w:rPr>
          <w:rFonts w:cs="Arial"/>
          <w:spacing w:val="-2"/>
        </w:rPr>
        <w:t>-</w:t>
      </w:r>
      <w:r w:rsidRPr="005F15DA">
        <w:rPr>
          <w:rFonts w:cs="Arial"/>
          <w:spacing w:val="-2"/>
        </w:rPr>
        <w:tab/>
        <w:t>Staatsangehörige anderer ausländischer Staaten, die das Rechte haben, sich in der Schweiz niederzulassen (Ausländerausweis „C“),</w:t>
      </w:r>
    </w:p>
    <w:p w:rsidR="003332A6" w:rsidRPr="005F15DA" w:rsidRDefault="003332A6" w:rsidP="00FB258F">
      <w:pPr>
        <w:tabs>
          <w:tab w:val="left" w:pos="426"/>
        </w:tabs>
        <w:ind w:left="426" w:hanging="426"/>
        <w:rPr>
          <w:rFonts w:cs="Arial"/>
          <w:spacing w:val="-2"/>
        </w:rPr>
      </w:pPr>
      <w:r w:rsidRPr="005F15DA">
        <w:rPr>
          <w:rFonts w:cs="Arial"/>
          <w:spacing w:val="-2"/>
        </w:rPr>
        <w:t>-</w:t>
      </w:r>
      <w:r w:rsidRPr="005F15DA">
        <w:rPr>
          <w:rFonts w:cs="Arial"/>
          <w:spacing w:val="-2"/>
        </w:rPr>
        <w:tab/>
        <w:t>ausländische gesetzliche (nicht aber eingesetzte) Erben im Sinne des Schweizerischen Rechts (im Erbgang),</w:t>
      </w:r>
    </w:p>
    <w:p w:rsidR="003332A6" w:rsidRPr="005F15DA" w:rsidRDefault="003332A6" w:rsidP="00FB258F">
      <w:pPr>
        <w:tabs>
          <w:tab w:val="left" w:pos="426"/>
        </w:tabs>
        <w:ind w:left="426" w:hanging="426"/>
        <w:rPr>
          <w:rFonts w:cs="Arial"/>
          <w:spacing w:val="-2"/>
        </w:rPr>
      </w:pPr>
      <w:r w:rsidRPr="005F15DA">
        <w:rPr>
          <w:rFonts w:cs="Arial"/>
          <w:spacing w:val="-2"/>
        </w:rPr>
        <w:t>-</w:t>
      </w:r>
      <w:r w:rsidRPr="005F15DA">
        <w:rPr>
          <w:rFonts w:cs="Arial"/>
          <w:spacing w:val="-2"/>
        </w:rPr>
        <w:tab/>
        <w:t>ausländische Verwandte des ausländischen Veräusserers in auf- und absteigender Linie sowie dessen Ehegatten.</w:t>
      </w:r>
    </w:p>
    <w:p w:rsidR="005A29E2" w:rsidRDefault="005A29E2" w:rsidP="00FB258F">
      <w:pPr>
        <w:tabs>
          <w:tab w:val="left" w:pos="426"/>
        </w:tabs>
        <w:rPr>
          <w:rFonts w:cs="Arial"/>
          <w:spacing w:val="-2"/>
        </w:rPr>
      </w:pPr>
    </w:p>
    <w:p w:rsidR="003332A6" w:rsidRPr="005F15DA" w:rsidRDefault="003332A6" w:rsidP="00FB258F">
      <w:pPr>
        <w:tabs>
          <w:tab w:val="left" w:pos="426"/>
        </w:tabs>
        <w:rPr>
          <w:rFonts w:cs="Arial"/>
          <w:spacing w:val="-2"/>
        </w:rPr>
      </w:pPr>
      <w:r w:rsidRPr="005F15DA">
        <w:rPr>
          <w:rFonts w:cs="Arial"/>
          <w:spacing w:val="-2"/>
        </w:rPr>
        <w:t>Keiner Bewilligung bedarf auch der Erwerb eines Grundstückes durch eine natürliche Person, wenn das Grundstück dem Erwerber als Hauptwohnung am Ort seines rechtmässigen und ta</w:t>
      </w:r>
      <w:r w:rsidRPr="005F15DA">
        <w:rPr>
          <w:rFonts w:cs="Arial"/>
          <w:spacing w:val="-2"/>
        </w:rPr>
        <w:t>t</w:t>
      </w:r>
      <w:r w:rsidRPr="005F15DA">
        <w:rPr>
          <w:rFonts w:cs="Arial"/>
          <w:spacing w:val="-2"/>
        </w:rPr>
        <w:t>sächlichen Wohnsitzes dient.</w:t>
      </w:r>
    </w:p>
    <w:p w:rsidR="00DE536B" w:rsidRPr="005F15DA" w:rsidRDefault="00DE536B" w:rsidP="00FB258F">
      <w:pPr>
        <w:tabs>
          <w:tab w:val="left" w:pos="426"/>
        </w:tabs>
        <w:rPr>
          <w:rFonts w:cs="Arial"/>
          <w:spacing w:val="-2"/>
          <w:szCs w:val="22"/>
        </w:rPr>
      </w:pPr>
    </w:p>
    <w:p w:rsidR="003332A6" w:rsidRPr="005F15DA" w:rsidRDefault="00FE3F8C" w:rsidP="005759BE">
      <w:pPr>
        <w:pStyle w:val="berschrift3"/>
        <w:rPr>
          <w:lang w:val="de-CH"/>
        </w:rPr>
      </w:pPr>
      <w:bookmarkStart w:id="194" w:name="_Toc432175714"/>
      <w:r w:rsidRPr="005F15DA">
        <w:rPr>
          <w:lang w:val="de-CH"/>
        </w:rPr>
        <w:lastRenderedPageBreak/>
        <w:t>2.</w:t>
      </w:r>
      <w:r w:rsidRPr="005F15DA">
        <w:rPr>
          <w:lang w:val="de-CH"/>
        </w:rPr>
        <w:tab/>
      </w:r>
      <w:r w:rsidR="003332A6" w:rsidRPr="005F15DA">
        <w:rPr>
          <w:lang w:val="de-CH"/>
        </w:rPr>
        <w:t>Erwerb durch juristische Personen</w:t>
      </w:r>
      <w:bookmarkEnd w:id="194"/>
    </w:p>
    <w:p w:rsidR="003332A6" w:rsidRPr="005F15DA" w:rsidRDefault="003332A6" w:rsidP="00FB258F">
      <w:r w:rsidRPr="005F15DA">
        <w:t>Beim Erwerb eines Grundstückes durch eine juristische Person oder vermögensfähige Pers</w:t>
      </w:r>
      <w:r w:rsidRPr="005F15DA">
        <w:t>o</w:t>
      </w:r>
      <w:r w:rsidRPr="005F15DA">
        <w:t>nengesellschaft (Kollektiv- oder Kommanditgesellschaft) muss vor dem Grundbucheintrag festgestellt werden, dass beim Erwerber keine beherrschende finanzielle Beteiligung durch Personen mit Wohnsitz oder Sitz im Ausland im Sinne der Vorschriften über den Erwerb von Grundstücken durch Personen im Ausland besteht (notarielle Feststellung im Kaufvertrag selbst oder separate Feststellungsurkunde).</w:t>
      </w:r>
    </w:p>
    <w:p w:rsidR="00DE536B" w:rsidRPr="005F15DA" w:rsidRDefault="00DE536B" w:rsidP="00FB258F"/>
    <w:p w:rsidR="003332A6" w:rsidRPr="005F15DA" w:rsidRDefault="003332A6" w:rsidP="00FB258F">
      <w:r w:rsidRPr="005F15DA">
        <w:t>Keine solchen Abklärungen sind notwendig, wenn das Grundstück als ständige Betriebsstätte eines Gewerbes dient.</w:t>
      </w:r>
    </w:p>
    <w:p w:rsidR="00DE536B" w:rsidRPr="005F15DA" w:rsidRDefault="00DE536B" w:rsidP="00FB258F">
      <w:pPr>
        <w:rPr>
          <w:szCs w:val="22"/>
        </w:rPr>
      </w:pPr>
    </w:p>
    <w:p w:rsidR="00DE536B" w:rsidRPr="005F15DA" w:rsidRDefault="00DE536B" w:rsidP="00FB258F">
      <w:pPr>
        <w:rPr>
          <w:szCs w:val="22"/>
        </w:rPr>
      </w:pPr>
    </w:p>
    <w:p w:rsidR="003332A6" w:rsidRPr="005F15DA" w:rsidRDefault="00FE3F8C" w:rsidP="005759BE">
      <w:pPr>
        <w:pStyle w:val="berschrift3"/>
        <w:rPr>
          <w:lang w:val="de-CH"/>
        </w:rPr>
      </w:pPr>
      <w:bookmarkStart w:id="195" w:name="_Toc432175715"/>
      <w:r w:rsidRPr="005F15DA">
        <w:rPr>
          <w:lang w:val="de-CH"/>
        </w:rPr>
        <w:t>3.</w:t>
      </w:r>
      <w:r w:rsidRPr="005F15DA">
        <w:rPr>
          <w:lang w:val="de-CH"/>
        </w:rPr>
        <w:tab/>
      </w:r>
      <w:r w:rsidR="003332A6" w:rsidRPr="005F15DA">
        <w:rPr>
          <w:lang w:val="de-CH"/>
        </w:rPr>
        <w:t>Zum „Grundstückerwerb“</w:t>
      </w:r>
      <w:bookmarkEnd w:id="195"/>
    </w:p>
    <w:p w:rsidR="003332A6" w:rsidRPr="005F15DA" w:rsidRDefault="003332A6" w:rsidP="00FB258F">
      <w:r w:rsidRPr="005F15DA">
        <w:t>Als Erwerb von Grundstücken gilt auch jedes andere Rechtsgeschäft, das dem Berechtigten die Möglichkeit gibt, wie ein Eigentümer über das Grundstück zu verfügen. Es handelt sich dabei um Baurechte; Nutzniessungs- und Wohnrechte; Kaufs-, Vorkaufs- und Rückkaufsrec</w:t>
      </w:r>
      <w:r w:rsidRPr="005F15DA">
        <w:t>h</w:t>
      </w:r>
      <w:r w:rsidRPr="005F15DA">
        <w:t>te; Erwerb von Gesellschaftsanteilen; gegebenenfalls auch Miet- und Pachtverträge sowie Treuhand- und Kreditgeschäfte.</w:t>
      </w:r>
    </w:p>
    <w:p w:rsidR="00DE536B" w:rsidRPr="005F15DA" w:rsidRDefault="00DE536B" w:rsidP="00FB258F">
      <w:pPr>
        <w:rPr>
          <w:szCs w:val="22"/>
        </w:rPr>
      </w:pPr>
    </w:p>
    <w:p w:rsidR="00DE536B" w:rsidRPr="005F15DA" w:rsidRDefault="00DE536B" w:rsidP="00FB258F">
      <w:pPr>
        <w:rPr>
          <w:szCs w:val="22"/>
        </w:rPr>
      </w:pPr>
    </w:p>
    <w:p w:rsidR="003332A6" w:rsidRPr="005F15DA" w:rsidRDefault="00FE3F8C" w:rsidP="005759BE">
      <w:pPr>
        <w:pStyle w:val="berschrift3"/>
        <w:rPr>
          <w:lang w:val="de-CH"/>
        </w:rPr>
      </w:pPr>
      <w:bookmarkStart w:id="196" w:name="_Toc432175716"/>
      <w:r w:rsidRPr="005F15DA">
        <w:rPr>
          <w:lang w:val="de-CH"/>
        </w:rPr>
        <w:t>4.</w:t>
      </w:r>
      <w:r w:rsidRPr="005F15DA">
        <w:rPr>
          <w:lang w:val="de-CH"/>
        </w:rPr>
        <w:tab/>
      </w:r>
      <w:r w:rsidR="003332A6" w:rsidRPr="005F15DA">
        <w:rPr>
          <w:lang w:val="de-CH"/>
        </w:rPr>
        <w:t>Ferienwohnungen als Zweitwohnungen</w:t>
      </w:r>
      <w:bookmarkEnd w:id="196"/>
    </w:p>
    <w:p w:rsidR="003332A6" w:rsidRPr="005F15DA" w:rsidRDefault="003332A6" w:rsidP="00FB258F">
      <w:r w:rsidRPr="005F15DA">
        <w:t>Für den Erwerb von Grundstücken durch Ausländer gelten besondere Bestimmungen.</w:t>
      </w:r>
    </w:p>
    <w:p w:rsidR="00DE536B" w:rsidRPr="005F15DA" w:rsidRDefault="00DE536B" w:rsidP="00FB258F">
      <w:pPr>
        <w:rPr>
          <w:szCs w:val="22"/>
        </w:rPr>
      </w:pPr>
    </w:p>
    <w:p w:rsidR="00DE536B" w:rsidRPr="005F15DA" w:rsidRDefault="00DE536B" w:rsidP="00FB258F">
      <w:pPr>
        <w:rPr>
          <w:szCs w:val="22"/>
        </w:rPr>
      </w:pPr>
    </w:p>
    <w:p w:rsidR="00DE536B" w:rsidRPr="005F15DA" w:rsidRDefault="00DE536B" w:rsidP="00FB258F">
      <w:pPr>
        <w:rPr>
          <w:szCs w:val="22"/>
        </w:rPr>
      </w:pPr>
    </w:p>
    <w:p w:rsidR="00DE536B" w:rsidRPr="005F15DA" w:rsidRDefault="00DE536B" w:rsidP="00FB258F">
      <w:pPr>
        <w:rPr>
          <w:szCs w:val="22"/>
        </w:rPr>
      </w:pPr>
    </w:p>
    <w:p w:rsidR="003332A6" w:rsidRPr="005F15DA" w:rsidRDefault="003332A6" w:rsidP="00E36E8F">
      <w:pPr>
        <w:pStyle w:val="berschrift2"/>
      </w:pPr>
      <w:bookmarkStart w:id="197" w:name="_Toc432175717"/>
      <w:r w:rsidRPr="005F15DA">
        <w:t>XVI</w:t>
      </w:r>
      <w:r w:rsidR="004E47CE" w:rsidRPr="005F15DA">
        <w:t>II</w:t>
      </w:r>
      <w:r w:rsidRPr="005F15DA">
        <w:t>. Eingetragene Partnerschaften</w:t>
      </w:r>
      <w:bookmarkEnd w:id="197"/>
    </w:p>
    <w:p w:rsidR="00E90D39" w:rsidRPr="005F15DA" w:rsidRDefault="00E90D39" w:rsidP="00E90D39">
      <w:r w:rsidRPr="005F15DA">
        <w:t>_______________________________</w:t>
      </w:r>
      <w:r w:rsidR="005A29E2">
        <w:t>_____________</w:t>
      </w:r>
    </w:p>
    <w:p w:rsidR="00DE536B" w:rsidRPr="005F15DA" w:rsidRDefault="00DE536B" w:rsidP="00FB258F"/>
    <w:p w:rsidR="003332A6" w:rsidRPr="005F15DA" w:rsidRDefault="003332A6" w:rsidP="00FB258F">
      <w:r w:rsidRPr="005F15DA">
        <w:t>Eingetragene Partnerschaften werden vom Gesetz im Allgemeinen wie Ehe-Partnerschaften behandelt. Zuhanden des Grundbuchamtes muss deshalb der Zivilstand der Parteien festg</w:t>
      </w:r>
      <w:r w:rsidRPr="005F15DA">
        <w:t>e</w:t>
      </w:r>
      <w:r w:rsidRPr="005F15DA">
        <w:t>stellt werden; „Alleinstehend“ ist kein Zivilstand und reicht nicht (entweder „ledig“ oder „g</w:t>
      </w:r>
      <w:r w:rsidRPr="005F15DA">
        <w:t>e</w:t>
      </w:r>
      <w:r w:rsidRPr="005F15DA">
        <w:t>schieden“ oder „verwitwet“ oder „nicht verheiratet und nicht in eingetragener Partnerschaft lebend“).</w:t>
      </w:r>
    </w:p>
    <w:p w:rsidR="00DE536B" w:rsidRPr="005F15DA" w:rsidRDefault="00DE536B" w:rsidP="00FB258F">
      <w:pPr>
        <w:rPr>
          <w:szCs w:val="22"/>
        </w:rPr>
      </w:pPr>
    </w:p>
    <w:p w:rsidR="00DE536B" w:rsidRPr="005F15DA" w:rsidRDefault="00DE536B" w:rsidP="00FB258F">
      <w:pPr>
        <w:rPr>
          <w:szCs w:val="22"/>
        </w:rPr>
      </w:pPr>
    </w:p>
    <w:p w:rsidR="00DE536B" w:rsidRPr="005F15DA" w:rsidRDefault="00DE536B" w:rsidP="00FB258F">
      <w:pPr>
        <w:rPr>
          <w:szCs w:val="22"/>
        </w:rPr>
      </w:pPr>
    </w:p>
    <w:p w:rsidR="00DE536B" w:rsidRPr="005F15DA" w:rsidRDefault="00DE536B" w:rsidP="00FB258F">
      <w:pPr>
        <w:rPr>
          <w:szCs w:val="22"/>
        </w:rPr>
      </w:pPr>
    </w:p>
    <w:p w:rsidR="005A29E2" w:rsidRDefault="005A29E2">
      <w:pPr>
        <w:spacing w:after="200"/>
        <w:rPr>
          <w:rFonts w:eastAsiaTheme="majorEastAsia" w:cstheme="majorBidi"/>
          <w:b/>
          <w:bCs/>
          <w:color w:val="000000" w:themeColor="text1"/>
          <w:sz w:val="48"/>
          <w:szCs w:val="28"/>
        </w:rPr>
      </w:pPr>
      <w:r>
        <w:br w:type="page"/>
      </w:r>
    </w:p>
    <w:p w:rsidR="003332A6" w:rsidRPr="005F15DA" w:rsidRDefault="003332A6" w:rsidP="00FE3F8C">
      <w:pPr>
        <w:pStyle w:val="berschrift1"/>
      </w:pPr>
      <w:bookmarkStart w:id="198" w:name="_Toc432175718"/>
      <w:r w:rsidRPr="005F15DA">
        <w:lastRenderedPageBreak/>
        <w:t>Anhang</w:t>
      </w:r>
      <w:bookmarkEnd w:id="198"/>
    </w:p>
    <w:p w:rsidR="00E90D39" w:rsidRPr="005F15DA" w:rsidRDefault="00E90D39" w:rsidP="00E90D39">
      <w:r w:rsidRPr="005F15DA">
        <w:t>______________________________________________</w:t>
      </w:r>
      <w:r>
        <w:t>____________</w:t>
      </w:r>
      <w:r w:rsidR="005A29E2">
        <w:t>________________</w:t>
      </w:r>
    </w:p>
    <w:p w:rsidR="00DE536B" w:rsidRPr="005F15DA" w:rsidRDefault="00DE536B" w:rsidP="00FB258F"/>
    <w:p w:rsidR="003332A6" w:rsidRPr="005F15DA" w:rsidRDefault="003332A6" w:rsidP="00FB258F">
      <w:r w:rsidRPr="005F15DA">
        <w:t>Im Anhang finden Sie verschiedene Muster-Urkunden aus der Muster-Urkunden-Sammlung des VbN sowie Formulare für den Verkehr mit dem Grundbuchamt.</w:t>
      </w:r>
    </w:p>
    <w:p w:rsidR="00DE536B" w:rsidRPr="005F15DA" w:rsidRDefault="00DE536B" w:rsidP="00FB258F">
      <w:pPr>
        <w:rPr>
          <w:szCs w:val="22"/>
        </w:rPr>
      </w:pPr>
    </w:p>
    <w:p w:rsidR="003332A6" w:rsidRPr="005F15DA" w:rsidRDefault="003332A6" w:rsidP="00FB258F">
      <w:r w:rsidRPr="005F15DA">
        <w:t>Bitte übernehmen Sie nie Muster-Urkunden unbesehen; jeder Fall bzw. jede Urkunde wird sich in irgendwelchen Kleinigkeiten von allen anderen Urkunden unterscheiden; zudem befi</w:t>
      </w:r>
      <w:r w:rsidRPr="005F15DA">
        <w:t>n</w:t>
      </w:r>
      <w:r w:rsidRPr="005F15DA">
        <w:t>det sich das Recht in einem dauernden Wandel, so dass auch die gesetzlichen Grundlagen ändern.</w:t>
      </w:r>
    </w:p>
    <w:p w:rsidR="00A1007A" w:rsidRPr="005F15DA" w:rsidRDefault="00A1007A" w:rsidP="00FB258F">
      <w:pPr>
        <w:rPr>
          <w:szCs w:val="22"/>
        </w:rPr>
      </w:pPr>
    </w:p>
    <w:p w:rsidR="0021446D" w:rsidRPr="005F15DA" w:rsidRDefault="0021446D" w:rsidP="00FB258F">
      <w:pPr>
        <w:rPr>
          <w:szCs w:val="22"/>
        </w:rPr>
      </w:pPr>
    </w:p>
    <w:p w:rsidR="0021446D" w:rsidRPr="005F15DA" w:rsidRDefault="0021446D">
      <w:pPr>
        <w:spacing w:after="200"/>
        <w:rPr>
          <w:szCs w:val="22"/>
        </w:rPr>
      </w:pPr>
      <w:r w:rsidRPr="005F15DA">
        <w:rPr>
          <w:szCs w:val="22"/>
        </w:rPr>
        <w:br w:type="page"/>
      </w:r>
    </w:p>
    <w:p w:rsidR="0021446D" w:rsidRPr="005F15DA" w:rsidRDefault="0021446D" w:rsidP="0021446D">
      <w:pPr>
        <w:pStyle w:val="berschrift2"/>
      </w:pPr>
      <w:bookmarkStart w:id="199" w:name="_Toc432175719"/>
      <w:r w:rsidRPr="005F15DA">
        <w:lastRenderedPageBreak/>
        <w:t>I. Beglaubigung einer Firmaunterschrift</w:t>
      </w:r>
      <w:bookmarkEnd w:id="199"/>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A. B., Notar des Kantons Bern, eingetragen im Notariatsregister des Kantons Bern, mit Büro in Thun,</w:t>
      </w: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autoSpaceDE w:val="0"/>
        <w:autoSpaceDN w:val="0"/>
        <w:jc w:val="center"/>
        <w:rPr>
          <w:rFonts w:ascii="Helvetica" w:hAnsi="Helvetica" w:cs="Helvetica"/>
          <w:szCs w:val="22"/>
        </w:rPr>
      </w:pPr>
      <w:r w:rsidRPr="005F15DA">
        <w:rPr>
          <w:rFonts w:ascii="Helvetica" w:hAnsi="Helvetica" w:cs="Helvetica"/>
          <w:i/>
          <w:iCs/>
          <w:szCs w:val="22"/>
        </w:rPr>
        <w:t>beurkundet:</w:t>
      </w: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 xml:space="preserve">Die vorstehenden für die </w:t>
      </w:r>
      <w:r w:rsidRPr="005F15DA">
        <w:rPr>
          <w:rFonts w:ascii="Helvetica" w:hAnsi="Helvetica" w:cs="Helvetica"/>
          <w:b/>
          <w:bCs/>
          <w:szCs w:val="22"/>
        </w:rPr>
        <w:t>Geiser &amp; Co.,</w:t>
      </w:r>
      <w:r w:rsidRPr="005F15DA">
        <w:rPr>
          <w:rFonts w:ascii="Helvetica" w:hAnsi="Helvetica" w:cs="Helvetica"/>
          <w:szCs w:val="22"/>
        </w:rPr>
        <w:t xml:space="preserve"> Kollektivgesellschaft mit Sitz in Thun, gezeichneten Unterschriften wurden von folgenden Personen geschrieben:</w:t>
      </w: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ind w:left="270" w:hanging="270"/>
        <w:rPr>
          <w:rFonts w:ascii="Helvetica" w:hAnsi="Helvetica" w:cs="Helvetica"/>
          <w:szCs w:val="22"/>
        </w:rPr>
      </w:pPr>
      <w:r w:rsidRPr="005F15DA">
        <w:rPr>
          <w:rFonts w:ascii="Helvetica" w:hAnsi="Helvetica" w:cs="Helvetica"/>
          <w:szCs w:val="22"/>
        </w:rPr>
        <w:t xml:space="preserve">1. Von Herrn </w:t>
      </w:r>
      <w:r w:rsidRPr="005F15DA">
        <w:rPr>
          <w:rFonts w:ascii="Helvetica" w:hAnsi="Helvetica" w:cs="Helvetica"/>
          <w:b/>
          <w:bCs/>
          <w:szCs w:val="22"/>
        </w:rPr>
        <w:t>Peter Geiser,</w:t>
      </w:r>
      <w:r w:rsidRPr="005F15DA">
        <w:rPr>
          <w:rFonts w:ascii="Helvetica" w:hAnsi="Helvetica" w:cs="Helvetica"/>
          <w:szCs w:val="22"/>
        </w:rPr>
        <w:t xml:space="preserve">1938, von Schüpfen, Geschäftsführer, Bernstrasse 11a, 3110 Münsingen - </w:t>
      </w:r>
      <w:r w:rsidRPr="005F15DA">
        <w:rPr>
          <w:rFonts w:ascii="Helvetica" w:hAnsi="Helvetica" w:cs="Helvetica"/>
          <w:i/>
          <w:iCs/>
          <w:szCs w:val="22"/>
        </w:rPr>
        <w:t>Gesellschafter</w:t>
      </w: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ind w:left="270" w:hanging="270"/>
        <w:rPr>
          <w:rFonts w:ascii="Helvetica" w:hAnsi="Helvetica" w:cs="Helvetica"/>
          <w:szCs w:val="22"/>
        </w:rPr>
      </w:pPr>
      <w:r w:rsidRPr="005F15DA">
        <w:rPr>
          <w:rFonts w:ascii="Helvetica" w:hAnsi="Helvetica" w:cs="Helvetica"/>
          <w:szCs w:val="22"/>
        </w:rPr>
        <w:t xml:space="preserve">2. Von Herrn </w:t>
      </w:r>
      <w:r w:rsidRPr="005F15DA">
        <w:rPr>
          <w:rFonts w:ascii="Helvetica" w:hAnsi="Helvetica" w:cs="Helvetica"/>
          <w:b/>
          <w:bCs/>
          <w:szCs w:val="22"/>
        </w:rPr>
        <w:t>Urs Krummenacher,</w:t>
      </w:r>
      <w:r w:rsidRPr="005F15DA">
        <w:rPr>
          <w:rFonts w:ascii="Helvetica" w:hAnsi="Helvetica" w:cs="Helvetica"/>
          <w:szCs w:val="22"/>
        </w:rPr>
        <w:t xml:space="preserve"> 1928, von Luzern, Heizungstechniker, Bernstrasse 12, 3138 Uetendorf - </w:t>
      </w:r>
      <w:r w:rsidRPr="005F15DA">
        <w:rPr>
          <w:rFonts w:ascii="Helvetica" w:hAnsi="Helvetica" w:cs="Helvetica"/>
          <w:i/>
          <w:iCs/>
          <w:szCs w:val="22"/>
        </w:rPr>
        <w:t>Prokurist</w:t>
      </w: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welche für die Geiser &amp; Co. kollektiv zu zweien zeichnungsberechtigt sind. Herr Peter Geiser ist dem Notar persönlich bekannt. Herr Urs Krummenacher hat sich ausgewiesen durch seine Identitätskarte Nr. 019076, ausgestellt am 17. November 1979 durch die Gemeindeschreib</w:t>
      </w:r>
      <w:r w:rsidRPr="005F15DA">
        <w:rPr>
          <w:rFonts w:ascii="Helvetica" w:hAnsi="Helvetica" w:cs="Helvetica"/>
          <w:szCs w:val="22"/>
        </w:rPr>
        <w:t>e</w:t>
      </w:r>
      <w:r w:rsidRPr="005F15DA">
        <w:rPr>
          <w:rFonts w:ascii="Helvetica" w:hAnsi="Helvetica" w:cs="Helvetica"/>
          <w:szCs w:val="22"/>
        </w:rPr>
        <w:t>rei Uetendorf.</w:t>
      </w: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Beurkundet im Büro des Notars am vierzehnten April neunzehnhundertachtzig.</w:t>
      </w: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autoSpaceDE w:val="0"/>
        <w:autoSpaceDN w:val="0"/>
        <w:jc w:val="center"/>
        <w:rPr>
          <w:rFonts w:ascii="Helvetica" w:hAnsi="Helvetica" w:cs="Helvetica"/>
          <w:szCs w:val="22"/>
        </w:rPr>
      </w:pPr>
      <w:r w:rsidRPr="005F15DA">
        <w:rPr>
          <w:rFonts w:ascii="Helvetica" w:hAnsi="Helvetica" w:cs="Helvetica"/>
          <w:i/>
          <w:iCs/>
          <w:szCs w:val="22"/>
        </w:rPr>
        <w:t>14. April 1980</w:t>
      </w: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Der Notar:</w:t>
      </w: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MUSA Nr. 212</w:t>
      </w:r>
    </w:p>
    <w:p w:rsidR="0021446D" w:rsidRPr="005F15DA" w:rsidRDefault="0021446D" w:rsidP="0021446D">
      <w:pPr>
        <w:rPr>
          <w:szCs w:val="22"/>
        </w:rPr>
      </w:pPr>
    </w:p>
    <w:p w:rsidR="0021446D" w:rsidRPr="005F15DA" w:rsidRDefault="0021446D" w:rsidP="0021446D">
      <w:pPr>
        <w:rPr>
          <w:szCs w:val="22"/>
        </w:rPr>
      </w:pPr>
    </w:p>
    <w:p w:rsidR="0021446D" w:rsidRPr="005F15DA" w:rsidRDefault="0021446D" w:rsidP="0021446D">
      <w:pPr>
        <w:spacing w:after="200"/>
        <w:rPr>
          <w:szCs w:val="22"/>
        </w:rPr>
      </w:pPr>
      <w:r w:rsidRPr="005F15DA">
        <w:rPr>
          <w:szCs w:val="22"/>
        </w:rPr>
        <w:br w:type="page"/>
      </w:r>
    </w:p>
    <w:p w:rsidR="0021446D" w:rsidRPr="005F15DA" w:rsidRDefault="0021446D" w:rsidP="0021446D">
      <w:pPr>
        <w:pStyle w:val="berschrift2"/>
      </w:pPr>
      <w:bookmarkStart w:id="200" w:name="_Toc432175720"/>
      <w:r w:rsidRPr="005F15DA">
        <w:lastRenderedPageBreak/>
        <w:t>II. Ehe- und Erbvertrag</w:t>
      </w:r>
      <w:bookmarkEnd w:id="200"/>
    </w:p>
    <w:p w:rsidR="0021446D" w:rsidRPr="005F15DA" w:rsidRDefault="0021446D" w:rsidP="0021446D">
      <w:pPr>
        <w:widowControl w:val="0"/>
        <w:autoSpaceDE w:val="0"/>
        <w:autoSpaceDN w:val="0"/>
        <w:adjustRightInd w:val="0"/>
        <w:rPr>
          <w:rFonts w:ascii="Helvetica" w:hAnsi="Helvetica" w:cs="Helvetica"/>
          <w:b/>
          <w:bCs/>
          <w:sz w:val="12"/>
          <w:szCs w:val="12"/>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A. B., Notar des Kantons Bern, eingetragen im Notariatsregister des Kantons Bern, mit Büro in Münsingen,</w:t>
      </w: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autoSpaceDE w:val="0"/>
        <w:autoSpaceDN w:val="0"/>
        <w:jc w:val="center"/>
        <w:rPr>
          <w:rFonts w:ascii="Helvetica" w:hAnsi="Helvetica" w:cs="Helvetica"/>
          <w:szCs w:val="22"/>
        </w:rPr>
      </w:pPr>
      <w:r w:rsidRPr="005F15DA">
        <w:rPr>
          <w:rFonts w:ascii="Helvetica" w:hAnsi="Helvetica" w:cs="Helvetica"/>
          <w:i/>
          <w:iCs/>
          <w:szCs w:val="22"/>
        </w:rPr>
        <w:t>beurkundet:</w:t>
      </w: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Die Ehegatten</w:t>
      </w: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autoSpaceDE w:val="0"/>
        <w:autoSpaceDN w:val="0"/>
        <w:jc w:val="center"/>
        <w:rPr>
          <w:rFonts w:ascii="Helvetica" w:hAnsi="Helvetica" w:cs="Helvetica"/>
          <w:szCs w:val="22"/>
        </w:rPr>
      </w:pPr>
      <w:r w:rsidRPr="005F15DA">
        <w:rPr>
          <w:rFonts w:ascii="Helvetica" w:hAnsi="Helvetica" w:cs="Helvetica"/>
          <w:b/>
          <w:bCs/>
          <w:szCs w:val="22"/>
        </w:rPr>
        <w:t>Hans Gäumann</w:t>
      </w: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1.11.1949, von Häutligen, landwirtschaftlicher Betriebsberater,</w:t>
      </w: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und</w:t>
      </w: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autoSpaceDE w:val="0"/>
        <w:autoSpaceDN w:val="0"/>
        <w:jc w:val="center"/>
        <w:rPr>
          <w:rFonts w:ascii="Helvetica" w:hAnsi="Helvetica" w:cs="Helvetica"/>
          <w:szCs w:val="22"/>
        </w:rPr>
      </w:pPr>
      <w:r w:rsidRPr="005F15DA">
        <w:rPr>
          <w:rFonts w:ascii="Helvetica" w:hAnsi="Helvetica" w:cs="Helvetica"/>
          <w:b/>
          <w:bCs/>
          <w:szCs w:val="22"/>
        </w:rPr>
        <w:t>Helene Gäumann geb. Affolter</w:t>
      </w: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15.10.1951, von Grossaffoltern und Häutligen, Hausfrau / Krankenschwester,</w:t>
      </w: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 xml:space="preserve">-- beide Bahnhofstrasse 4, 3110 Münsingen, </w:t>
      </w: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autoSpaceDE w:val="0"/>
        <w:autoSpaceDN w:val="0"/>
        <w:jc w:val="center"/>
        <w:rPr>
          <w:rFonts w:ascii="Helvetica" w:hAnsi="Helvetica" w:cs="Helvetica"/>
          <w:szCs w:val="22"/>
        </w:rPr>
      </w:pPr>
      <w:r w:rsidRPr="005F15DA">
        <w:rPr>
          <w:rFonts w:ascii="Helvetica" w:hAnsi="Helvetica" w:cs="Helvetica"/>
          <w:i/>
          <w:iCs/>
          <w:szCs w:val="22"/>
        </w:rPr>
        <w:t>erklären:</w:t>
      </w: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rPr>
          <w:rFonts w:ascii="Helvetica" w:hAnsi="Helvetica" w:cs="Helvetica"/>
          <w:b/>
          <w:bCs/>
          <w:szCs w:val="22"/>
        </w:rPr>
      </w:pPr>
      <w:r w:rsidRPr="005F15DA">
        <w:rPr>
          <w:rFonts w:ascii="Helvetica" w:hAnsi="Helvetica" w:cs="Helvetica"/>
          <w:b/>
          <w:bCs/>
          <w:szCs w:val="22"/>
        </w:rPr>
        <w:t>I. Feststellungen</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ind w:left="270" w:hanging="270"/>
        <w:rPr>
          <w:rFonts w:ascii="Helvetica" w:hAnsi="Helvetica" w:cs="Helvetica"/>
          <w:szCs w:val="22"/>
        </w:rPr>
      </w:pPr>
      <w:r w:rsidRPr="005F15DA">
        <w:rPr>
          <w:rFonts w:ascii="Helvetica" w:hAnsi="Helvetica" w:cs="Helvetica"/>
          <w:szCs w:val="22"/>
        </w:rPr>
        <w:t>1. Wir sind am 13. September 1975 in Worb getraut worden.</w:t>
      </w:r>
      <w:r w:rsidRPr="005F15DA">
        <w:rPr>
          <w:rFonts w:ascii="Helvetica" w:hAnsi="Helvetica" w:cs="Helvetica"/>
          <w:szCs w:val="22"/>
        </w:rPr>
        <w:br/>
        <w:t>Von 1975 bis 1979 hatten wir Wohnsitz in Frankreich.</w:t>
      </w:r>
    </w:p>
    <w:p w:rsidR="0021446D" w:rsidRPr="005F15DA" w:rsidRDefault="0021446D" w:rsidP="0021446D">
      <w:pPr>
        <w:widowControl w:val="0"/>
        <w:autoSpaceDE w:val="0"/>
        <w:autoSpaceDN w:val="0"/>
        <w:adjustRightInd w:val="0"/>
        <w:spacing w:line="360" w:lineRule="auto"/>
        <w:ind w:left="270" w:hanging="270"/>
        <w:rPr>
          <w:rFonts w:ascii="Helvetica" w:hAnsi="Helvetica" w:cs="Helvetica"/>
          <w:szCs w:val="22"/>
        </w:rPr>
      </w:pPr>
    </w:p>
    <w:p w:rsidR="0021446D" w:rsidRPr="005F15DA" w:rsidRDefault="0021446D" w:rsidP="0021446D">
      <w:pPr>
        <w:widowControl w:val="0"/>
        <w:autoSpaceDE w:val="0"/>
        <w:autoSpaceDN w:val="0"/>
        <w:adjustRightInd w:val="0"/>
        <w:spacing w:line="360" w:lineRule="auto"/>
        <w:ind w:left="270" w:hanging="270"/>
        <w:rPr>
          <w:rFonts w:ascii="Helvetica" w:hAnsi="Helvetica" w:cs="Helvetica"/>
          <w:szCs w:val="22"/>
        </w:rPr>
      </w:pPr>
      <w:r w:rsidRPr="005F15DA">
        <w:rPr>
          <w:rFonts w:ascii="Helvetica" w:hAnsi="Helvetica" w:cs="Helvetica"/>
          <w:szCs w:val="22"/>
        </w:rPr>
        <w:t>2. Wir haben folgende, gemeinsame Nachkommen:</w:t>
      </w:r>
    </w:p>
    <w:p w:rsidR="0021446D" w:rsidRPr="005F15DA" w:rsidRDefault="0021446D" w:rsidP="0021446D">
      <w:pPr>
        <w:widowControl w:val="0"/>
        <w:autoSpaceDE w:val="0"/>
        <w:autoSpaceDN w:val="0"/>
        <w:adjustRightInd w:val="0"/>
        <w:rPr>
          <w:rFonts w:ascii="Helvetica" w:hAnsi="Helvetica" w:cs="Helvetica"/>
          <w:sz w:val="3"/>
          <w:szCs w:val="3"/>
        </w:rPr>
      </w:pPr>
      <w:r w:rsidRPr="005F15DA">
        <w:rPr>
          <w:rFonts w:ascii="Helvetica" w:hAnsi="Helvetica" w:cs="Helvetica"/>
          <w:sz w:val="3"/>
          <w:szCs w:val="3"/>
        </w:rPr>
        <w:br/>
      </w:r>
    </w:p>
    <w:p w:rsidR="0021446D" w:rsidRPr="005F15DA" w:rsidRDefault="0021446D" w:rsidP="0021446D">
      <w:pPr>
        <w:widowControl w:val="0"/>
        <w:autoSpaceDE w:val="0"/>
        <w:autoSpaceDN w:val="0"/>
        <w:adjustRightInd w:val="0"/>
        <w:spacing w:line="360" w:lineRule="auto"/>
        <w:ind w:left="270"/>
        <w:rPr>
          <w:rFonts w:ascii="Helvetica" w:hAnsi="Helvetica" w:cs="Helvetica"/>
          <w:szCs w:val="22"/>
        </w:rPr>
      </w:pPr>
      <w:r w:rsidRPr="005F15DA">
        <w:rPr>
          <w:rFonts w:ascii="Helvetica" w:hAnsi="Helvetica" w:cs="Helvetica"/>
          <w:szCs w:val="22"/>
        </w:rPr>
        <w:t>-- Hans Heinz, geb. 1.6.1976;</w:t>
      </w:r>
      <w:r w:rsidRPr="005F15DA">
        <w:rPr>
          <w:rFonts w:ascii="Helvetica" w:hAnsi="Helvetica" w:cs="Helvetica"/>
          <w:szCs w:val="22"/>
        </w:rPr>
        <w:br/>
        <w:t>-- Heidi, geb. 5.7.1978;</w:t>
      </w:r>
      <w:r w:rsidRPr="005F15DA">
        <w:rPr>
          <w:rFonts w:ascii="Helvetica" w:hAnsi="Helvetica" w:cs="Helvetica"/>
          <w:szCs w:val="22"/>
        </w:rPr>
        <w:br/>
        <w:t>-- Herbert, geb. 3.2.1984.</w:t>
      </w:r>
    </w:p>
    <w:p w:rsidR="0021446D" w:rsidRPr="005F15DA" w:rsidRDefault="0021446D" w:rsidP="0021446D">
      <w:pPr>
        <w:widowControl w:val="0"/>
        <w:autoSpaceDE w:val="0"/>
        <w:autoSpaceDN w:val="0"/>
        <w:adjustRightInd w:val="0"/>
        <w:spacing w:line="360" w:lineRule="auto"/>
        <w:ind w:left="270" w:hanging="270"/>
        <w:rPr>
          <w:rFonts w:ascii="Helvetica" w:hAnsi="Helvetica" w:cs="Helvetica"/>
          <w:szCs w:val="22"/>
        </w:rPr>
      </w:pPr>
    </w:p>
    <w:p w:rsidR="0021446D" w:rsidRPr="005F15DA" w:rsidRDefault="0021446D" w:rsidP="0021446D">
      <w:pPr>
        <w:widowControl w:val="0"/>
        <w:autoSpaceDE w:val="0"/>
        <w:autoSpaceDN w:val="0"/>
        <w:adjustRightInd w:val="0"/>
        <w:spacing w:line="360" w:lineRule="auto"/>
        <w:ind w:left="270" w:hanging="270"/>
        <w:rPr>
          <w:rFonts w:ascii="Helvetica" w:hAnsi="Helvetica" w:cs="Helvetica"/>
          <w:szCs w:val="22"/>
        </w:rPr>
      </w:pPr>
      <w:r w:rsidRPr="005F15DA">
        <w:rPr>
          <w:rFonts w:ascii="Helvetica" w:hAnsi="Helvetica" w:cs="Helvetica"/>
          <w:szCs w:val="22"/>
        </w:rPr>
        <w:t>3. Wir haben bisher keinen Ehevertrag abgeschlossen, keine Erklärungen über die Beibeha</w:t>
      </w:r>
      <w:r w:rsidRPr="005F15DA">
        <w:rPr>
          <w:rFonts w:ascii="Helvetica" w:hAnsi="Helvetica" w:cs="Helvetica"/>
          <w:szCs w:val="22"/>
        </w:rPr>
        <w:t>l</w:t>
      </w:r>
      <w:r w:rsidRPr="005F15DA">
        <w:rPr>
          <w:rFonts w:ascii="Helvetica" w:hAnsi="Helvetica" w:cs="Helvetica"/>
          <w:szCs w:val="22"/>
        </w:rPr>
        <w:t>tung der Güterverbindung oder die Wahl eines ausländischen Güterrechts abgegeben und</w:t>
      </w:r>
    </w:p>
    <w:p w:rsidR="0021446D" w:rsidRPr="005F15DA" w:rsidRDefault="0021446D" w:rsidP="0021446D">
      <w:pPr>
        <w:widowControl w:val="0"/>
        <w:autoSpaceDE w:val="0"/>
        <w:autoSpaceDN w:val="0"/>
        <w:adjustRightInd w:val="0"/>
        <w:rPr>
          <w:rFonts w:ascii="Helvetica" w:hAnsi="Helvetica" w:cs="Helvetica"/>
          <w:sz w:val="2"/>
          <w:szCs w:val="2"/>
        </w:rPr>
      </w:pPr>
      <w:r w:rsidRPr="005F15DA">
        <w:rPr>
          <w:rFonts w:ascii="Helvetica" w:hAnsi="Helvetica" w:cs="Helvetica"/>
          <w:sz w:val="2"/>
          <w:szCs w:val="2"/>
        </w:rPr>
        <w:br/>
      </w:r>
    </w:p>
    <w:p w:rsidR="0021446D" w:rsidRPr="005F15DA" w:rsidRDefault="0021446D" w:rsidP="0021446D">
      <w:pPr>
        <w:widowControl w:val="0"/>
        <w:autoSpaceDE w:val="0"/>
        <w:autoSpaceDN w:val="0"/>
        <w:adjustRightInd w:val="0"/>
        <w:spacing w:line="360" w:lineRule="auto"/>
        <w:ind w:left="270"/>
        <w:rPr>
          <w:rFonts w:ascii="Helvetica" w:hAnsi="Helvetica" w:cs="Helvetica"/>
          <w:szCs w:val="22"/>
        </w:rPr>
      </w:pPr>
      <w:r w:rsidRPr="005F15DA">
        <w:rPr>
          <w:rFonts w:ascii="Helvetica" w:hAnsi="Helvetica" w:cs="Helvetica"/>
          <w:szCs w:val="22"/>
        </w:rPr>
        <w:t>stehen somit unter dem ordentlichen Güterstand der Errungenschaftsbeteiligung.</w:t>
      </w:r>
    </w:p>
    <w:p w:rsidR="0021446D" w:rsidRPr="005F15DA" w:rsidRDefault="0021446D" w:rsidP="0021446D">
      <w:pPr>
        <w:widowControl w:val="0"/>
        <w:autoSpaceDE w:val="0"/>
        <w:autoSpaceDN w:val="0"/>
        <w:adjustRightInd w:val="0"/>
        <w:spacing w:line="360" w:lineRule="auto"/>
        <w:ind w:left="270"/>
        <w:rPr>
          <w:rFonts w:ascii="Helvetica" w:hAnsi="Helvetica" w:cs="Helvetica"/>
          <w:szCs w:val="22"/>
        </w:rPr>
      </w:pPr>
      <w:r w:rsidRPr="005F15DA">
        <w:rPr>
          <w:rFonts w:ascii="Helvetica" w:hAnsi="Helvetica" w:cs="Helvetica"/>
          <w:szCs w:val="22"/>
        </w:rPr>
        <w:t xml:space="preserve">Kein Ehegatte hatte eine Erklärung gemäss Art. </w:t>
      </w:r>
      <w:proofErr w:type="spellStart"/>
      <w:r w:rsidRPr="005F15DA">
        <w:rPr>
          <w:rFonts w:ascii="Helvetica" w:hAnsi="Helvetica" w:cs="Helvetica"/>
          <w:szCs w:val="22"/>
        </w:rPr>
        <w:t>9d</w:t>
      </w:r>
      <w:proofErr w:type="spellEnd"/>
      <w:r w:rsidRPr="005F15DA">
        <w:rPr>
          <w:rFonts w:ascii="Helvetica" w:hAnsi="Helvetica" w:cs="Helvetica"/>
          <w:szCs w:val="22"/>
        </w:rPr>
        <w:t xml:space="preserve"> </w:t>
      </w:r>
      <w:proofErr w:type="spellStart"/>
      <w:r w:rsidRPr="005F15DA">
        <w:rPr>
          <w:rFonts w:ascii="Helvetica" w:hAnsi="Helvetica" w:cs="Helvetica"/>
          <w:szCs w:val="22"/>
        </w:rPr>
        <w:t>SchlT</w:t>
      </w:r>
      <w:proofErr w:type="spellEnd"/>
      <w:r w:rsidRPr="005F15DA">
        <w:rPr>
          <w:rFonts w:ascii="Helvetica" w:hAnsi="Helvetica" w:cs="Helvetica"/>
          <w:szCs w:val="22"/>
        </w:rPr>
        <w:t xml:space="preserve"> ZGB abgegeben über die güte</w:t>
      </w:r>
      <w:r w:rsidRPr="005F15DA">
        <w:rPr>
          <w:rFonts w:ascii="Helvetica" w:hAnsi="Helvetica" w:cs="Helvetica"/>
          <w:szCs w:val="22"/>
        </w:rPr>
        <w:t>r</w:t>
      </w:r>
      <w:r w:rsidRPr="005F15DA">
        <w:rPr>
          <w:rFonts w:ascii="Helvetica" w:hAnsi="Helvetica" w:cs="Helvetica"/>
          <w:szCs w:val="22"/>
        </w:rPr>
        <w:t>rechtliche Auseinandersetzung nach den Bestimmungen des früheren Güterstands der G</w:t>
      </w:r>
      <w:r w:rsidRPr="005F15DA">
        <w:rPr>
          <w:rFonts w:ascii="Helvetica" w:hAnsi="Helvetica" w:cs="Helvetica"/>
          <w:szCs w:val="22"/>
        </w:rPr>
        <w:t>ü</w:t>
      </w:r>
      <w:r w:rsidRPr="005F15DA">
        <w:rPr>
          <w:rFonts w:ascii="Helvetica" w:hAnsi="Helvetica" w:cs="Helvetica"/>
          <w:szCs w:val="22"/>
        </w:rPr>
        <w:t>terverbindung.</w:t>
      </w:r>
    </w:p>
    <w:p w:rsidR="0021446D" w:rsidRPr="005F15DA" w:rsidRDefault="0021446D" w:rsidP="0021446D">
      <w:pPr>
        <w:widowControl w:val="0"/>
        <w:autoSpaceDE w:val="0"/>
        <w:autoSpaceDN w:val="0"/>
        <w:adjustRightInd w:val="0"/>
        <w:spacing w:line="360" w:lineRule="auto"/>
        <w:ind w:left="270" w:hanging="270"/>
        <w:rPr>
          <w:rFonts w:ascii="Helvetica" w:hAnsi="Helvetica" w:cs="Helvetica"/>
          <w:szCs w:val="22"/>
        </w:rPr>
      </w:pPr>
    </w:p>
    <w:p w:rsidR="0021446D" w:rsidRPr="005F15DA" w:rsidRDefault="0021446D" w:rsidP="0021446D">
      <w:pPr>
        <w:widowControl w:val="0"/>
        <w:autoSpaceDE w:val="0"/>
        <w:autoSpaceDN w:val="0"/>
        <w:adjustRightInd w:val="0"/>
        <w:spacing w:line="360" w:lineRule="auto"/>
        <w:ind w:left="270" w:hanging="270"/>
        <w:rPr>
          <w:rFonts w:ascii="Helvetica" w:hAnsi="Helvetica" w:cs="Helvetica"/>
          <w:szCs w:val="22"/>
        </w:rPr>
      </w:pPr>
      <w:r w:rsidRPr="005F15DA">
        <w:rPr>
          <w:rFonts w:ascii="Helvetica" w:hAnsi="Helvetica" w:cs="Helvetica"/>
          <w:szCs w:val="22"/>
        </w:rPr>
        <w:t>4. Wir anerkennen gegenseitig folgende Eigengüter:</w:t>
      </w: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ind w:left="540" w:hanging="270"/>
        <w:rPr>
          <w:rFonts w:ascii="Helvetica" w:hAnsi="Helvetica" w:cs="Helvetica"/>
          <w:b/>
          <w:bCs/>
          <w:szCs w:val="22"/>
        </w:rPr>
      </w:pPr>
      <w:r w:rsidRPr="005F15DA">
        <w:rPr>
          <w:rFonts w:ascii="Helvetica" w:hAnsi="Helvetica" w:cs="Helvetica"/>
          <w:b/>
          <w:bCs/>
          <w:szCs w:val="22"/>
        </w:rPr>
        <w:t>a. Des Ehemannes:</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rPr>
          <w:rFonts w:ascii="Helvetica" w:hAnsi="Helvetica" w:cs="Helvetica"/>
          <w:sz w:val="2"/>
          <w:szCs w:val="2"/>
        </w:rPr>
      </w:pPr>
      <w:r w:rsidRPr="005F15DA">
        <w:rPr>
          <w:rFonts w:ascii="Helvetica" w:hAnsi="Helvetica" w:cs="Helvetica"/>
          <w:sz w:val="2"/>
          <w:szCs w:val="2"/>
        </w:rPr>
        <w:br/>
      </w:r>
    </w:p>
    <w:tbl>
      <w:tblPr>
        <w:tblW w:w="0" w:type="auto"/>
        <w:tblInd w:w="450" w:type="dxa"/>
        <w:tblLayout w:type="fixed"/>
        <w:tblCellMar>
          <w:left w:w="0" w:type="dxa"/>
          <w:right w:w="0" w:type="dxa"/>
        </w:tblCellMar>
        <w:tblLook w:val="0000" w:firstRow="0" w:lastRow="0" w:firstColumn="0" w:lastColumn="0" w:noHBand="0" w:noVBand="0"/>
      </w:tblPr>
      <w:tblGrid>
        <w:gridCol w:w="4606"/>
        <w:gridCol w:w="1944"/>
      </w:tblGrid>
      <w:tr w:rsidR="0021446D" w:rsidRPr="005F15DA" w:rsidTr="0021446D">
        <w:tc>
          <w:tcPr>
            <w:tcW w:w="4606" w:type="dxa"/>
            <w:tcBorders>
              <w:top w:val="nil"/>
              <w:left w:val="nil"/>
              <w:bottom w:val="nil"/>
              <w:right w:val="nil"/>
            </w:tcBorders>
          </w:tcPr>
          <w:p w:rsidR="0021446D" w:rsidRPr="005F15DA" w:rsidRDefault="0021446D" w:rsidP="0021446D">
            <w:pPr>
              <w:widowControl w:val="0"/>
              <w:autoSpaceDE w:val="0"/>
              <w:autoSpaceDN w:val="0"/>
              <w:adjustRightInd w:val="0"/>
              <w:ind w:left="270" w:hanging="270"/>
              <w:rPr>
                <w:rFonts w:ascii="Helvetica" w:hAnsi="Helvetica" w:cs="Helvetica"/>
                <w:szCs w:val="22"/>
              </w:rPr>
            </w:pPr>
            <w:r w:rsidRPr="005F15DA">
              <w:rPr>
                <w:rFonts w:ascii="Helvetica" w:hAnsi="Helvetica" w:cs="Helvetica"/>
                <w:szCs w:val="22"/>
              </w:rPr>
              <w:t>--</w:t>
            </w:r>
            <w:r w:rsidRPr="005F15DA">
              <w:rPr>
                <w:rFonts w:ascii="Helvetica" w:hAnsi="Helvetica" w:cs="Helvetica"/>
                <w:szCs w:val="22"/>
              </w:rPr>
              <w:tab/>
              <w:t xml:space="preserve">Anteil am Hausrat </w:t>
            </w:r>
          </w:p>
        </w:tc>
        <w:tc>
          <w:tcPr>
            <w:tcW w:w="1944" w:type="dxa"/>
            <w:tcBorders>
              <w:top w:val="nil"/>
              <w:left w:val="nil"/>
              <w:bottom w:val="nil"/>
              <w:right w:val="nil"/>
            </w:tcBorders>
          </w:tcPr>
          <w:p w:rsidR="0021446D" w:rsidRPr="005F15DA" w:rsidRDefault="0021446D" w:rsidP="0021446D">
            <w:pPr>
              <w:widowControl w:val="0"/>
              <w:autoSpaceDE w:val="0"/>
              <w:autoSpaceDN w:val="0"/>
              <w:adjustRightInd w:val="0"/>
              <w:jc w:val="right"/>
              <w:rPr>
                <w:rFonts w:ascii="Helvetica" w:hAnsi="Helvetica" w:cs="Helvetica"/>
                <w:szCs w:val="22"/>
              </w:rPr>
            </w:pPr>
            <w:r w:rsidRPr="005F15DA">
              <w:rPr>
                <w:rFonts w:ascii="Helvetica" w:hAnsi="Helvetica" w:cs="Helvetica"/>
                <w:szCs w:val="22"/>
              </w:rPr>
              <w:t xml:space="preserve"> </w:t>
            </w:r>
          </w:p>
        </w:tc>
      </w:tr>
      <w:tr w:rsidR="0021446D" w:rsidRPr="005F15DA" w:rsidTr="0021446D">
        <w:tc>
          <w:tcPr>
            <w:tcW w:w="4606" w:type="dxa"/>
            <w:tcBorders>
              <w:top w:val="nil"/>
              <w:left w:val="nil"/>
              <w:bottom w:val="nil"/>
              <w:right w:val="nil"/>
            </w:tcBorders>
          </w:tcPr>
          <w:p w:rsidR="0021446D" w:rsidRPr="005F15DA" w:rsidRDefault="0021446D" w:rsidP="0021446D">
            <w:pPr>
              <w:widowControl w:val="0"/>
              <w:autoSpaceDE w:val="0"/>
              <w:autoSpaceDN w:val="0"/>
              <w:adjustRightInd w:val="0"/>
              <w:ind w:left="270" w:hanging="270"/>
              <w:rPr>
                <w:rFonts w:ascii="Helvetica" w:hAnsi="Helvetica" w:cs="Helvetica"/>
                <w:szCs w:val="22"/>
              </w:rPr>
            </w:pPr>
            <w:r w:rsidRPr="005F15DA">
              <w:rPr>
                <w:rFonts w:ascii="Helvetica" w:hAnsi="Helvetica" w:cs="Helvetica"/>
                <w:szCs w:val="22"/>
              </w:rPr>
              <w:t>--</w:t>
            </w:r>
            <w:r w:rsidRPr="005F15DA">
              <w:rPr>
                <w:rFonts w:ascii="Helvetica" w:hAnsi="Helvetica" w:cs="Helvetica"/>
                <w:szCs w:val="22"/>
              </w:rPr>
              <w:tab/>
              <w:t xml:space="preserve">Ersparnisse bei Eheschliessung </w:t>
            </w:r>
          </w:p>
        </w:tc>
        <w:tc>
          <w:tcPr>
            <w:tcW w:w="1944" w:type="dxa"/>
            <w:tcBorders>
              <w:top w:val="nil"/>
              <w:left w:val="nil"/>
              <w:bottom w:val="nil"/>
              <w:right w:val="nil"/>
            </w:tcBorders>
          </w:tcPr>
          <w:p w:rsidR="0021446D" w:rsidRPr="005F15DA" w:rsidRDefault="0021446D" w:rsidP="0021446D">
            <w:pPr>
              <w:widowControl w:val="0"/>
              <w:autoSpaceDE w:val="0"/>
              <w:autoSpaceDN w:val="0"/>
              <w:adjustRightInd w:val="0"/>
              <w:jc w:val="right"/>
              <w:rPr>
                <w:rFonts w:ascii="Helvetica" w:hAnsi="Helvetica" w:cs="Helvetica"/>
                <w:szCs w:val="22"/>
              </w:rPr>
            </w:pPr>
            <w:r w:rsidRPr="005F15DA">
              <w:rPr>
                <w:rFonts w:ascii="Helvetica" w:hAnsi="Helvetica" w:cs="Helvetica"/>
                <w:szCs w:val="22"/>
              </w:rPr>
              <w:t xml:space="preserve">Fr.   6 000.- </w:t>
            </w:r>
          </w:p>
        </w:tc>
      </w:tr>
      <w:tr w:rsidR="0021446D" w:rsidRPr="005F15DA" w:rsidTr="0021446D">
        <w:tc>
          <w:tcPr>
            <w:tcW w:w="4606" w:type="dxa"/>
            <w:tcBorders>
              <w:top w:val="nil"/>
              <w:left w:val="nil"/>
              <w:bottom w:val="nil"/>
              <w:right w:val="nil"/>
            </w:tcBorders>
          </w:tcPr>
          <w:p w:rsidR="0021446D" w:rsidRPr="005F15DA" w:rsidRDefault="0021446D" w:rsidP="0021446D">
            <w:pPr>
              <w:widowControl w:val="0"/>
              <w:autoSpaceDE w:val="0"/>
              <w:autoSpaceDN w:val="0"/>
              <w:adjustRightInd w:val="0"/>
              <w:ind w:left="259" w:hanging="259"/>
              <w:rPr>
                <w:rFonts w:ascii="Helvetica" w:hAnsi="Helvetica" w:cs="Helvetica"/>
                <w:szCs w:val="22"/>
              </w:rPr>
            </w:pPr>
            <w:r w:rsidRPr="005F15DA">
              <w:rPr>
                <w:rFonts w:ascii="Helvetica" w:hAnsi="Helvetica" w:cs="Helvetica"/>
                <w:szCs w:val="22"/>
              </w:rPr>
              <w:lastRenderedPageBreak/>
              <w:t>--</w:t>
            </w:r>
            <w:r w:rsidRPr="005F15DA">
              <w:rPr>
                <w:rFonts w:ascii="Helvetica" w:hAnsi="Helvetica" w:cs="Helvetica"/>
                <w:szCs w:val="22"/>
              </w:rPr>
              <w:tab/>
              <w:t>Lebensversicherung der</w:t>
            </w:r>
            <w:r w:rsidRPr="005F15DA">
              <w:rPr>
                <w:rFonts w:ascii="Helvetica" w:hAnsi="Helvetica" w:cs="Helvetica"/>
                <w:szCs w:val="22"/>
              </w:rPr>
              <w:br/>
              <w:t>Berner Versicherung, Fr. 50 000.-,</w:t>
            </w:r>
            <w:r w:rsidRPr="005F15DA">
              <w:rPr>
                <w:rFonts w:ascii="Helvetica" w:hAnsi="Helvetica" w:cs="Helvetica"/>
                <w:szCs w:val="22"/>
              </w:rPr>
              <w:br/>
              <w:t xml:space="preserve">Rückkaufswert bei Eheschliessung </w:t>
            </w:r>
          </w:p>
        </w:tc>
        <w:tc>
          <w:tcPr>
            <w:tcW w:w="1944" w:type="dxa"/>
            <w:tcBorders>
              <w:top w:val="nil"/>
              <w:left w:val="nil"/>
              <w:bottom w:val="nil"/>
              <w:right w:val="nil"/>
            </w:tcBorders>
          </w:tcPr>
          <w:p w:rsidR="0021446D" w:rsidRPr="005F15DA" w:rsidRDefault="0021446D" w:rsidP="0021446D">
            <w:pPr>
              <w:widowControl w:val="0"/>
              <w:autoSpaceDE w:val="0"/>
              <w:autoSpaceDN w:val="0"/>
              <w:adjustRightInd w:val="0"/>
              <w:jc w:val="right"/>
              <w:rPr>
                <w:rFonts w:ascii="Helvetica" w:hAnsi="Helvetica" w:cs="Helvetica"/>
                <w:szCs w:val="22"/>
              </w:rPr>
            </w:pPr>
            <w:r w:rsidRPr="005F15DA">
              <w:rPr>
                <w:rFonts w:ascii="Helvetica" w:hAnsi="Helvetica" w:cs="Helvetica"/>
                <w:szCs w:val="22"/>
              </w:rPr>
              <w:t xml:space="preserve"> </w:t>
            </w:r>
            <w:r w:rsidRPr="005F15DA">
              <w:rPr>
                <w:rFonts w:ascii="Helvetica" w:hAnsi="Helvetica" w:cs="Helvetica"/>
                <w:szCs w:val="22"/>
              </w:rPr>
              <w:br/>
              <w:t xml:space="preserve"> </w:t>
            </w:r>
            <w:r w:rsidRPr="005F15DA">
              <w:rPr>
                <w:rFonts w:ascii="Helvetica" w:hAnsi="Helvetica" w:cs="Helvetica"/>
                <w:szCs w:val="22"/>
              </w:rPr>
              <w:br/>
              <w:t xml:space="preserve">Fr.   4 200.- </w:t>
            </w:r>
          </w:p>
        </w:tc>
      </w:tr>
    </w:tbl>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ind w:left="540" w:hanging="270"/>
        <w:rPr>
          <w:rFonts w:ascii="Helvetica" w:hAnsi="Helvetica" w:cs="Helvetica"/>
          <w:b/>
          <w:bCs/>
          <w:szCs w:val="22"/>
        </w:rPr>
      </w:pPr>
      <w:r w:rsidRPr="005F15DA">
        <w:rPr>
          <w:rFonts w:ascii="Helvetica" w:hAnsi="Helvetica" w:cs="Helvetica"/>
          <w:b/>
          <w:bCs/>
          <w:szCs w:val="22"/>
        </w:rPr>
        <w:t>b. Der Ehefrau:</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rPr>
          <w:rFonts w:ascii="Helvetica" w:hAnsi="Helvetica" w:cs="Helvetica"/>
          <w:sz w:val="2"/>
          <w:szCs w:val="2"/>
        </w:rPr>
      </w:pPr>
      <w:r w:rsidRPr="005F15DA">
        <w:rPr>
          <w:rFonts w:ascii="Helvetica" w:hAnsi="Helvetica" w:cs="Helvetica"/>
          <w:sz w:val="2"/>
          <w:szCs w:val="2"/>
        </w:rPr>
        <w:br/>
      </w:r>
    </w:p>
    <w:tbl>
      <w:tblPr>
        <w:tblW w:w="0" w:type="auto"/>
        <w:tblInd w:w="450" w:type="dxa"/>
        <w:tblLayout w:type="fixed"/>
        <w:tblCellMar>
          <w:left w:w="0" w:type="dxa"/>
          <w:right w:w="0" w:type="dxa"/>
        </w:tblCellMar>
        <w:tblLook w:val="0000" w:firstRow="0" w:lastRow="0" w:firstColumn="0" w:lastColumn="0" w:noHBand="0" w:noVBand="0"/>
      </w:tblPr>
      <w:tblGrid>
        <w:gridCol w:w="4606"/>
        <w:gridCol w:w="1944"/>
      </w:tblGrid>
      <w:tr w:rsidR="0021446D" w:rsidRPr="005F15DA" w:rsidTr="0021446D">
        <w:tc>
          <w:tcPr>
            <w:tcW w:w="4606" w:type="dxa"/>
            <w:tcBorders>
              <w:top w:val="nil"/>
              <w:left w:val="nil"/>
              <w:bottom w:val="nil"/>
              <w:right w:val="nil"/>
            </w:tcBorders>
          </w:tcPr>
          <w:p w:rsidR="0021446D" w:rsidRPr="005F15DA" w:rsidRDefault="0021446D" w:rsidP="0021446D">
            <w:pPr>
              <w:widowControl w:val="0"/>
              <w:autoSpaceDE w:val="0"/>
              <w:autoSpaceDN w:val="0"/>
              <w:adjustRightInd w:val="0"/>
              <w:ind w:left="270" w:hanging="270"/>
              <w:rPr>
                <w:rFonts w:ascii="Helvetica" w:hAnsi="Helvetica" w:cs="Helvetica"/>
                <w:szCs w:val="22"/>
              </w:rPr>
            </w:pPr>
            <w:r w:rsidRPr="005F15DA">
              <w:rPr>
                <w:rFonts w:ascii="Helvetica" w:hAnsi="Helvetica" w:cs="Helvetica"/>
                <w:szCs w:val="22"/>
              </w:rPr>
              <w:t>--</w:t>
            </w:r>
            <w:r w:rsidRPr="005F15DA">
              <w:rPr>
                <w:rFonts w:ascii="Helvetica" w:hAnsi="Helvetica" w:cs="Helvetica"/>
                <w:szCs w:val="22"/>
              </w:rPr>
              <w:tab/>
              <w:t xml:space="preserve">Schmuck </w:t>
            </w:r>
          </w:p>
        </w:tc>
        <w:tc>
          <w:tcPr>
            <w:tcW w:w="1944" w:type="dxa"/>
            <w:tcBorders>
              <w:top w:val="nil"/>
              <w:left w:val="nil"/>
              <w:bottom w:val="nil"/>
              <w:right w:val="nil"/>
            </w:tcBorders>
          </w:tcPr>
          <w:p w:rsidR="0021446D" w:rsidRPr="005F15DA" w:rsidRDefault="0021446D" w:rsidP="0021446D">
            <w:pPr>
              <w:widowControl w:val="0"/>
              <w:autoSpaceDE w:val="0"/>
              <w:autoSpaceDN w:val="0"/>
              <w:adjustRightInd w:val="0"/>
              <w:jc w:val="right"/>
              <w:rPr>
                <w:rFonts w:ascii="Helvetica" w:hAnsi="Helvetica" w:cs="Helvetica"/>
                <w:szCs w:val="22"/>
              </w:rPr>
            </w:pPr>
            <w:r w:rsidRPr="005F15DA">
              <w:rPr>
                <w:rFonts w:ascii="Helvetica" w:hAnsi="Helvetica" w:cs="Helvetica"/>
                <w:szCs w:val="22"/>
              </w:rPr>
              <w:t xml:space="preserve"> </w:t>
            </w:r>
          </w:p>
        </w:tc>
      </w:tr>
      <w:tr w:rsidR="0021446D" w:rsidRPr="005F15DA" w:rsidTr="0021446D">
        <w:tc>
          <w:tcPr>
            <w:tcW w:w="4606" w:type="dxa"/>
            <w:tcBorders>
              <w:top w:val="nil"/>
              <w:left w:val="nil"/>
              <w:bottom w:val="nil"/>
              <w:right w:val="nil"/>
            </w:tcBorders>
          </w:tcPr>
          <w:p w:rsidR="0021446D" w:rsidRPr="005F15DA" w:rsidRDefault="0021446D" w:rsidP="0021446D">
            <w:pPr>
              <w:widowControl w:val="0"/>
              <w:autoSpaceDE w:val="0"/>
              <w:autoSpaceDN w:val="0"/>
              <w:adjustRightInd w:val="0"/>
              <w:ind w:left="270" w:hanging="270"/>
              <w:rPr>
                <w:rFonts w:ascii="Helvetica" w:hAnsi="Helvetica" w:cs="Helvetica"/>
                <w:szCs w:val="22"/>
              </w:rPr>
            </w:pPr>
            <w:r w:rsidRPr="005F15DA">
              <w:rPr>
                <w:rFonts w:ascii="Helvetica" w:hAnsi="Helvetica" w:cs="Helvetica"/>
                <w:szCs w:val="22"/>
              </w:rPr>
              <w:t>--</w:t>
            </w:r>
            <w:r w:rsidRPr="005F15DA">
              <w:rPr>
                <w:rFonts w:ascii="Helvetica" w:hAnsi="Helvetica" w:cs="Helvetica"/>
                <w:szCs w:val="22"/>
              </w:rPr>
              <w:tab/>
              <w:t xml:space="preserve">Anteil am Hausrat </w:t>
            </w:r>
          </w:p>
        </w:tc>
        <w:tc>
          <w:tcPr>
            <w:tcW w:w="1944" w:type="dxa"/>
            <w:tcBorders>
              <w:top w:val="nil"/>
              <w:left w:val="nil"/>
              <w:bottom w:val="nil"/>
              <w:right w:val="nil"/>
            </w:tcBorders>
          </w:tcPr>
          <w:p w:rsidR="0021446D" w:rsidRPr="005F15DA" w:rsidRDefault="0021446D" w:rsidP="0021446D">
            <w:pPr>
              <w:widowControl w:val="0"/>
              <w:autoSpaceDE w:val="0"/>
              <w:autoSpaceDN w:val="0"/>
              <w:adjustRightInd w:val="0"/>
              <w:jc w:val="right"/>
              <w:rPr>
                <w:rFonts w:ascii="Helvetica" w:hAnsi="Helvetica" w:cs="Helvetica"/>
                <w:szCs w:val="22"/>
              </w:rPr>
            </w:pPr>
            <w:r w:rsidRPr="005F15DA">
              <w:rPr>
                <w:rFonts w:ascii="Helvetica" w:hAnsi="Helvetica" w:cs="Helvetica"/>
                <w:szCs w:val="22"/>
              </w:rPr>
              <w:t xml:space="preserve"> </w:t>
            </w:r>
          </w:p>
        </w:tc>
      </w:tr>
      <w:tr w:rsidR="0021446D" w:rsidRPr="005F15DA" w:rsidTr="0021446D">
        <w:tc>
          <w:tcPr>
            <w:tcW w:w="4606" w:type="dxa"/>
            <w:tcBorders>
              <w:top w:val="nil"/>
              <w:left w:val="nil"/>
              <w:bottom w:val="nil"/>
              <w:right w:val="nil"/>
            </w:tcBorders>
          </w:tcPr>
          <w:p w:rsidR="0021446D" w:rsidRPr="005F15DA" w:rsidRDefault="0021446D" w:rsidP="0021446D">
            <w:pPr>
              <w:widowControl w:val="0"/>
              <w:autoSpaceDE w:val="0"/>
              <w:autoSpaceDN w:val="0"/>
              <w:adjustRightInd w:val="0"/>
              <w:ind w:left="270" w:hanging="270"/>
              <w:rPr>
                <w:rFonts w:ascii="Helvetica" w:hAnsi="Helvetica" w:cs="Helvetica"/>
                <w:szCs w:val="22"/>
              </w:rPr>
            </w:pPr>
            <w:r w:rsidRPr="005F15DA">
              <w:rPr>
                <w:rFonts w:ascii="Helvetica" w:hAnsi="Helvetica" w:cs="Helvetica"/>
                <w:szCs w:val="22"/>
              </w:rPr>
              <w:t>--</w:t>
            </w:r>
            <w:r w:rsidRPr="005F15DA">
              <w:rPr>
                <w:rFonts w:ascii="Helvetica" w:hAnsi="Helvetica" w:cs="Helvetica"/>
                <w:szCs w:val="22"/>
              </w:rPr>
              <w:tab/>
              <w:t xml:space="preserve">Ersparnisse bei Eheschliessung </w:t>
            </w:r>
          </w:p>
        </w:tc>
        <w:tc>
          <w:tcPr>
            <w:tcW w:w="1944" w:type="dxa"/>
            <w:tcBorders>
              <w:top w:val="nil"/>
              <w:left w:val="nil"/>
              <w:bottom w:val="nil"/>
              <w:right w:val="nil"/>
            </w:tcBorders>
          </w:tcPr>
          <w:p w:rsidR="0021446D" w:rsidRPr="005F15DA" w:rsidRDefault="0021446D" w:rsidP="0021446D">
            <w:pPr>
              <w:widowControl w:val="0"/>
              <w:autoSpaceDE w:val="0"/>
              <w:autoSpaceDN w:val="0"/>
              <w:adjustRightInd w:val="0"/>
              <w:jc w:val="right"/>
              <w:rPr>
                <w:rFonts w:ascii="Helvetica" w:hAnsi="Helvetica" w:cs="Helvetica"/>
                <w:szCs w:val="22"/>
              </w:rPr>
            </w:pPr>
            <w:r w:rsidRPr="005F15DA">
              <w:rPr>
                <w:rFonts w:ascii="Helvetica" w:hAnsi="Helvetica" w:cs="Helvetica"/>
                <w:szCs w:val="22"/>
              </w:rPr>
              <w:t xml:space="preserve">Fr.   8 000.- </w:t>
            </w:r>
          </w:p>
        </w:tc>
      </w:tr>
      <w:tr w:rsidR="0021446D" w:rsidRPr="005F15DA" w:rsidTr="0021446D">
        <w:tc>
          <w:tcPr>
            <w:tcW w:w="4606" w:type="dxa"/>
            <w:tcBorders>
              <w:top w:val="nil"/>
              <w:left w:val="nil"/>
              <w:bottom w:val="nil"/>
              <w:right w:val="nil"/>
            </w:tcBorders>
          </w:tcPr>
          <w:p w:rsidR="0021446D" w:rsidRPr="005F15DA" w:rsidRDefault="0021446D" w:rsidP="0021446D">
            <w:pPr>
              <w:widowControl w:val="0"/>
              <w:autoSpaceDE w:val="0"/>
              <w:autoSpaceDN w:val="0"/>
              <w:adjustRightInd w:val="0"/>
              <w:ind w:left="259" w:hanging="259"/>
              <w:rPr>
                <w:rFonts w:ascii="Helvetica" w:hAnsi="Helvetica" w:cs="Helvetica"/>
                <w:szCs w:val="22"/>
              </w:rPr>
            </w:pPr>
            <w:r w:rsidRPr="005F15DA">
              <w:rPr>
                <w:rFonts w:ascii="Helvetica" w:hAnsi="Helvetica" w:cs="Helvetica"/>
                <w:szCs w:val="22"/>
              </w:rPr>
              <w:t>--</w:t>
            </w:r>
            <w:r w:rsidRPr="005F15DA">
              <w:rPr>
                <w:rFonts w:ascii="Helvetica" w:hAnsi="Helvetica" w:cs="Helvetica"/>
                <w:szCs w:val="22"/>
              </w:rPr>
              <w:tab/>
              <w:t>Erbteil aus dem Nachlass des Vaters,</w:t>
            </w:r>
            <w:r w:rsidRPr="005F15DA">
              <w:rPr>
                <w:rFonts w:ascii="Helvetica" w:hAnsi="Helvetica" w:cs="Helvetica"/>
                <w:szCs w:val="22"/>
              </w:rPr>
              <w:br/>
              <w:t xml:space="preserve">Fritz Affolter, verstorben am 2. August 1981 </w:t>
            </w:r>
          </w:p>
        </w:tc>
        <w:tc>
          <w:tcPr>
            <w:tcW w:w="1944" w:type="dxa"/>
            <w:tcBorders>
              <w:top w:val="nil"/>
              <w:left w:val="nil"/>
              <w:bottom w:val="nil"/>
              <w:right w:val="nil"/>
            </w:tcBorders>
          </w:tcPr>
          <w:p w:rsidR="0021446D" w:rsidRPr="005F15DA" w:rsidRDefault="0021446D" w:rsidP="0021446D">
            <w:pPr>
              <w:widowControl w:val="0"/>
              <w:autoSpaceDE w:val="0"/>
              <w:autoSpaceDN w:val="0"/>
              <w:adjustRightInd w:val="0"/>
              <w:jc w:val="right"/>
              <w:rPr>
                <w:rFonts w:ascii="Helvetica" w:hAnsi="Helvetica" w:cs="Helvetica"/>
                <w:szCs w:val="22"/>
              </w:rPr>
            </w:pPr>
            <w:r w:rsidRPr="005F15DA">
              <w:rPr>
                <w:rFonts w:ascii="Helvetica" w:hAnsi="Helvetica" w:cs="Helvetica"/>
                <w:szCs w:val="22"/>
              </w:rPr>
              <w:t xml:space="preserve"> </w:t>
            </w:r>
            <w:r w:rsidRPr="005F15DA">
              <w:rPr>
                <w:rFonts w:ascii="Helvetica" w:hAnsi="Helvetica" w:cs="Helvetica"/>
                <w:szCs w:val="22"/>
              </w:rPr>
              <w:br/>
              <w:t xml:space="preserve">Fr. 15 000.- </w:t>
            </w:r>
          </w:p>
        </w:tc>
      </w:tr>
    </w:tbl>
    <w:p w:rsidR="0021446D" w:rsidRPr="005F15DA" w:rsidRDefault="0021446D" w:rsidP="0021446D">
      <w:pPr>
        <w:widowControl w:val="0"/>
        <w:autoSpaceDE w:val="0"/>
        <w:autoSpaceDN w:val="0"/>
        <w:adjustRightInd w:val="0"/>
        <w:spacing w:line="360" w:lineRule="auto"/>
        <w:ind w:left="270"/>
        <w:rPr>
          <w:rFonts w:ascii="Helvetica" w:hAnsi="Helvetica" w:cs="Helvetica"/>
          <w:szCs w:val="22"/>
        </w:rPr>
      </w:pPr>
      <w:r w:rsidRPr="005F15DA">
        <w:rPr>
          <w:rFonts w:ascii="Helvetica" w:hAnsi="Helvetica" w:cs="Helvetica"/>
          <w:szCs w:val="22"/>
        </w:rPr>
        <w:t>Der Hausrat und Schmuck werden im heutigen Zeitpunkt nicht bewertet.</w:t>
      </w: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rPr>
          <w:rFonts w:ascii="Helvetica" w:hAnsi="Helvetica" w:cs="Helvetica"/>
          <w:b/>
          <w:bCs/>
          <w:szCs w:val="22"/>
        </w:rPr>
      </w:pPr>
      <w:r w:rsidRPr="005F15DA">
        <w:rPr>
          <w:rFonts w:ascii="Helvetica" w:hAnsi="Helvetica" w:cs="Helvetica"/>
          <w:b/>
          <w:bCs/>
          <w:szCs w:val="22"/>
        </w:rPr>
        <w:t>II. Ehevertrag</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t>1. Güterstand</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Wir behalten den Güterstand der Errungenschaftsbeteiligung bei.</w:t>
      </w:r>
    </w:p>
    <w:p w:rsidR="0021446D" w:rsidRPr="005F15DA" w:rsidRDefault="0021446D" w:rsidP="0021446D">
      <w:pPr>
        <w:widowControl w:val="0"/>
        <w:autoSpaceDE w:val="0"/>
        <w:autoSpaceDN w:val="0"/>
        <w:adjustRightInd w:val="0"/>
        <w:rPr>
          <w:rFonts w:ascii="Helvetica" w:hAnsi="Helvetica" w:cs="Helvetica"/>
          <w:b/>
          <w:bCs/>
          <w:szCs w:val="22"/>
        </w:rPr>
      </w:pPr>
    </w:p>
    <w:p w:rsidR="0021446D" w:rsidRPr="005F15DA" w:rsidRDefault="0021446D" w:rsidP="0021446D">
      <w:pPr>
        <w:widowControl w:val="0"/>
        <w:autoSpaceDE w:val="0"/>
        <w:autoSpaceDN w:val="0"/>
        <w:adjustRightInd w:val="0"/>
        <w:rPr>
          <w:rFonts w:ascii="Helvetica" w:hAnsi="Helvetica" w:cs="Helvetica"/>
          <w:b/>
          <w:bCs/>
          <w:szCs w:val="22"/>
        </w:rPr>
      </w:pPr>
      <w:r w:rsidRPr="005F15DA">
        <w:rPr>
          <w:rFonts w:ascii="Helvetica" w:hAnsi="Helvetica" w:cs="Helvetica"/>
          <w:b/>
          <w:bCs/>
          <w:szCs w:val="22"/>
        </w:rPr>
        <w:t>2. Vorschlagszuweisung</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t>a. Beim Tode eines Ehegatten</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ind w:left="270"/>
        <w:rPr>
          <w:rFonts w:ascii="Helvetica" w:hAnsi="Helvetica" w:cs="Helvetica"/>
          <w:szCs w:val="22"/>
        </w:rPr>
      </w:pPr>
      <w:r w:rsidRPr="005F15DA">
        <w:rPr>
          <w:rFonts w:ascii="Helvetica" w:hAnsi="Helvetica" w:cs="Helvetica"/>
          <w:szCs w:val="22"/>
        </w:rPr>
        <w:t>Wir vereinbaren, dass der Vorschlag jedes Ehegatten ganz dem überlebenden Ehegatten zugewiesen wird.</w:t>
      </w:r>
    </w:p>
    <w:p w:rsidR="0021446D" w:rsidRPr="005F15DA" w:rsidRDefault="0021446D" w:rsidP="0021446D">
      <w:pPr>
        <w:widowControl w:val="0"/>
        <w:autoSpaceDE w:val="0"/>
        <w:autoSpaceDN w:val="0"/>
        <w:adjustRightInd w:val="0"/>
        <w:rPr>
          <w:rFonts w:ascii="Helvetica" w:hAnsi="Helvetica" w:cs="Helvetica"/>
          <w:sz w:val="2"/>
          <w:szCs w:val="2"/>
        </w:rPr>
      </w:pPr>
      <w:r w:rsidRPr="005F15DA">
        <w:rPr>
          <w:rFonts w:ascii="Helvetica" w:hAnsi="Helvetica" w:cs="Helvetica"/>
          <w:sz w:val="2"/>
          <w:szCs w:val="2"/>
        </w:rPr>
        <w:br/>
      </w: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t>b. Bei Ehescheidung</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ind w:left="270"/>
        <w:rPr>
          <w:rFonts w:ascii="Helvetica" w:hAnsi="Helvetica" w:cs="Helvetica"/>
          <w:szCs w:val="22"/>
        </w:rPr>
      </w:pPr>
      <w:r w:rsidRPr="005F15DA">
        <w:rPr>
          <w:rFonts w:ascii="Helvetica" w:hAnsi="Helvetica" w:cs="Helvetica"/>
          <w:szCs w:val="22"/>
        </w:rPr>
        <w:t>Wir nehmen zur Kenntnis, dass bei Scheidung, Trennung, Ungültigerklärung der Ehe oder gerichtlicher Anordnung der Gütertrennung von Gesetzes wegen jedem Ehegatten die Hälfte des Vorschlages des andern zusteht.</w:t>
      </w:r>
    </w:p>
    <w:p w:rsidR="0021446D" w:rsidRPr="005F15DA" w:rsidRDefault="0021446D" w:rsidP="0021446D">
      <w:pPr>
        <w:widowControl w:val="0"/>
        <w:autoSpaceDE w:val="0"/>
        <w:autoSpaceDN w:val="0"/>
        <w:adjustRightInd w:val="0"/>
        <w:spacing w:line="360" w:lineRule="auto"/>
        <w:ind w:left="270"/>
        <w:rPr>
          <w:rFonts w:ascii="Helvetica" w:hAnsi="Helvetica" w:cs="Helvetica"/>
          <w:szCs w:val="22"/>
        </w:rPr>
      </w:pPr>
      <w:r w:rsidRPr="005F15DA">
        <w:rPr>
          <w:rFonts w:ascii="Helvetica" w:hAnsi="Helvetica" w:cs="Helvetica"/>
          <w:szCs w:val="22"/>
        </w:rPr>
        <w:t>Wir verzichten darauf, diese gesetzliche Ordnung gestützt auf Art. 217 ZGB abzuändern.</w:t>
      </w: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t>c. Wiederverheiratung des überlebenden Ehegatten</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ind w:left="270"/>
        <w:rPr>
          <w:rFonts w:ascii="Helvetica" w:hAnsi="Helvetica" w:cs="Helvetica"/>
          <w:szCs w:val="22"/>
        </w:rPr>
      </w:pPr>
      <w:r w:rsidRPr="005F15DA">
        <w:rPr>
          <w:rFonts w:ascii="Helvetica" w:hAnsi="Helvetica" w:cs="Helvetica"/>
          <w:szCs w:val="22"/>
        </w:rPr>
        <w:t>Sobald sich der überlebende Ehegatte wieder verheiratet, hat er den ihm zusätzlich zu se</w:t>
      </w:r>
      <w:r w:rsidRPr="005F15DA">
        <w:rPr>
          <w:rFonts w:ascii="Helvetica" w:hAnsi="Helvetica" w:cs="Helvetica"/>
          <w:szCs w:val="22"/>
        </w:rPr>
        <w:t>i</w:t>
      </w:r>
      <w:r w:rsidRPr="005F15DA">
        <w:rPr>
          <w:rFonts w:ascii="Helvetica" w:hAnsi="Helvetica" w:cs="Helvetica"/>
          <w:szCs w:val="22"/>
        </w:rPr>
        <w:t>nem gesetzlichen Beteiligungsanspruch zugewiesenen Vorschlag mit den gemeinsamen Nachkommen gemäss den Bestimmungen des nachfolgenden Erbvertrages zu teilen.</w:t>
      </w:r>
    </w:p>
    <w:p w:rsidR="0021446D" w:rsidRPr="005F15DA" w:rsidRDefault="0021446D" w:rsidP="0021446D">
      <w:pPr>
        <w:widowControl w:val="0"/>
        <w:autoSpaceDE w:val="0"/>
        <w:autoSpaceDN w:val="0"/>
        <w:adjustRightInd w:val="0"/>
        <w:ind w:left="270" w:hanging="270"/>
        <w:rPr>
          <w:rFonts w:ascii="Helvetica" w:hAnsi="Helvetica" w:cs="Helvetica"/>
          <w:b/>
          <w:bCs/>
          <w:szCs w:val="22"/>
        </w:rPr>
      </w:pPr>
    </w:p>
    <w:p w:rsidR="0021446D" w:rsidRPr="005F15DA" w:rsidRDefault="0021446D" w:rsidP="0021446D">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t>3. Erträge des Eigengutes</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Gestützt auf Art. 199 Abs. 2 ZGB erklären wir die Erträge des Eigengutes zu Eigengut.</w:t>
      </w:r>
    </w:p>
    <w:p w:rsidR="0021446D" w:rsidRPr="005F15DA" w:rsidRDefault="0021446D" w:rsidP="0021446D">
      <w:pPr>
        <w:widowControl w:val="0"/>
        <w:autoSpaceDE w:val="0"/>
        <w:autoSpaceDN w:val="0"/>
        <w:adjustRightInd w:val="0"/>
        <w:ind w:left="270" w:hanging="270"/>
        <w:rPr>
          <w:rFonts w:ascii="Helvetica" w:hAnsi="Helvetica" w:cs="Helvetica"/>
          <w:b/>
          <w:bCs/>
          <w:szCs w:val="22"/>
        </w:rPr>
      </w:pPr>
    </w:p>
    <w:p w:rsidR="0021446D" w:rsidRPr="005F15DA" w:rsidRDefault="0021446D" w:rsidP="0021446D">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t>4. Mehrwertansprüche</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Für den Fall des Todes eines Ehegatten verzichten wir auf die Geltendmachung von allfäll</w:t>
      </w:r>
      <w:r w:rsidRPr="005F15DA">
        <w:rPr>
          <w:rFonts w:ascii="Helvetica" w:hAnsi="Helvetica" w:cs="Helvetica"/>
          <w:szCs w:val="22"/>
        </w:rPr>
        <w:t>i</w:t>
      </w:r>
      <w:r w:rsidRPr="005F15DA">
        <w:rPr>
          <w:rFonts w:ascii="Helvetica" w:hAnsi="Helvetica" w:cs="Helvetica"/>
          <w:szCs w:val="22"/>
        </w:rPr>
        <w:t>gen Mehrwertansprüchen.</w:t>
      </w:r>
    </w:p>
    <w:p w:rsidR="0021446D" w:rsidRPr="005F15DA" w:rsidRDefault="0021446D" w:rsidP="0021446D">
      <w:pPr>
        <w:widowControl w:val="0"/>
        <w:autoSpaceDE w:val="0"/>
        <w:autoSpaceDN w:val="0"/>
        <w:adjustRightInd w:val="0"/>
        <w:rPr>
          <w:rFonts w:ascii="Helvetica" w:hAnsi="Helvetica" w:cs="Helvetica"/>
          <w:b/>
          <w:bCs/>
          <w:szCs w:val="22"/>
        </w:rPr>
      </w:pPr>
      <w:r w:rsidRPr="005F15DA">
        <w:rPr>
          <w:rFonts w:ascii="Helvetica" w:hAnsi="Helvetica" w:cs="Helvetica"/>
          <w:b/>
          <w:bCs/>
          <w:szCs w:val="22"/>
        </w:rPr>
        <w:lastRenderedPageBreak/>
        <w:t>III. Erbvertrag</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Beim Tode des erstversterbenden Ehegatten gilt folgendes:</w:t>
      </w:r>
    </w:p>
    <w:p w:rsidR="0021446D" w:rsidRPr="005F15DA" w:rsidRDefault="0021446D" w:rsidP="0021446D">
      <w:pPr>
        <w:widowControl w:val="0"/>
        <w:autoSpaceDE w:val="0"/>
        <w:autoSpaceDN w:val="0"/>
        <w:adjustRightInd w:val="0"/>
        <w:ind w:left="270" w:hanging="270"/>
        <w:rPr>
          <w:rFonts w:ascii="Helvetica" w:hAnsi="Helvetica" w:cs="Helvetica"/>
          <w:b/>
          <w:bCs/>
          <w:szCs w:val="22"/>
        </w:rPr>
      </w:pPr>
    </w:p>
    <w:p w:rsidR="0021446D" w:rsidRPr="005F15DA" w:rsidRDefault="0021446D" w:rsidP="0021446D">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t>1. Pflichtteile/Nutzniessung</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Wir setzen die Nachkommen auf den gesetzlichen Pflichtteil und setzen den überlebenden Ehegatten für die frei verfügbare Quote als Erben ein.</w:t>
      </w: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Dem überlebenden Ehegatten wenden wir gestützt auf Art. 473 ZGB die lebenslängliche Nutzniessung am übrigen Nachlassvermögen zu. Der überlebende Ehegatte ist von der S</w:t>
      </w:r>
      <w:r w:rsidRPr="005F15DA">
        <w:rPr>
          <w:rFonts w:ascii="Helvetica" w:hAnsi="Helvetica" w:cs="Helvetica"/>
          <w:szCs w:val="22"/>
        </w:rPr>
        <w:t>i</w:t>
      </w:r>
      <w:r w:rsidRPr="005F15DA">
        <w:rPr>
          <w:rFonts w:ascii="Helvetica" w:hAnsi="Helvetica" w:cs="Helvetica"/>
          <w:szCs w:val="22"/>
        </w:rPr>
        <w:t>cherstellungspflicht entbunden; vorbehalten bleibt Art. 760 Abs. 1 ZGB.</w:t>
      </w:r>
    </w:p>
    <w:p w:rsidR="0021446D" w:rsidRPr="005F15DA" w:rsidRDefault="0021446D" w:rsidP="0021446D">
      <w:pPr>
        <w:widowControl w:val="0"/>
        <w:autoSpaceDE w:val="0"/>
        <w:autoSpaceDN w:val="0"/>
        <w:adjustRightInd w:val="0"/>
        <w:rPr>
          <w:rFonts w:ascii="Helvetica" w:hAnsi="Helvetica" w:cs="Helvetica"/>
          <w:sz w:val="2"/>
          <w:szCs w:val="2"/>
        </w:rPr>
      </w:pPr>
      <w:r w:rsidRPr="005F15DA">
        <w:rPr>
          <w:rFonts w:ascii="Helvetica" w:hAnsi="Helvetica" w:cs="Helvetica"/>
          <w:sz w:val="2"/>
          <w:szCs w:val="2"/>
        </w:rPr>
        <w:br/>
      </w:r>
    </w:p>
    <w:p w:rsidR="0021446D" w:rsidRPr="005F15DA" w:rsidRDefault="0021446D" w:rsidP="0021446D">
      <w:pPr>
        <w:widowControl w:val="0"/>
        <w:autoSpaceDE w:val="0"/>
        <w:autoSpaceDN w:val="0"/>
        <w:adjustRightInd w:val="0"/>
        <w:rPr>
          <w:rFonts w:ascii="Helvetica" w:hAnsi="Helvetica" w:cs="Helvetica"/>
          <w:b/>
          <w:bCs/>
          <w:szCs w:val="22"/>
        </w:rPr>
      </w:pPr>
    </w:p>
    <w:p w:rsidR="0021446D" w:rsidRPr="005F15DA" w:rsidRDefault="0021446D" w:rsidP="0021446D">
      <w:pPr>
        <w:widowControl w:val="0"/>
        <w:autoSpaceDE w:val="0"/>
        <w:autoSpaceDN w:val="0"/>
        <w:adjustRightInd w:val="0"/>
        <w:rPr>
          <w:rFonts w:ascii="Helvetica" w:hAnsi="Helvetica" w:cs="Helvetica"/>
          <w:b/>
          <w:bCs/>
          <w:szCs w:val="22"/>
        </w:rPr>
      </w:pPr>
      <w:r w:rsidRPr="005F15DA">
        <w:rPr>
          <w:rFonts w:ascii="Helvetica" w:hAnsi="Helvetica" w:cs="Helvetica"/>
          <w:b/>
          <w:bCs/>
          <w:szCs w:val="22"/>
        </w:rPr>
        <w:t>2. Teilungsbestimmung</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Der überlebende Ehegatte ist berechtigt, sämtliche Aktiven und Passiven des Nachlassve</w:t>
      </w:r>
      <w:r w:rsidRPr="005F15DA">
        <w:rPr>
          <w:rFonts w:ascii="Helvetica" w:hAnsi="Helvetica" w:cs="Helvetica"/>
          <w:szCs w:val="22"/>
        </w:rPr>
        <w:t>r</w:t>
      </w:r>
      <w:r w:rsidRPr="005F15DA">
        <w:rPr>
          <w:rFonts w:ascii="Helvetica" w:hAnsi="Helvetica" w:cs="Helvetica"/>
          <w:szCs w:val="22"/>
        </w:rPr>
        <w:t>mögens in Anrechnung an seine güter- und erbrechtlichen Ansprüche zu Eigentum zu übe</w:t>
      </w:r>
      <w:r w:rsidRPr="005F15DA">
        <w:rPr>
          <w:rFonts w:ascii="Helvetica" w:hAnsi="Helvetica" w:cs="Helvetica"/>
          <w:szCs w:val="22"/>
        </w:rPr>
        <w:t>r</w:t>
      </w:r>
      <w:r w:rsidRPr="005F15DA">
        <w:rPr>
          <w:rFonts w:ascii="Helvetica" w:hAnsi="Helvetica" w:cs="Helvetica"/>
          <w:szCs w:val="22"/>
        </w:rPr>
        <w:t>nehmen. Die Erbteile der Nachkommen bestehen - wenn der überlebende Ehegatte diese Befugnis ausschöpft - aus einer Barforderung gegenüber dem überlebenden Ehegatten, die wegen der Nutzniessung unkündbar und unverzinslich ist. Es steht dem überlebenden Eh</w:t>
      </w:r>
      <w:r w:rsidRPr="005F15DA">
        <w:rPr>
          <w:rFonts w:ascii="Helvetica" w:hAnsi="Helvetica" w:cs="Helvetica"/>
          <w:szCs w:val="22"/>
        </w:rPr>
        <w:t>e</w:t>
      </w:r>
      <w:r w:rsidRPr="005F15DA">
        <w:rPr>
          <w:rFonts w:ascii="Helvetica" w:hAnsi="Helvetica" w:cs="Helvetica"/>
          <w:szCs w:val="22"/>
        </w:rPr>
        <w:t>gatten frei, von dieser Befugnis nur teilweisen Gebrauch zu machen und den Nachkommen Erbschaftssachen ihrer Wahl zu überlassen.</w:t>
      </w:r>
    </w:p>
    <w:p w:rsidR="0021446D" w:rsidRPr="005F15DA" w:rsidRDefault="0021446D" w:rsidP="0021446D">
      <w:pPr>
        <w:widowControl w:val="0"/>
        <w:autoSpaceDE w:val="0"/>
        <w:autoSpaceDN w:val="0"/>
        <w:adjustRightInd w:val="0"/>
        <w:rPr>
          <w:rFonts w:ascii="Helvetica" w:hAnsi="Helvetica" w:cs="Helvetica"/>
          <w:b/>
          <w:bCs/>
          <w:szCs w:val="22"/>
        </w:rPr>
      </w:pPr>
    </w:p>
    <w:p w:rsidR="0021446D" w:rsidRPr="005F15DA" w:rsidRDefault="0021446D" w:rsidP="0021446D">
      <w:pPr>
        <w:widowControl w:val="0"/>
        <w:autoSpaceDE w:val="0"/>
        <w:autoSpaceDN w:val="0"/>
        <w:adjustRightInd w:val="0"/>
        <w:rPr>
          <w:rFonts w:ascii="Helvetica" w:hAnsi="Helvetica" w:cs="Helvetica"/>
          <w:b/>
          <w:bCs/>
          <w:szCs w:val="22"/>
        </w:rPr>
      </w:pPr>
      <w:r w:rsidRPr="005F15DA">
        <w:rPr>
          <w:rFonts w:ascii="Helvetica" w:hAnsi="Helvetica" w:cs="Helvetica"/>
          <w:b/>
          <w:bCs/>
          <w:szCs w:val="22"/>
        </w:rPr>
        <w:t>3. Wiederverheiratung</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Für den Fall, dass sich der überlebende Ehegatte wieder verheiratet, entfällt die ihm z</w:t>
      </w:r>
      <w:r w:rsidRPr="005F15DA">
        <w:rPr>
          <w:rFonts w:ascii="Helvetica" w:hAnsi="Helvetica" w:cs="Helvetica"/>
          <w:szCs w:val="22"/>
        </w:rPr>
        <w:t>u</w:t>
      </w:r>
      <w:r w:rsidRPr="005F15DA">
        <w:rPr>
          <w:rFonts w:ascii="Helvetica" w:hAnsi="Helvetica" w:cs="Helvetica"/>
          <w:szCs w:val="22"/>
        </w:rPr>
        <w:t>stehende Nutzniessung im gesetzlich vorgesehenen Umfang. Die Pflichtteilsansprüche der Nachkommen sind - unter Anrechnung bereits bezogener Erbteile und Vorempfänge - auf eine gegenseitig jederzeit freistehende Kündigung von drei Monaten zu befriedigen. Der übe</w:t>
      </w:r>
      <w:r w:rsidRPr="005F15DA">
        <w:rPr>
          <w:rFonts w:ascii="Helvetica" w:hAnsi="Helvetica" w:cs="Helvetica"/>
          <w:szCs w:val="22"/>
        </w:rPr>
        <w:t>r</w:t>
      </w:r>
      <w:r w:rsidRPr="005F15DA">
        <w:rPr>
          <w:rFonts w:ascii="Helvetica" w:hAnsi="Helvetica" w:cs="Helvetica"/>
          <w:szCs w:val="22"/>
        </w:rPr>
        <w:t>lebende Ehegatte wird ferner für denjenigen Teil des Nachlasses, der ihm weiterhin zur Nut</w:t>
      </w:r>
      <w:r w:rsidRPr="005F15DA">
        <w:rPr>
          <w:rFonts w:ascii="Helvetica" w:hAnsi="Helvetica" w:cs="Helvetica"/>
          <w:szCs w:val="22"/>
        </w:rPr>
        <w:t>z</w:t>
      </w:r>
      <w:r w:rsidRPr="005F15DA">
        <w:rPr>
          <w:rFonts w:ascii="Helvetica" w:hAnsi="Helvetica" w:cs="Helvetica"/>
          <w:szCs w:val="22"/>
        </w:rPr>
        <w:t>niessung zusteht, sicherstellungspflichtig.</w:t>
      </w: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rPr>
          <w:rFonts w:ascii="Helvetica" w:hAnsi="Helvetica" w:cs="Helvetica"/>
          <w:b/>
          <w:bCs/>
          <w:szCs w:val="22"/>
        </w:rPr>
      </w:pPr>
      <w:r w:rsidRPr="005F15DA">
        <w:rPr>
          <w:rFonts w:ascii="Helvetica" w:hAnsi="Helvetica" w:cs="Helvetica"/>
          <w:b/>
          <w:bCs/>
          <w:szCs w:val="22"/>
        </w:rPr>
        <w:t>IV. Schlussbestimmungen</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 xml:space="preserve">Diese Urschrift ist für die Vertragschliessenden </w:t>
      </w:r>
      <w:r w:rsidRPr="005F15DA">
        <w:rPr>
          <w:rFonts w:ascii="Helvetica" w:hAnsi="Helvetica" w:cs="Helvetica"/>
          <w:i/>
          <w:iCs/>
          <w:szCs w:val="22"/>
        </w:rPr>
        <w:t>zweifach</w:t>
      </w:r>
      <w:r w:rsidRPr="005F15DA">
        <w:rPr>
          <w:rFonts w:ascii="Helvetica" w:hAnsi="Helvetica" w:cs="Helvetica"/>
          <w:szCs w:val="22"/>
        </w:rPr>
        <w:t xml:space="preserve"> auszufertigen.</w:t>
      </w: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i/>
          <w:iCs/>
          <w:szCs w:val="22"/>
        </w:rPr>
        <w:t>Schlussverbal nach ZGB (vgl. Muster Nr. 131 und Nr. 132).</w:t>
      </w: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autoSpaceDE w:val="0"/>
        <w:autoSpaceDN w:val="0"/>
        <w:jc w:val="center"/>
        <w:rPr>
          <w:rFonts w:ascii="Helvetica" w:hAnsi="Helvetica" w:cs="Helvetica"/>
          <w:szCs w:val="22"/>
        </w:rPr>
      </w:pPr>
      <w:r w:rsidRPr="005F15DA">
        <w:rPr>
          <w:rFonts w:ascii="Helvetica" w:hAnsi="Helvetica" w:cs="Helvetica"/>
          <w:i/>
          <w:iCs/>
          <w:szCs w:val="22"/>
        </w:rPr>
        <w:t>9. Januar 1992</w:t>
      </w: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tabs>
          <w:tab w:val="left" w:pos="4536"/>
        </w:tabs>
        <w:autoSpaceDE w:val="0"/>
        <w:autoSpaceDN w:val="0"/>
        <w:adjustRightInd w:val="0"/>
        <w:spacing w:line="360" w:lineRule="auto"/>
        <w:rPr>
          <w:rFonts w:ascii="Helvetica" w:hAnsi="Helvetica" w:cs="Helvetica"/>
          <w:szCs w:val="22"/>
        </w:rPr>
      </w:pPr>
      <w:r w:rsidRPr="005F15DA">
        <w:rPr>
          <w:rFonts w:ascii="Helvetica" w:hAnsi="Helvetica" w:cs="Helvetica"/>
          <w:szCs w:val="22"/>
        </w:rPr>
        <w:t xml:space="preserve">Die Vertragschliessenden: </w:t>
      </w:r>
      <w:r w:rsidRPr="005F15DA">
        <w:rPr>
          <w:rFonts w:ascii="Helvetica" w:hAnsi="Helvetica" w:cs="Helvetica"/>
          <w:szCs w:val="22"/>
        </w:rPr>
        <w:tab/>
        <w:t>Der Notar:</w:t>
      </w: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pPr>
        <w:spacing w:after="200"/>
        <w:rPr>
          <w:rFonts w:ascii="Helvetica" w:hAnsi="Helvetica" w:cs="Helvetica"/>
          <w:i/>
          <w:iCs/>
          <w:szCs w:val="22"/>
        </w:rPr>
      </w:pPr>
      <w:r w:rsidRPr="005F15DA">
        <w:rPr>
          <w:rFonts w:ascii="Helvetica" w:hAnsi="Helvetica" w:cs="Helvetica"/>
          <w:i/>
          <w:iCs/>
          <w:szCs w:val="22"/>
        </w:rPr>
        <w:br w:type="page"/>
      </w: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i/>
          <w:iCs/>
          <w:szCs w:val="22"/>
        </w:rPr>
        <w:lastRenderedPageBreak/>
        <w:t>Folgt Zeugenbescheinigung (vgl. Muster Nr. 131 und Nr. 132).</w:t>
      </w: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Die Zeugen:</w:t>
      </w:r>
    </w:p>
    <w:p w:rsidR="0021446D" w:rsidRPr="005F15DA" w:rsidRDefault="0021446D" w:rsidP="0021446D">
      <w:pPr>
        <w:widowControl w:val="0"/>
        <w:autoSpaceDE w:val="0"/>
        <w:autoSpaceDN w:val="0"/>
        <w:adjustRightInd w:val="0"/>
        <w:rPr>
          <w:rFonts w:ascii="Helvetica" w:hAnsi="Helvetica" w:cs="Helvetica"/>
          <w:sz w:val="2"/>
          <w:szCs w:val="2"/>
        </w:rPr>
      </w:pPr>
      <w:r w:rsidRPr="005F15DA">
        <w:rPr>
          <w:rFonts w:ascii="Helvetica" w:hAnsi="Helvetica" w:cs="Helvetica"/>
          <w:sz w:val="2"/>
          <w:szCs w:val="2"/>
        </w:rPr>
        <w:br/>
      </w:r>
    </w:p>
    <w:p w:rsidR="0021446D" w:rsidRPr="005F15DA" w:rsidRDefault="0021446D" w:rsidP="0021446D">
      <w:pPr>
        <w:widowControl w:val="0"/>
        <w:autoSpaceDE w:val="0"/>
        <w:autoSpaceDN w:val="0"/>
        <w:adjustRightInd w:val="0"/>
        <w:rPr>
          <w:rFonts w:ascii="Helvetica" w:hAnsi="Helvetica" w:cs="Helvetica"/>
          <w:sz w:val="3"/>
          <w:szCs w:val="3"/>
        </w:rPr>
      </w:pPr>
      <w:r w:rsidRPr="005F15DA">
        <w:rPr>
          <w:rFonts w:ascii="Helvetica" w:hAnsi="Helvetica" w:cs="Helvetica"/>
          <w:sz w:val="3"/>
          <w:szCs w:val="3"/>
        </w:rPr>
        <w:br/>
      </w:r>
    </w:p>
    <w:p w:rsidR="0021446D" w:rsidRPr="005F15DA" w:rsidRDefault="0021446D" w:rsidP="0021446D">
      <w:pPr>
        <w:widowControl w:val="0"/>
        <w:autoSpaceDE w:val="0"/>
        <w:autoSpaceDN w:val="0"/>
        <w:adjustRightInd w:val="0"/>
        <w:rPr>
          <w:rFonts w:ascii="Helvetica" w:hAnsi="Helvetica" w:cs="Helvetica"/>
          <w:szCs w:val="22"/>
        </w:rPr>
      </w:pPr>
    </w:p>
    <w:p w:rsidR="0021446D" w:rsidRPr="005F15DA" w:rsidRDefault="0021446D" w:rsidP="0021446D">
      <w:pPr>
        <w:widowControl w:val="0"/>
        <w:autoSpaceDE w:val="0"/>
        <w:autoSpaceDN w:val="0"/>
        <w:adjustRightInd w:val="0"/>
        <w:rPr>
          <w:rFonts w:ascii="Helvetica" w:hAnsi="Helvetica" w:cs="Helvetica"/>
          <w:szCs w:val="22"/>
        </w:rPr>
      </w:pPr>
    </w:p>
    <w:p w:rsidR="0021446D" w:rsidRPr="005F15DA" w:rsidRDefault="0021446D" w:rsidP="0021446D">
      <w:pPr>
        <w:widowControl w:val="0"/>
        <w:autoSpaceDE w:val="0"/>
        <w:autoSpaceDN w:val="0"/>
        <w:adjustRightInd w:val="0"/>
        <w:rPr>
          <w:rFonts w:ascii="Helvetica" w:hAnsi="Helvetica" w:cs="Helvetica"/>
          <w:szCs w:val="22"/>
        </w:rPr>
      </w:pPr>
    </w:p>
    <w:p w:rsidR="0021446D" w:rsidRPr="005F15DA" w:rsidRDefault="0021446D" w:rsidP="0021446D">
      <w:pPr>
        <w:widowControl w:val="0"/>
        <w:autoSpaceDE w:val="0"/>
        <w:autoSpaceDN w:val="0"/>
        <w:adjustRightInd w:val="0"/>
        <w:rPr>
          <w:rFonts w:ascii="Helvetica" w:hAnsi="Helvetica" w:cs="Helvetica"/>
          <w:szCs w:val="22"/>
        </w:rPr>
      </w:pPr>
    </w:p>
    <w:p w:rsidR="0021446D" w:rsidRPr="005F15DA" w:rsidRDefault="0021446D" w:rsidP="0021446D">
      <w:pPr>
        <w:widowControl w:val="0"/>
        <w:autoSpaceDE w:val="0"/>
        <w:autoSpaceDN w:val="0"/>
        <w:adjustRightInd w:val="0"/>
        <w:rPr>
          <w:rFonts w:ascii="Helvetica" w:hAnsi="Helvetica" w:cs="Helvetica"/>
          <w:szCs w:val="22"/>
        </w:rPr>
      </w:pPr>
    </w:p>
    <w:p w:rsidR="0021446D" w:rsidRPr="005F15DA" w:rsidRDefault="0021446D" w:rsidP="0021446D">
      <w:pPr>
        <w:widowControl w:val="0"/>
        <w:autoSpaceDE w:val="0"/>
        <w:autoSpaceDN w:val="0"/>
        <w:adjustRightInd w:val="0"/>
        <w:rPr>
          <w:rFonts w:ascii="Helvetica" w:hAnsi="Helvetica" w:cs="Helvetica"/>
          <w:szCs w:val="22"/>
        </w:rPr>
      </w:pPr>
    </w:p>
    <w:p w:rsidR="0021446D" w:rsidRPr="005F15DA" w:rsidRDefault="0021446D" w:rsidP="0021446D">
      <w:pPr>
        <w:widowControl w:val="0"/>
        <w:autoSpaceDE w:val="0"/>
        <w:autoSpaceDN w:val="0"/>
        <w:adjustRightInd w:val="0"/>
        <w:rPr>
          <w:rFonts w:ascii="Helvetica" w:hAnsi="Helvetica" w:cs="Helvetica"/>
          <w:szCs w:val="22"/>
        </w:rPr>
      </w:pPr>
    </w:p>
    <w:p w:rsidR="0021446D" w:rsidRPr="005F15DA" w:rsidRDefault="0021446D" w:rsidP="0021446D">
      <w:pPr>
        <w:widowControl w:val="0"/>
        <w:autoSpaceDE w:val="0"/>
        <w:autoSpaceDN w:val="0"/>
        <w:adjustRightInd w:val="0"/>
        <w:rPr>
          <w:rFonts w:ascii="Helvetica" w:hAnsi="Helvetica" w:cs="Helvetica"/>
          <w:szCs w:val="22"/>
        </w:rPr>
      </w:pPr>
    </w:p>
    <w:p w:rsidR="0021446D" w:rsidRPr="005F15DA" w:rsidRDefault="0021446D" w:rsidP="0021446D">
      <w:pPr>
        <w:widowControl w:val="0"/>
        <w:autoSpaceDE w:val="0"/>
        <w:autoSpaceDN w:val="0"/>
        <w:adjustRightInd w:val="0"/>
        <w:rPr>
          <w:rFonts w:ascii="Helvetica" w:hAnsi="Helvetica" w:cs="Helvetica"/>
          <w:szCs w:val="22"/>
        </w:rPr>
      </w:pPr>
    </w:p>
    <w:p w:rsidR="0021446D" w:rsidRPr="005F15DA" w:rsidRDefault="0021446D" w:rsidP="0021446D">
      <w:pPr>
        <w:widowControl w:val="0"/>
        <w:autoSpaceDE w:val="0"/>
        <w:autoSpaceDN w:val="0"/>
        <w:adjustRightInd w:val="0"/>
        <w:rPr>
          <w:rFonts w:ascii="Helvetica" w:hAnsi="Helvetica" w:cs="Helvetica"/>
          <w:szCs w:val="22"/>
        </w:rPr>
      </w:pPr>
    </w:p>
    <w:p w:rsidR="0021446D" w:rsidRPr="005F15DA" w:rsidRDefault="0021446D" w:rsidP="0021446D">
      <w:pPr>
        <w:widowControl w:val="0"/>
        <w:autoSpaceDE w:val="0"/>
        <w:autoSpaceDN w:val="0"/>
        <w:adjustRightInd w:val="0"/>
        <w:rPr>
          <w:rFonts w:ascii="Helvetica" w:hAnsi="Helvetica" w:cs="Helvetica"/>
          <w:szCs w:val="22"/>
        </w:rPr>
      </w:pPr>
      <w:r w:rsidRPr="005F15DA">
        <w:rPr>
          <w:rFonts w:ascii="Helvetica" w:hAnsi="Helvetica" w:cs="Helvetica"/>
          <w:szCs w:val="22"/>
        </w:rPr>
        <w:t>MUSA Nr. 424</w:t>
      </w:r>
    </w:p>
    <w:p w:rsidR="0021446D" w:rsidRPr="005F15DA" w:rsidRDefault="0021446D" w:rsidP="0021446D">
      <w:pPr>
        <w:rPr>
          <w:szCs w:val="22"/>
        </w:rPr>
      </w:pPr>
    </w:p>
    <w:p w:rsidR="0021446D" w:rsidRPr="005F15DA" w:rsidRDefault="0021446D" w:rsidP="0021446D">
      <w:pPr>
        <w:rPr>
          <w:szCs w:val="22"/>
        </w:rPr>
      </w:pPr>
    </w:p>
    <w:p w:rsidR="0021446D" w:rsidRPr="005F15DA" w:rsidRDefault="0021446D" w:rsidP="0021446D">
      <w:pPr>
        <w:spacing w:after="200"/>
        <w:rPr>
          <w:szCs w:val="22"/>
        </w:rPr>
      </w:pPr>
      <w:r w:rsidRPr="005F15DA">
        <w:rPr>
          <w:szCs w:val="22"/>
        </w:rPr>
        <w:br w:type="page"/>
      </w:r>
    </w:p>
    <w:p w:rsidR="0021446D" w:rsidRPr="005F15DA" w:rsidRDefault="0021446D" w:rsidP="0021446D">
      <w:pPr>
        <w:pStyle w:val="berschrift2"/>
        <w:rPr>
          <w:sz w:val="12"/>
          <w:szCs w:val="12"/>
        </w:rPr>
      </w:pPr>
      <w:bookmarkStart w:id="201" w:name="_Toc432175721"/>
      <w:r w:rsidRPr="005F15DA">
        <w:lastRenderedPageBreak/>
        <w:t>III. Letztwillige Verfügung</w:t>
      </w:r>
      <w:bookmarkEnd w:id="201"/>
    </w:p>
    <w:p w:rsidR="0021446D" w:rsidRPr="005F15DA" w:rsidRDefault="0021446D" w:rsidP="0021446D">
      <w:pPr>
        <w:widowControl w:val="0"/>
        <w:autoSpaceDE w:val="0"/>
        <w:autoSpaceDN w:val="0"/>
        <w:adjustRightInd w:val="0"/>
        <w:rPr>
          <w:rFonts w:ascii="Helvetica" w:hAnsi="Helvetica" w:cs="Helvetica"/>
          <w:b/>
          <w:bCs/>
          <w:sz w:val="12"/>
          <w:szCs w:val="12"/>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A. B., Notar des Kantons Bern, eingetragen im Notariatsregister des Kantons Bern, mit Büro in Bern,</w:t>
      </w:r>
    </w:p>
    <w:p w:rsidR="0021446D" w:rsidRPr="005F15DA" w:rsidRDefault="0021446D" w:rsidP="0021446D">
      <w:pPr>
        <w:widowControl w:val="0"/>
        <w:autoSpaceDE w:val="0"/>
        <w:autoSpaceDN w:val="0"/>
        <w:adjustRightInd w:val="0"/>
        <w:rPr>
          <w:rFonts w:ascii="Helvetica" w:hAnsi="Helvetica" w:cs="Helvetica"/>
          <w:sz w:val="8"/>
          <w:szCs w:val="8"/>
        </w:rPr>
      </w:pPr>
    </w:p>
    <w:p w:rsidR="0021446D" w:rsidRPr="005F15DA" w:rsidRDefault="0021446D" w:rsidP="0021446D">
      <w:pPr>
        <w:autoSpaceDE w:val="0"/>
        <w:autoSpaceDN w:val="0"/>
        <w:jc w:val="center"/>
        <w:rPr>
          <w:rFonts w:ascii="Helvetica" w:hAnsi="Helvetica" w:cs="Helvetica"/>
          <w:szCs w:val="22"/>
        </w:rPr>
      </w:pPr>
      <w:r w:rsidRPr="005F15DA">
        <w:rPr>
          <w:rFonts w:ascii="Helvetica" w:hAnsi="Helvetica" w:cs="Helvetica"/>
          <w:i/>
          <w:iCs/>
          <w:szCs w:val="22"/>
        </w:rPr>
        <w:t>beurkundet:</w:t>
      </w: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Herr</w:t>
      </w: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autoSpaceDE w:val="0"/>
        <w:autoSpaceDN w:val="0"/>
        <w:jc w:val="center"/>
        <w:rPr>
          <w:rFonts w:ascii="Helvetica" w:hAnsi="Helvetica" w:cs="Helvetica"/>
          <w:szCs w:val="22"/>
        </w:rPr>
      </w:pPr>
      <w:r w:rsidRPr="005F15DA">
        <w:rPr>
          <w:rFonts w:ascii="Helvetica" w:hAnsi="Helvetica" w:cs="Helvetica"/>
          <w:b/>
          <w:bCs/>
          <w:szCs w:val="22"/>
        </w:rPr>
        <w:t>Rudolf Baumgartner</w:t>
      </w: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1.9.1939, von Aarwangen, Kaufmann, Fliederweg 23, 3007 Bern,</w:t>
      </w:r>
    </w:p>
    <w:p w:rsidR="0021446D" w:rsidRPr="005F15DA" w:rsidRDefault="0021446D" w:rsidP="0021446D">
      <w:pPr>
        <w:widowControl w:val="0"/>
        <w:autoSpaceDE w:val="0"/>
        <w:autoSpaceDN w:val="0"/>
        <w:adjustRightInd w:val="0"/>
        <w:spacing w:line="360" w:lineRule="auto"/>
        <w:rPr>
          <w:rFonts w:ascii="Helvetica" w:hAnsi="Helvetica" w:cs="Helvetica"/>
          <w:sz w:val="6"/>
          <w:szCs w:val="6"/>
        </w:rPr>
      </w:pPr>
    </w:p>
    <w:p w:rsidR="0021446D" w:rsidRPr="005F15DA" w:rsidRDefault="0021446D" w:rsidP="0021446D">
      <w:pPr>
        <w:autoSpaceDE w:val="0"/>
        <w:autoSpaceDN w:val="0"/>
        <w:jc w:val="center"/>
        <w:rPr>
          <w:rFonts w:ascii="Helvetica" w:hAnsi="Helvetica" w:cs="Helvetica"/>
          <w:szCs w:val="22"/>
        </w:rPr>
      </w:pPr>
      <w:r w:rsidRPr="005F15DA">
        <w:rPr>
          <w:rFonts w:ascii="Helvetica" w:hAnsi="Helvetica" w:cs="Helvetica"/>
          <w:i/>
          <w:iCs/>
          <w:szCs w:val="22"/>
        </w:rPr>
        <w:t>erklärt:</w:t>
      </w:r>
    </w:p>
    <w:p w:rsidR="0021446D" w:rsidRPr="005F15DA" w:rsidRDefault="0021446D" w:rsidP="0021446D">
      <w:pPr>
        <w:widowControl w:val="0"/>
        <w:autoSpaceDE w:val="0"/>
        <w:autoSpaceDN w:val="0"/>
        <w:adjustRightInd w:val="0"/>
        <w:spacing w:line="360" w:lineRule="auto"/>
        <w:ind w:left="270" w:hanging="270"/>
        <w:rPr>
          <w:rFonts w:ascii="Helvetica" w:hAnsi="Helvetica" w:cs="Helvetica"/>
          <w:szCs w:val="22"/>
        </w:rPr>
      </w:pPr>
    </w:p>
    <w:p w:rsidR="0021446D" w:rsidRPr="005F15DA" w:rsidRDefault="0021446D" w:rsidP="0021446D">
      <w:pPr>
        <w:widowControl w:val="0"/>
        <w:autoSpaceDE w:val="0"/>
        <w:autoSpaceDN w:val="0"/>
        <w:adjustRightInd w:val="0"/>
        <w:spacing w:line="360" w:lineRule="auto"/>
        <w:ind w:left="270" w:hanging="270"/>
        <w:rPr>
          <w:rFonts w:ascii="Helvetica" w:hAnsi="Helvetica" w:cs="Helvetica"/>
          <w:szCs w:val="22"/>
        </w:rPr>
      </w:pPr>
      <w:r w:rsidRPr="005F15DA">
        <w:rPr>
          <w:rFonts w:ascii="Helvetica" w:hAnsi="Helvetica" w:cs="Helvetica"/>
          <w:szCs w:val="22"/>
        </w:rPr>
        <w:t>1. Als gesetzliche Erben hinterlasse ich voraussichtlich meine Ehegattin, Frau Ursula Bau</w:t>
      </w:r>
      <w:r w:rsidRPr="005F15DA">
        <w:rPr>
          <w:rFonts w:ascii="Helvetica" w:hAnsi="Helvetica" w:cs="Helvetica"/>
          <w:szCs w:val="22"/>
        </w:rPr>
        <w:t>m</w:t>
      </w:r>
      <w:r w:rsidRPr="005F15DA">
        <w:rPr>
          <w:rFonts w:ascii="Helvetica" w:hAnsi="Helvetica" w:cs="Helvetica"/>
          <w:szCs w:val="22"/>
        </w:rPr>
        <w:t>gartner geb. Müller, sowie die gemeinsamen Kinder Barbara und Martin.</w:t>
      </w:r>
    </w:p>
    <w:p w:rsidR="0021446D" w:rsidRPr="005F15DA" w:rsidRDefault="0021446D" w:rsidP="0021446D">
      <w:pPr>
        <w:widowControl w:val="0"/>
        <w:autoSpaceDE w:val="0"/>
        <w:autoSpaceDN w:val="0"/>
        <w:adjustRightInd w:val="0"/>
        <w:spacing w:line="360" w:lineRule="auto"/>
        <w:ind w:left="270" w:hanging="270"/>
        <w:rPr>
          <w:rFonts w:ascii="Helvetica" w:hAnsi="Helvetica" w:cs="Helvetica"/>
          <w:szCs w:val="22"/>
        </w:rPr>
      </w:pPr>
    </w:p>
    <w:p w:rsidR="0021446D" w:rsidRPr="005F15DA" w:rsidRDefault="0021446D" w:rsidP="0021446D">
      <w:pPr>
        <w:widowControl w:val="0"/>
        <w:autoSpaceDE w:val="0"/>
        <w:autoSpaceDN w:val="0"/>
        <w:adjustRightInd w:val="0"/>
        <w:spacing w:line="360" w:lineRule="auto"/>
        <w:ind w:left="270" w:hanging="270"/>
        <w:rPr>
          <w:rFonts w:ascii="Helvetica" w:hAnsi="Helvetica" w:cs="Helvetica"/>
          <w:szCs w:val="22"/>
        </w:rPr>
      </w:pPr>
      <w:r w:rsidRPr="005F15DA">
        <w:rPr>
          <w:rFonts w:ascii="Helvetica" w:hAnsi="Helvetica" w:cs="Helvetica"/>
          <w:szCs w:val="22"/>
        </w:rPr>
        <w:t>2. In Abänderung der gesetzlichen Erbteile setze ich meine Ehegattin für die frei verfügbare Quote als Erbin ein.</w:t>
      </w:r>
    </w:p>
    <w:p w:rsidR="0021446D" w:rsidRPr="005F15DA" w:rsidRDefault="0021446D" w:rsidP="0021446D">
      <w:pPr>
        <w:widowControl w:val="0"/>
        <w:autoSpaceDE w:val="0"/>
        <w:autoSpaceDN w:val="0"/>
        <w:adjustRightInd w:val="0"/>
        <w:spacing w:line="360" w:lineRule="auto"/>
        <w:ind w:left="270"/>
        <w:rPr>
          <w:rFonts w:ascii="Helvetica" w:hAnsi="Helvetica" w:cs="Helvetica"/>
          <w:szCs w:val="22"/>
        </w:rPr>
      </w:pPr>
      <w:r w:rsidRPr="005F15DA">
        <w:rPr>
          <w:rFonts w:ascii="Helvetica" w:hAnsi="Helvetica" w:cs="Helvetica"/>
          <w:szCs w:val="22"/>
        </w:rPr>
        <w:t>Meiner Ehegattin wende ich die lebenslängliche Nutzniessung gemäss Art. 473 ZGB am übrigen Nachlassvermögen zu. Diese Nutzniessung tritt anstelle des ihr zustehenden g</w:t>
      </w:r>
      <w:r w:rsidRPr="005F15DA">
        <w:rPr>
          <w:rFonts w:ascii="Helvetica" w:hAnsi="Helvetica" w:cs="Helvetica"/>
          <w:szCs w:val="22"/>
        </w:rPr>
        <w:t>e</w:t>
      </w:r>
      <w:r w:rsidRPr="005F15DA">
        <w:rPr>
          <w:rFonts w:ascii="Helvetica" w:hAnsi="Helvetica" w:cs="Helvetica"/>
          <w:szCs w:val="22"/>
        </w:rPr>
        <w:t>setzlichen Erbrechts.</w:t>
      </w:r>
    </w:p>
    <w:p w:rsidR="0021446D" w:rsidRPr="005F15DA" w:rsidRDefault="0021446D" w:rsidP="0021446D">
      <w:pPr>
        <w:widowControl w:val="0"/>
        <w:autoSpaceDE w:val="0"/>
        <w:autoSpaceDN w:val="0"/>
        <w:adjustRightInd w:val="0"/>
        <w:spacing w:line="360" w:lineRule="auto"/>
        <w:ind w:left="270"/>
        <w:rPr>
          <w:rFonts w:ascii="Helvetica" w:hAnsi="Helvetica" w:cs="Helvetica"/>
          <w:szCs w:val="22"/>
        </w:rPr>
      </w:pPr>
      <w:r w:rsidRPr="005F15DA">
        <w:rPr>
          <w:rFonts w:ascii="Helvetica" w:hAnsi="Helvetica" w:cs="Helvetica"/>
          <w:szCs w:val="22"/>
        </w:rPr>
        <w:t>Für den Fall, dass sich meine Ehegattin wieder verheiraten sollte, entfällt diese Nutznie</w:t>
      </w:r>
      <w:r w:rsidRPr="005F15DA">
        <w:rPr>
          <w:rFonts w:ascii="Helvetica" w:hAnsi="Helvetica" w:cs="Helvetica"/>
          <w:szCs w:val="22"/>
        </w:rPr>
        <w:t>s</w:t>
      </w:r>
      <w:r w:rsidRPr="005F15DA">
        <w:rPr>
          <w:rFonts w:ascii="Helvetica" w:hAnsi="Helvetica" w:cs="Helvetica"/>
          <w:szCs w:val="22"/>
        </w:rPr>
        <w:t>sung im gesetzlich vorgesehenen Umfang.</w:t>
      </w:r>
    </w:p>
    <w:p w:rsidR="0021446D" w:rsidRPr="005F15DA" w:rsidRDefault="0021446D" w:rsidP="0021446D">
      <w:pPr>
        <w:widowControl w:val="0"/>
        <w:autoSpaceDE w:val="0"/>
        <w:autoSpaceDN w:val="0"/>
        <w:adjustRightInd w:val="0"/>
        <w:spacing w:line="360" w:lineRule="auto"/>
        <w:ind w:left="270" w:hanging="270"/>
        <w:rPr>
          <w:rFonts w:ascii="Helvetica" w:hAnsi="Helvetica" w:cs="Helvetica"/>
          <w:szCs w:val="22"/>
        </w:rPr>
      </w:pPr>
    </w:p>
    <w:p w:rsidR="0021446D" w:rsidRPr="005F15DA" w:rsidRDefault="0021446D" w:rsidP="0021446D">
      <w:pPr>
        <w:widowControl w:val="0"/>
        <w:autoSpaceDE w:val="0"/>
        <w:autoSpaceDN w:val="0"/>
        <w:adjustRightInd w:val="0"/>
        <w:spacing w:line="360" w:lineRule="auto"/>
        <w:ind w:left="270" w:hanging="270"/>
        <w:rPr>
          <w:rFonts w:ascii="Helvetica" w:hAnsi="Helvetica" w:cs="Helvetica"/>
          <w:szCs w:val="22"/>
        </w:rPr>
      </w:pPr>
      <w:r w:rsidRPr="005F15DA">
        <w:rPr>
          <w:rFonts w:ascii="Helvetica" w:hAnsi="Helvetica" w:cs="Helvetica"/>
          <w:szCs w:val="22"/>
        </w:rPr>
        <w:t xml:space="preserve">3. Ich beauftrage den Notar, diese letztwillige Verfügung beim Zentralen Testamentenregister des Schweizerischen </w:t>
      </w:r>
      <w:proofErr w:type="spellStart"/>
      <w:r w:rsidRPr="005F15DA">
        <w:rPr>
          <w:rFonts w:ascii="Helvetica" w:hAnsi="Helvetica" w:cs="Helvetica"/>
          <w:szCs w:val="22"/>
        </w:rPr>
        <w:t>Notarenverbandes</w:t>
      </w:r>
      <w:proofErr w:type="spellEnd"/>
      <w:r w:rsidRPr="005F15DA">
        <w:rPr>
          <w:rFonts w:ascii="Helvetica" w:hAnsi="Helvetica" w:cs="Helvetica"/>
          <w:szCs w:val="22"/>
        </w:rPr>
        <w:t xml:space="preserve"> anzumelden.</w:t>
      </w:r>
    </w:p>
    <w:p w:rsidR="0021446D" w:rsidRPr="005F15DA" w:rsidRDefault="0021446D" w:rsidP="0021446D">
      <w:pPr>
        <w:widowControl w:val="0"/>
        <w:autoSpaceDE w:val="0"/>
        <w:autoSpaceDN w:val="0"/>
        <w:adjustRightInd w:val="0"/>
        <w:spacing w:line="360" w:lineRule="auto"/>
        <w:ind w:left="270" w:hanging="270"/>
        <w:rPr>
          <w:rFonts w:ascii="Helvetica" w:hAnsi="Helvetica" w:cs="Helvetica"/>
          <w:szCs w:val="22"/>
        </w:rPr>
      </w:pPr>
    </w:p>
    <w:p w:rsidR="0021446D" w:rsidRPr="005F15DA" w:rsidRDefault="0021446D" w:rsidP="0021446D">
      <w:pPr>
        <w:widowControl w:val="0"/>
        <w:autoSpaceDE w:val="0"/>
        <w:autoSpaceDN w:val="0"/>
        <w:adjustRightInd w:val="0"/>
        <w:spacing w:line="360" w:lineRule="auto"/>
        <w:ind w:left="270" w:hanging="270"/>
        <w:rPr>
          <w:rFonts w:ascii="Helvetica" w:hAnsi="Helvetica" w:cs="Helvetica"/>
          <w:szCs w:val="22"/>
        </w:rPr>
      </w:pPr>
      <w:r w:rsidRPr="005F15DA">
        <w:rPr>
          <w:rFonts w:ascii="Helvetica" w:hAnsi="Helvetica" w:cs="Helvetica"/>
          <w:szCs w:val="22"/>
        </w:rPr>
        <w:t xml:space="preserve">4. Diese Urschrift ist für den Testator </w:t>
      </w:r>
      <w:r w:rsidRPr="005F15DA">
        <w:rPr>
          <w:rFonts w:ascii="Helvetica" w:hAnsi="Helvetica" w:cs="Helvetica"/>
          <w:i/>
          <w:iCs/>
          <w:szCs w:val="22"/>
        </w:rPr>
        <w:t>einfach</w:t>
      </w:r>
      <w:r w:rsidRPr="005F15DA">
        <w:rPr>
          <w:rFonts w:ascii="Helvetica" w:hAnsi="Helvetica" w:cs="Helvetica"/>
          <w:szCs w:val="22"/>
        </w:rPr>
        <w:t xml:space="preserve"> auszufertigen.</w:t>
      </w:r>
    </w:p>
    <w:p w:rsidR="0021446D" w:rsidRPr="005F15DA" w:rsidRDefault="0021446D" w:rsidP="0021446D">
      <w:pPr>
        <w:widowControl w:val="0"/>
        <w:autoSpaceDE w:val="0"/>
        <w:autoSpaceDN w:val="0"/>
        <w:adjustRightInd w:val="0"/>
        <w:spacing w:line="360" w:lineRule="auto"/>
        <w:rPr>
          <w:rFonts w:ascii="Helvetica" w:hAnsi="Helvetica" w:cs="Helvetica"/>
          <w:i/>
          <w:iCs/>
          <w:szCs w:val="22"/>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i/>
          <w:iCs/>
          <w:szCs w:val="22"/>
        </w:rPr>
        <w:t>Schlussverbal nach ZGB (vgl. Muster Nr. 131 und Nr. 132).</w:t>
      </w:r>
    </w:p>
    <w:p w:rsidR="0021446D" w:rsidRPr="005F15DA" w:rsidRDefault="0021446D" w:rsidP="0021446D">
      <w:pPr>
        <w:widowControl w:val="0"/>
        <w:autoSpaceDE w:val="0"/>
        <w:autoSpaceDN w:val="0"/>
        <w:adjustRightInd w:val="0"/>
        <w:rPr>
          <w:rFonts w:ascii="Helvetica" w:hAnsi="Helvetica" w:cs="Helvetica"/>
          <w:sz w:val="8"/>
          <w:szCs w:val="8"/>
        </w:rPr>
      </w:pPr>
      <w:r w:rsidRPr="005F15DA">
        <w:rPr>
          <w:rFonts w:ascii="Helvetica" w:hAnsi="Helvetica" w:cs="Helvetica"/>
          <w:sz w:val="8"/>
          <w:szCs w:val="8"/>
        </w:rPr>
        <w:br/>
      </w:r>
    </w:p>
    <w:p w:rsidR="0021446D" w:rsidRPr="005F15DA" w:rsidRDefault="0021446D" w:rsidP="0021446D">
      <w:pPr>
        <w:autoSpaceDE w:val="0"/>
        <w:autoSpaceDN w:val="0"/>
        <w:jc w:val="center"/>
        <w:rPr>
          <w:rFonts w:ascii="Helvetica" w:hAnsi="Helvetica" w:cs="Helvetica"/>
          <w:szCs w:val="22"/>
        </w:rPr>
      </w:pPr>
      <w:r w:rsidRPr="005F15DA">
        <w:rPr>
          <w:rFonts w:ascii="Helvetica" w:hAnsi="Helvetica" w:cs="Helvetica"/>
          <w:i/>
          <w:iCs/>
          <w:szCs w:val="22"/>
        </w:rPr>
        <w:t>14. November 1991</w:t>
      </w:r>
    </w:p>
    <w:tbl>
      <w:tblPr>
        <w:tblW w:w="0" w:type="auto"/>
        <w:tblLayout w:type="fixed"/>
        <w:tblCellMar>
          <w:left w:w="0" w:type="dxa"/>
          <w:right w:w="0" w:type="dxa"/>
        </w:tblCellMar>
        <w:tblLook w:val="0000" w:firstRow="0" w:lastRow="0" w:firstColumn="0" w:lastColumn="0" w:noHBand="0" w:noVBand="0"/>
      </w:tblPr>
      <w:tblGrid>
        <w:gridCol w:w="4480"/>
        <w:gridCol w:w="2520"/>
      </w:tblGrid>
      <w:tr w:rsidR="0021446D" w:rsidRPr="005F15DA" w:rsidTr="0021446D">
        <w:tc>
          <w:tcPr>
            <w:tcW w:w="4480" w:type="dxa"/>
            <w:tcBorders>
              <w:top w:val="nil"/>
              <w:left w:val="nil"/>
              <w:bottom w:val="nil"/>
              <w:right w:val="nil"/>
            </w:tcBorders>
          </w:tcPr>
          <w:p w:rsidR="0021446D" w:rsidRPr="005F15DA" w:rsidRDefault="0021446D" w:rsidP="0021446D">
            <w:pPr>
              <w:widowControl w:val="0"/>
              <w:autoSpaceDE w:val="0"/>
              <w:autoSpaceDN w:val="0"/>
              <w:adjustRightInd w:val="0"/>
              <w:rPr>
                <w:rFonts w:ascii="Helvetica" w:hAnsi="Helvetica" w:cs="Helvetica"/>
                <w:szCs w:val="22"/>
              </w:rPr>
            </w:pPr>
            <w:r w:rsidRPr="005F15DA">
              <w:rPr>
                <w:rFonts w:ascii="Helvetica" w:hAnsi="Helvetica" w:cs="Helvetica"/>
                <w:szCs w:val="22"/>
              </w:rPr>
              <w:t xml:space="preserve">Der Testator: </w:t>
            </w:r>
          </w:p>
        </w:tc>
        <w:tc>
          <w:tcPr>
            <w:tcW w:w="2520" w:type="dxa"/>
            <w:tcBorders>
              <w:top w:val="nil"/>
              <w:left w:val="nil"/>
              <w:bottom w:val="nil"/>
              <w:right w:val="nil"/>
            </w:tcBorders>
          </w:tcPr>
          <w:p w:rsidR="0021446D" w:rsidRPr="005F15DA" w:rsidRDefault="0021446D" w:rsidP="0021446D">
            <w:pPr>
              <w:widowControl w:val="0"/>
              <w:autoSpaceDE w:val="0"/>
              <w:autoSpaceDN w:val="0"/>
              <w:adjustRightInd w:val="0"/>
              <w:rPr>
                <w:rFonts w:ascii="Helvetica" w:hAnsi="Helvetica" w:cs="Helvetica"/>
                <w:szCs w:val="22"/>
              </w:rPr>
            </w:pPr>
            <w:r w:rsidRPr="005F15DA">
              <w:rPr>
                <w:rFonts w:ascii="Helvetica" w:hAnsi="Helvetica" w:cs="Helvetica"/>
                <w:szCs w:val="22"/>
              </w:rPr>
              <w:t xml:space="preserve">       Der Notar: </w:t>
            </w:r>
          </w:p>
        </w:tc>
      </w:tr>
    </w:tbl>
    <w:p w:rsidR="0021446D" w:rsidRPr="005F15DA" w:rsidRDefault="0021446D" w:rsidP="0021446D">
      <w:pPr>
        <w:widowControl w:val="0"/>
        <w:autoSpaceDE w:val="0"/>
        <w:autoSpaceDN w:val="0"/>
        <w:adjustRightInd w:val="0"/>
        <w:rPr>
          <w:rFonts w:ascii="Helvetica" w:hAnsi="Helvetica" w:cs="Helvetica"/>
          <w:sz w:val="8"/>
          <w:szCs w:val="8"/>
        </w:rPr>
      </w:pPr>
      <w:r w:rsidRPr="005F15DA">
        <w:rPr>
          <w:rFonts w:ascii="Helvetica" w:hAnsi="Helvetica" w:cs="Helvetica"/>
          <w:sz w:val="8"/>
          <w:szCs w:val="8"/>
        </w:rPr>
        <w:br/>
      </w: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i/>
          <w:iCs/>
          <w:szCs w:val="22"/>
        </w:rPr>
        <w:t>Folgt Zeugenbescheinigung (vgl. Muster Nr. 131 und Nr. 132).</w:t>
      </w:r>
    </w:p>
    <w:p w:rsidR="0021446D" w:rsidRPr="005F15DA" w:rsidRDefault="0021446D" w:rsidP="0021446D">
      <w:pPr>
        <w:widowControl w:val="0"/>
        <w:autoSpaceDE w:val="0"/>
        <w:autoSpaceDN w:val="0"/>
        <w:adjustRightInd w:val="0"/>
        <w:rPr>
          <w:rFonts w:ascii="Helvetica" w:hAnsi="Helvetica" w:cs="Helvetica"/>
          <w:sz w:val="6"/>
          <w:szCs w:val="6"/>
        </w:rPr>
      </w:pPr>
      <w:r w:rsidRPr="005F15DA">
        <w:rPr>
          <w:rFonts w:ascii="Helvetica" w:hAnsi="Helvetica" w:cs="Helvetica"/>
          <w:sz w:val="6"/>
          <w:szCs w:val="6"/>
        </w:rPr>
        <w:br/>
      </w: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Die Zeugen:</w:t>
      </w:r>
    </w:p>
    <w:p w:rsidR="0021446D" w:rsidRPr="005F15DA" w:rsidRDefault="0021446D" w:rsidP="0021446D">
      <w:pPr>
        <w:widowControl w:val="0"/>
        <w:autoSpaceDE w:val="0"/>
        <w:autoSpaceDN w:val="0"/>
        <w:adjustRightInd w:val="0"/>
        <w:spacing w:line="360" w:lineRule="auto"/>
        <w:rPr>
          <w:rFonts w:ascii="Helvetica" w:hAnsi="Helvetica" w:cs="Helvetica"/>
          <w:szCs w:val="22"/>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MUSA Nr. 513</w:t>
      </w:r>
    </w:p>
    <w:p w:rsidR="0021446D" w:rsidRPr="005F15DA" w:rsidRDefault="0021446D" w:rsidP="0021446D">
      <w:pPr>
        <w:spacing w:after="200"/>
        <w:rPr>
          <w:szCs w:val="22"/>
        </w:rPr>
      </w:pPr>
      <w:r w:rsidRPr="005F15DA">
        <w:rPr>
          <w:szCs w:val="22"/>
        </w:rPr>
        <w:br w:type="page"/>
      </w:r>
    </w:p>
    <w:p w:rsidR="0021446D" w:rsidRPr="005F15DA" w:rsidRDefault="0021446D" w:rsidP="00AC041C">
      <w:pPr>
        <w:pStyle w:val="berschrift2"/>
        <w:rPr>
          <w:sz w:val="12"/>
          <w:szCs w:val="12"/>
        </w:rPr>
      </w:pPr>
      <w:bookmarkStart w:id="202" w:name="_Toc432175722"/>
      <w:r w:rsidRPr="005F15DA">
        <w:lastRenderedPageBreak/>
        <w:t>IV. Kaufvertrag</w:t>
      </w:r>
      <w:bookmarkEnd w:id="202"/>
    </w:p>
    <w:p w:rsidR="0021446D" w:rsidRPr="005F15DA" w:rsidRDefault="0021446D" w:rsidP="0021446D">
      <w:pPr>
        <w:widowControl w:val="0"/>
        <w:autoSpaceDE w:val="0"/>
        <w:autoSpaceDN w:val="0"/>
        <w:adjustRightInd w:val="0"/>
        <w:rPr>
          <w:rFonts w:ascii="Helvetica" w:hAnsi="Helvetica" w:cs="Helvetica"/>
          <w:b/>
          <w:bCs/>
          <w:sz w:val="12"/>
          <w:szCs w:val="12"/>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proofErr w:type="gramStart"/>
      <w:r w:rsidRPr="005F15DA">
        <w:rPr>
          <w:rFonts w:ascii="Helvetica" w:hAnsi="Helvetica" w:cs="Helvetica"/>
          <w:szCs w:val="22"/>
        </w:rPr>
        <w:t>A.B.,</w:t>
      </w:r>
      <w:proofErr w:type="gramEnd"/>
      <w:r w:rsidRPr="005F15DA">
        <w:rPr>
          <w:rFonts w:ascii="Helvetica" w:hAnsi="Helvetica" w:cs="Helvetica"/>
          <w:szCs w:val="22"/>
        </w:rPr>
        <w:t xml:space="preserve"> Notar des Kantons Bern, eingetragen im Notariatsregister des Kantons Bern, mit Büro in </w:t>
      </w:r>
      <w:proofErr w:type="spellStart"/>
      <w:r w:rsidRPr="005F15DA">
        <w:rPr>
          <w:rFonts w:ascii="Helvetica" w:hAnsi="Helvetica" w:cs="Helvetica"/>
          <w:szCs w:val="22"/>
        </w:rPr>
        <w:t>Hilterfingen</w:t>
      </w:r>
      <w:proofErr w:type="spellEnd"/>
      <w:r w:rsidRPr="005F15DA">
        <w:rPr>
          <w:rFonts w:ascii="Helvetica" w:hAnsi="Helvetica" w:cs="Helvetica"/>
          <w:szCs w:val="22"/>
        </w:rPr>
        <w:t>,</w:t>
      </w:r>
    </w:p>
    <w:p w:rsidR="0021446D" w:rsidRPr="005F15DA" w:rsidRDefault="0021446D" w:rsidP="0021446D">
      <w:pPr>
        <w:widowControl w:val="0"/>
        <w:autoSpaceDE w:val="0"/>
        <w:autoSpaceDN w:val="0"/>
        <w:adjustRightInd w:val="0"/>
        <w:rPr>
          <w:rFonts w:ascii="Helvetica" w:hAnsi="Helvetica" w:cs="Helvetica"/>
          <w:sz w:val="6"/>
          <w:szCs w:val="6"/>
        </w:rPr>
      </w:pPr>
      <w:r w:rsidRPr="005F15DA">
        <w:rPr>
          <w:rFonts w:ascii="Helvetica" w:hAnsi="Helvetica" w:cs="Helvetica"/>
          <w:sz w:val="6"/>
          <w:szCs w:val="6"/>
        </w:rPr>
        <w:br/>
      </w:r>
    </w:p>
    <w:p w:rsidR="0021446D" w:rsidRPr="005F15DA" w:rsidRDefault="0021446D" w:rsidP="0021446D">
      <w:pPr>
        <w:autoSpaceDE w:val="0"/>
        <w:autoSpaceDN w:val="0"/>
        <w:jc w:val="center"/>
        <w:rPr>
          <w:rFonts w:ascii="Helvetica" w:hAnsi="Helvetica" w:cs="Helvetica"/>
          <w:szCs w:val="22"/>
        </w:rPr>
      </w:pPr>
      <w:r w:rsidRPr="005F15DA">
        <w:rPr>
          <w:rFonts w:ascii="Helvetica" w:hAnsi="Helvetica" w:cs="Helvetica"/>
          <w:i/>
          <w:iCs/>
          <w:szCs w:val="22"/>
        </w:rPr>
        <w:t>beurkundet:</w:t>
      </w:r>
    </w:p>
    <w:p w:rsidR="0021446D" w:rsidRPr="005F15DA" w:rsidRDefault="0021446D" w:rsidP="0021446D">
      <w:pPr>
        <w:widowControl w:val="0"/>
        <w:autoSpaceDE w:val="0"/>
        <w:autoSpaceDN w:val="0"/>
        <w:adjustRightInd w:val="0"/>
        <w:rPr>
          <w:rFonts w:ascii="Helvetica" w:hAnsi="Helvetica" w:cs="Helvetica"/>
          <w:sz w:val="6"/>
          <w:szCs w:val="6"/>
        </w:rPr>
      </w:pPr>
      <w:r w:rsidRPr="005F15DA">
        <w:rPr>
          <w:rFonts w:ascii="Helvetica" w:hAnsi="Helvetica" w:cs="Helvetica"/>
          <w:sz w:val="6"/>
          <w:szCs w:val="6"/>
        </w:rPr>
        <w:br/>
      </w: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Frau</w:t>
      </w:r>
    </w:p>
    <w:p w:rsidR="0021446D" w:rsidRPr="005F15DA" w:rsidRDefault="0021446D" w:rsidP="0021446D">
      <w:pPr>
        <w:widowControl w:val="0"/>
        <w:autoSpaceDE w:val="0"/>
        <w:autoSpaceDN w:val="0"/>
        <w:adjustRightInd w:val="0"/>
        <w:rPr>
          <w:rFonts w:ascii="Helvetica" w:hAnsi="Helvetica" w:cs="Helvetica"/>
          <w:sz w:val="6"/>
          <w:szCs w:val="6"/>
        </w:rPr>
      </w:pPr>
      <w:r w:rsidRPr="005F15DA">
        <w:rPr>
          <w:rFonts w:ascii="Helvetica" w:hAnsi="Helvetica" w:cs="Helvetica"/>
          <w:sz w:val="6"/>
          <w:szCs w:val="6"/>
        </w:rPr>
        <w:br/>
      </w:r>
    </w:p>
    <w:p w:rsidR="0021446D" w:rsidRPr="005F15DA" w:rsidRDefault="0021446D" w:rsidP="0021446D">
      <w:pPr>
        <w:autoSpaceDE w:val="0"/>
        <w:autoSpaceDN w:val="0"/>
        <w:jc w:val="center"/>
        <w:rPr>
          <w:rFonts w:ascii="Helvetica" w:hAnsi="Helvetica" w:cs="Helvetica"/>
          <w:szCs w:val="22"/>
        </w:rPr>
      </w:pPr>
      <w:r w:rsidRPr="005F15DA">
        <w:rPr>
          <w:rFonts w:ascii="Helvetica" w:hAnsi="Helvetica" w:cs="Helvetica"/>
          <w:b/>
          <w:bCs/>
          <w:szCs w:val="22"/>
        </w:rPr>
        <w:t>Ursula Bigler geb. Vollenweider</w:t>
      </w:r>
    </w:p>
    <w:p w:rsidR="0021446D" w:rsidRPr="005F15DA" w:rsidRDefault="0021446D" w:rsidP="0021446D">
      <w:pPr>
        <w:widowControl w:val="0"/>
        <w:autoSpaceDE w:val="0"/>
        <w:autoSpaceDN w:val="0"/>
        <w:adjustRightInd w:val="0"/>
        <w:rPr>
          <w:rFonts w:ascii="Helvetica" w:hAnsi="Helvetica" w:cs="Helvetica"/>
          <w:sz w:val="6"/>
          <w:szCs w:val="6"/>
        </w:rPr>
      </w:pPr>
      <w:r w:rsidRPr="005F15DA">
        <w:rPr>
          <w:rFonts w:ascii="Helvetica" w:hAnsi="Helvetica" w:cs="Helvetica"/>
          <w:sz w:val="6"/>
          <w:szCs w:val="6"/>
        </w:rPr>
        <w:br/>
      </w: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17.3.1934, verheiratet, von Vechigen und Interlaken, Buchhändlerin, Weststrasse 17, 3074 Muri bei Bern,</w:t>
      </w:r>
    </w:p>
    <w:p w:rsidR="0021446D" w:rsidRPr="005F15DA" w:rsidRDefault="0021446D" w:rsidP="0021446D">
      <w:pPr>
        <w:widowControl w:val="0"/>
        <w:autoSpaceDE w:val="0"/>
        <w:autoSpaceDN w:val="0"/>
        <w:adjustRightInd w:val="0"/>
        <w:rPr>
          <w:rFonts w:ascii="Helvetica" w:hAnsi="Helvetica" w:cs="Helvetica"/>
          <w:sz w:val="6"/>
          <w:szCs w:val="6"/>
        </w:rPr>
      </w:pPr>
      <w:r w:rsidRPr="005F15DA">
        <w:rPr>
          <w:rFonts w:ascii="Helvetica" w:hAnsi="Helvetica" w:cs="Helvetica"/>
          <w:sz w:val="6"/>
          <w:szCs w:val="6"/>
        </w:rPr>
        <w:br/>
      </w:r>
    </w:p>
    <w:p w:rsidR="0021446D" w:rsidRPr="005F15DA" w:rsidRDefault="0021446D" w:rsidP="0021446D">
      <w:pPr>
        <w:autoSpaceDE w:val="0"/>
        <w:autoSpaceDN w:val="0"/>
        <w:jc w:val="right"/>
        <w:rPr>
          <w:rFonts w:ascii="Helvetica" w:hAnsi="Helvetica"/>
        </w:rPr>
      </w:pPr>
      <w:r w:rsidRPr="005F15DA">
        <w:rPr>
          <w:rFonts w:ascii="Helvetica" w:hAnsi="Helvetica"/>
          <w:i/>
          <w:iCs/>
        </w:rPr>
        <w:t>Verkäuferin</w:t>
      </w:r>
    </w:p>
    <w:p w:rsidR="0021446D" w:rsidRPr="005F15DA" w:rsidRDefault="0021446D" w:rsidP="0021446D">
      <w:pPr>
        <w:widowControl w:val="0"/>
        <w:autoSpaceDE w:val="0"/>
        <w:autoSpaceDN w:val="0"/>
        <w:adjustRightInd w:val="0"/>
        <w:rPr>
          <w:rFonts w:ascii="Helvetica" w:hAnsi="Helvetica"/>
          <w:sz w:val="6"/>
          <w:szCs w:val="6"/>
        </w:rPr>
      </w:pPr>
      <w:r w:rsidRPr="005F15DA">
        <w:rPr>
          <w:rFonts w:ascii="Helvetica" w:hAnsi="Helvetica"/>
          <w:sz w:val="6"/>
          <w:szCs w:val="6"/>
        </w:rPr>
        <w:br/>
      </w: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und die</w:t>
      </w:r>
    </w:p>
    <w:p w:rsidR="0021446D" w:rsidRPr="005F15DA" w:rsidRDefault="0021446D" w:rsidP="0021446D">
      <w:pPr>
        <w:widowControl w:val="0"/>
        <w:autoSpaceDE w:val="0"/>
        <w:autoSpaceDN w:val="0"/>
        <w:adjustRightInd w:val="0"/>
        <w:rPr>
          <w:rFonts w:ascii="Helvetica" w:hAnsi="Helvetica" w:cs="Helvetica"/>
          <w:sz w:val="6"/>
          <w:szCs w:val="6"/>
        </w:rPr>
      </w:pPr>
      <w:r w:rsidRPr="005F15DA">
        <w:rPr>
          <w:rFonts w:ascii="Helvetica" w:hAnsi="Helvetica" w:cs="Helvetica"/>
          <w:sz w:val="6"/>
          <w:szCs w:val="6"/>
        </w:rPr>
        <w:br/>
      </w:r>
    </w:p>
    <w:p w:rsidR="0021446D" w:rsidRPr="005F15DA" w:rsidRDefault="0021446D" w:rsidP="0021446D">
      <w:pPr>
        <w:autoSpaceDE w:val="0"/>
        <w:autoSpaceDN w:val="0"/>
        <w:jc w:val="center"/>
        <w:rPr>
          <w:rFonts w:ascii="Helvetica" w:hAnsi="Helvetica" w:cs="Helvetica"/>
          <w:szCs w:val="22"/>
        </w:rPr>
      </w:pPr>
      <w:r w:rsidRPr="005F15DA">
        <w:rPr>
          <w:rFonts w:ascii="Helvetica" w:hAnsi="Helvetica" w:cs="Helvetica"/>
          <w:b/>
          <w:bCs/>
          <w:szCs w:val="22"/>
        </w:rPr>
        <w:t>Künzi + Co</w:t>
      </w:r>
    </w:p>
    <w:p w:rsidR="0021446D" w:rsidRPr="005F15DA" w:rsidRDefault="0021446D" w:rsidP="0021446D">
      <w:pPr>
        <w:widowControl w:val="0"/>
        <w:autoSpaceDE w:val="0"/>
        <w:autoSpaceDN w:val="0"/>
        <w:adjustRightInd w:val="0"/>
        <w:rPr>
          <w:rFonts w:ascii="Helvetica" w:hAnsi="Helvetica" w:cs="Helvetica"/>
          <w:sz w:val="6"/>
          <w:szCs w:val="6"/>
        </w:rPr>
      </w:pPr>
      <w:r w:rsidRPr="005F15DA">
        <w:rPr>
          <w:rFonts w:ascii="Helvetica" w:hAnsi="Helvetica" w:cs="Helvetica"/>
          <w:sz w:val="6"/>
          <w:szCs w:val="6"/>
        </w:rPr>
        <w:br/>
      </w: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 xml:space="preserve">Kollektivgesellschaft mit Sitz in Thun (Firmennummer 092.2. 016.967-5), handelnd durch den einzeln zeichnungsberechtigten Gesellschafter, Herrn  </w:t>
      </w:r>
      <w:r w:rsidRPr="005F15DA">
        <w:rPr>
          <w:rFonts w:ascii="Helvetica" w:hAnsi="Helvetica" w:cs="Helvetica"/>
          <w:b/>
          <w:bCs/>
          <w:szCs w:val="22"/>
        </w:rPr>
        <w:t>Ernst Künzi,</w:t>
      </w:r>
      <w:r w:rsidRPr="005F15DA">
        <w:rPr>
          <w:rFonts w:ascii="Helvetica" w:hAnsi="Helvetica" w:cs="Helvetica"/>
          <w:szCs w:val="22"/>
        </w:rPr>
        <w:t xml:space="preserve"> von </w:t>
      </w:r>
      <w:proofErr w:type="spellStart"/>
      <w:r w:rsidRPr="005F15DA">
        <w:rPr>
          <w:rFonts w:ascii="Helvetica" w:hAnsi="Helvetica" w:cs="Helvetica"/>
          <w:szCs w:val="22"/>
        </w:rPr>
        <w:t>Obfelden</w:t>
      </w:r>
      <w:proofErr w:type="spellEnd"/>
      <w:r w:rsidRPr="005F15DA">
        <w:rPr>
          <w:rFonts w:ascii="Helvetica" w:hAnsi="Helvetica" w:cs="Helvetica"/>
          <w:szCs w:val="22"/>
        </w:rPr>
        <w:t>, dipl. Ba</w:t>
      </w:r>
      <w:r w:rsidRPr="005F15DA">
        <w:rPr>
          <w:rFonts w:ascii="Helvetica" w:hAnsi="Helvetica" w:cs="Helvetica"/>
          <w:szCs w:val="22"/>
        </w:rPr>
        <w:t>u</w:t>
      </w:r>
      <w:r w:rsidRPr="005F15DA">
        <w:rPr>
          <w:rFonts w:ascii="Helvetica" w:hAnsi="Helvetica" w:cs="Helvetica"/>
          <w:szCs w:val="22"/>
        </w:rPr>
        <w:t xml:space="preserve">meister, Staatsstrasse 35, 3652 </w:t>
      </w:r>
      <w:proofErr w:type="spellStart"/>
      <w:r w:rsidRPr="005F15DA">
        <w:rPr>
          <w:rFonts w:ascii="Helvetica" w:hAnsi="Helvetica" w:cs="Helvetica"/>
          <w:szCs w:val="22"/>
        </w:rPr>
        <w:t>Hilterfingen</w:t>
      </w:r>
      <w:proofErr w:type="spellEnd"/>
      <w:r w:rsidRPr="005F15DA">
        <w:rPr>
          <w:rFonts w:ascii="Helvetica" w:hAnsi="Helvetica" w:cs="Helvetica"/>
          <w:szCs w:val="22"/>
        </w:rPr>
        <w:t>,</w:t>
      </w:r>
    </w:p>
    <w:p w:rsidR="0021446D" w:rsidRPr="005F15DA" w:rsidRDefault="0021446D" w:rsidP="0021446D">
      <w:pPr>
        <w:widowControl w:val="0"/>
        <w:autoSpaceDE w:val="0"/>
        <w:autoSpaceDN w:val="0"/>
        <w:adjustRightInd w:val="0"/>
        <w:rPr>
          <w:rFonts w:ascii="Helvetica" w:hAnsi="Helvetica" w:cs="Helvetica"/>
          <w:sz w:val="6"/>
          <w:szCs w:val="6"/>
        </w:rPr>
      </w:pPr>
      <w:r w:rsidRPr="005F15DA">
        <w:rPr>
          <w:rFonts w:ascii="Helvetica" w:hAnsi="Helvetica" w:cs="Helvetica"/>
          <w:sz w:val="6"/>
          <w:szCs w:val="6"/>
        </w:rPr>
        <w:br/>
      </w:r>
    </w:p>
    <w:p w:rsidR="0021446D" w:rsidRPr="005F15DA" w:rsidRDefault="0021446D" w:rsidP="0021446D">
      <w:pPr>
        <w:autoSpaceDE w:val="0"/>
        <w:autoSpaceDN w:val="0"/>
        <w:jc w:val="right"/>
        <w:rPr>
          <w:rFonts w:ascii="Helvetica" w:hAnsi="Helvetica"/>
        </w:rPr>
      </w:pPr>
      <w:r w:rsidRPr="005F15DA">
        <w:rPr>
          <w:rFonts w:ascii="Helvetica" w:hAnsi="Helvetica"/>
          <w:i/>
          <w:iCs/>
        </w:rPr>
        <w:t>Käuferin</w:t>
      </w:r>
    </w:p>
    <w:p w:rsidR="0021446D" w:rsidRPr="005F15DA" w:rsidRDefault="0021446D" w:rsidP="0021446D">
      <w:pPr>
        <w:widowControl w:val="0"/>
        <w:autoSpaceDE w:val="0"/>
        <w:autoSpaceDN w:val="0"/>
        <w:adjustRightInd w:val="0"/>
        <w:rPr>
          <w:rFonts w:ascii="Helvetica" w:hAnsi="Helvetica"/>
          <w:sz w:val="8"/>
          <w:szCs w:val="8"/>
        </w:rPr>
      </w:pPr>
      <w:r w:rsidRPr="005F15DA">
        <w:rPr>
          <w:rFonts w:ascii="Helvetica" w:hAnsi="Helvetica"/>
          <w:sz w:val="8"/>
          <w:szCs w:val="8"/>
        </w:rPr>
        <w:br/>
      </w:r>
    </w:p>
    <w:p w:rsidR="0021446D" w:rsidRPr="005F15DA" w:rsidRDefault="0021446D" w:rsidP="0021446D">
      <w:pPr>
        <w:autoSpaceDE w:val="0"/>
        <w:autoSpaceDN w:val="0"/>
        <w:jc w:val="center"/>
        <w:rPr>
          <w:rFonts w:ascii="Helvetica" w:hAnsi="Helvetica" w:cs="Helvetica"/>
          <w:szCs w:val="22"/>
        </w:rPr>
      </w:pPr>
      <w:r w:rsidRPr="005F15DA">
        <w:rPr>
          <w:rFonts w:ascii="Helvetica" w:hAnsi="Helvetica" w:cs="Helvetica"/>
          <w:i/>
          <w:iCs/>
          <w:szCs w:val="22"/>
        </w:rPr>
        <w:t>erklären:</w:t>
      </w: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rPr>
          <w:rFonts w:ascii="Helvetica" w:hAnsi="Helvetica" w:cs="Helvetica"/>
          <w:b/>
          <w:bCs/>
          <w:szCs w:val="22"/>
        </w:rPr>
      </w:pPr>
      <w:r w:rsidRPr="005F15DA">
        <w:rPr>
          <w:rFonts w:ascii="Helvetica" w:hAnsi="Helvetica" w:cs="Helvetica"/>
          <w:b/>
          <w:bCs/>
          <w:szCs w:val="22"/>
        </w:rPr>
        <w:t>I. Kauf / Vertragsobjekt</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Frau Ursula Bigler geb. Vollenweider verkauft der Künzi + Co folgendes Grundstück:</w:t>
      </w:r>
    </w:p>
    <w:p w:rsidR="0021446D" w:rsidRPr="005F15DA" w:rsidRDefault="0021446D" w:rsidP="0021446D">
      <w:pPr>
        <w:widowControl w:val="0"/>
        <w:autoSpaceDE w:val="0"/>
        <w:autoSpaceDN w:val="0"/>
        <w:adjustRightInd w:val="0"/>
        <w:rPr>
          <w:rFonts w:ascii="Helvetica" w:hAnsi="Helvetica" w:cs="Helvetica"/>
          <w:sz w:val="2"/>
          <w:szCs w:val="2"/>
        </w:rPr>
      </w:pPr>
      <w:r w:rsidRPr="005F15DA">
        <w:rPr>
          <w:rFonts w:ascii="Helvetica" w:hAnsi="Helvetica" w:cs="Helvetica"/>
          <w:sz w:val="2"/>
          <w:szCs w:val="2"/>
        </w:rPr>
        <w:br/>
      </w: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b/>
          <w:bCs/>
          <w:szCs w:val="22"/>
        </w:rPr>
        <w:t>Heimberg-Grundbuchblatt Nr. 3478</w:t>
      </w: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u w:val="single"/>
        </w:rPr>
        <w:t>Wohn- und Geschäftshaus</w:t>
      </w:r>
      <w:r w:rsidRPr="005F15DA">
        <w:rPr>
          <w:rFonts w:ascii="Helvetica" w:hAnsi="Helvetica" w:cs="Helvetica"/>
          <w:szCs w:val="22"/>
        </w:rPr>
        <w:t xml:space="preserve"> Bernstrasse 7</w:t>
      </w: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Fläche: 488 m</w:t>
      </w:r>
      <w:r w:rsidRPr="005F15DA">
        <w:rPr>
          <w:rFonts w:ascii="Helvetica" w:hAnsi="Helvetica" w:cs="Helvetica"/>
          <w:szCs w:val="22"/>
          <w:vertAlign w:val="superscript"/>
        </w:rPr>
        <w:t xml:space="preserve">2 </w:t>
      </w:r>
    </w:p>
    <w:p w:rsidR="0021446D" w:rsidRPr="005F15DA" w:rsidRDefault="0021446D" w:rsidP="0021446D">
      <w:pPr>
        <w:widowControl w:val="0"/>
        <w:autoSpaceDE w:val="0"/>
        <w:autoSpaceDN w:val="0"/>
        <w:adjustRightInd w:val="0"/>
        <w:rPr>
          <w:rFonts w:ascii="Helvetica" w:hAnsi="Helvetica" w:cs="Helvetica"/>
          <w:sz w:val="8"/>
          <w:szCs w:val="8"/>
        </w:rPr>
      </w:pPr>
      <w:r w:rsidRPr="005F15DA">
        <w:rPr>
          <w:rFonts w:ascii="Helvetica" w:hAnsi="Helvetica" w:cs="Helvetica"/>
          <w:sz w:val="8"/>
          <w:szCs w:val="8"/>
        </w:rPr>
        <w:br/>
      </w: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i/>
          <w:iCs/>
          <w:szCs w:val="22"/>
        </w:rPr>
        <w:t>folgt Grundstückbeschreibung (vgl. Muster Nr. 611)</w:t>
      </w: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rPr>
          <w:rFonts w:ascii="Helvetica" w:hAnsi="Helvetica" w:cs="Helvetica"/>
          <w:b/>
          <w:bCs/>
          <w:szCs w:val="22"/>
        </w:rPr>
      </w:pPr>
      <w:r w:rsidRPr="005F15DA">
        <w:rPr>
          <w:rFonts w:ascii="Helvetica" w:hAnsi="Helvetica" w:cs="Helvetica"/>
          <w:b/>
          <w:bCs/>
          <w:szCs w:val="22"/>
        </w:rPr>
        <w:t>II. Finanzielle Vertragsbestimmungen</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t>1. Kaufpreis</w:t>
      </w:r>
    </w:p>
    <w:p w:rsidR="0021446D" w:rsidRPr="005F15DA" w:rsidRDefault="0021446D" w:rsidP="0021446D">
      <w:pPr>
        <w:widowControl w:val="0"/>
        <w:autoSpaceDE w:val="0"/>
        <w:autoSpaceDN w:val="0"/>
        <w:adjustRightInd w:val="0"/>
        <w:rPr>
          <w:rFonts w:ascii="Helvetica" w:hAnsi="Helvetica" w:cs="Helvetica"/>
          <w:sz w:val="6"/>
          <w:szCs w:val="6"/>
        </w:rPr>
      </w:pPr>
    </w:p>
    <w:tbl>
      <w:tblPr>
        <w:tblW w:w="7088" w:type="dxa"/>
        <w:tblLayout w:type="fixed"/>
        <w:tblCellMar>
          <w:left w:w="0" w:type="dxa"/>
          <w:right w:w="0" w:type="dxa"/>
        </w:tblCellMar>
        <w:tblLook w:val="0000" w:firstRow="0" w:lastRow="0" w:firstColumn="0" w:lastColumn="0" w:noHBand="0" w:noVBand="0"/>
      </w:tblPr>
      <w:tblGrid>
        <w:gridCol w:w="5568"/>
        <w:gridCol w:w="1520"/>
      </w:tblGrid>
      <w:tr w:rsidR="0021446D" w:rsidRPr="005F15DA" w:rsidTr="0021446D">
        <w:tc>
          <w:tcPr>
            <w:tcW w:w="5568" w:type="dxa"/>
            <w:tcBorders>
              <w:top w:val="nil"/>
              <w:left w:val="nil"/>
              <w:bottom w:val="nil"/>
              <w:right w:val="nil"/>
            </w:tcBorders>
          </w:tcPr>
          <w:p w:rsidR="0021446D" w:rsidRPr="005F15DA" w:rsidRDefault="0021446D" w:rsidP="0021446D">
            <w:pPr>
              <w:widowControl w:val="0"/>
              <w:autoSpaceDE w:val="0"/>
              <w:autoSpaceDN w:val="0"/>
              <w:adjustRightInd w:val="0"/>
              <w:rPr>
                <w:rFonts w:ascii="Helvetica" w:hAnsi="Helvetica" w:cs="Helvetica"/>
                <w:szCs w:val="22"/>
              </w:rPr>
            </w:pPr>
            <w:r w:rsidRPr="005F15DA">
              <w:rPr>
                <w:rFonts w:ascii="Helvetica" w:hAnsi="Helvetica" w:cs="Helvetica"/>
                <w:szCs w:val="22"/>
              </w:rPr>
              <w:t xml:space="preserve">Der Kaufpreis für das Vertragsobjekt beträgt </w:t>
            </w:r>
          </w:p>
        </w:tc>
        <w:tc>
          <w:tcPr>
            <w:tcW w:w="1520" w:type="dxa"/>
            <w:tcBorders>
              <w:top w:val="nil"/>
              <w:left w:val="nil"/>
              <w:bottom w:val="nil"/>
              <w:right w:val="nil"/>
            </w:tcBorders>
          </w:tcPr>
          <w:p w:rsidR="0021446D" w:rsidRPr="005F15DA" w:rsidRDefault="0021446D" w:rsidP="0021446D">
            <w:pPr>
              <w:widowControl w:val="0"/>
              <w:autoSpaceDE w:val="0"/>
              <w:autoSpaceDN w:val="0"/>
              <w:adjustRightInd w:val="0"/>
              <w:jc w:val="right"/>
              <w:rPr>
                <w:rFonts w:ascii="Helvetica" w:hAnsi="Helvetica" w:cs="Helvetica"/>
                <w:szCs w:val="22"/>
              </w:rPr>
            </w:pPr>
            <w:r w:rsidRPr="005F15DA">
              <w:rPr>
                <w:rFonts w:ascii="Helvetica" w:hAnsi="Helvetica" w:cs="Helvetica"/>
                <w:b/>
                <w:bCs/>
                <w:szCs w:val="22"/>
              </w:rPr>
              <w:t>Fr.    600 000.-</w:t>
            </w:r>
            <w:r w:rsidRPr="005F15DA">
              <w:rPr>
                <w:rFonts w:ascii="Helvetica" w:hAnsi="Helvetica" w:cs="Helvetica"/>
                <w:szCs w:val="22"/>
              </w:rPr>
              <w:t xml:space="preserve"> </w:t>
            </w:r>
          </w:p>
        </w:tc>
      </w:tr>
      <w:tr w:rsidR="0021446D" w:rsidRPr="005F15DA" w:rsidTr="0021446D">
        <w:tc>
          <w:tcPr>
            <w:tcW w:w="5568" w:type="dxa"/>
            <w:tcBorders>
              <w:top w:val="nil"/>
              <w:left w:val="nil"/>
              <w:bottom w:val="nil"/>
              <w:right w:val="nil"/>
            </w:tcBorders>
          </w:tcPr>
          <w:p w:rsidR="0021446D" w:rsidRPr="005F15DA" w:rsidRDefault="0021446D" w:rsidP="0021446D">
            <w:pPr>
              <w:widowControl w:val="0"/>
              <w:autoSpaceDE w:val="0"/>
              <w:autoSpaceDN w:val="0"/>
              <w:adjustRightInd w:val="0"/>
              <w:rPr>
                <w:rFonts w:ascii="Helvetica" w:hAnsi="Helvetica" w:cs="Helvetica"/>
                <w:szCs w:val="22"/>
              </w:rPr>
            </w:pPr>
            <w:r w:rsidRPr="005F15DA">
              <w:rPr>
                <w:rFonts w:ascii="Helvetica" w:hAnsi="Helvetica" w:cs="Helvetica"/>
                <w:szCs w:val="22"/>
              </w:rPr>
              <w:t xml:space="preserve">(sechshunderttausend Franken) </w:t>
            </w:r>
          </w:p>
        </w:tc>
        <w:tc>
          <w:tcPr>
            <w:tcW w:w="1520" w:type="dxa"/>
            <w:tcBorders>
              <w:top w:val="nil"/>
              <w:left w:val="nil"/>
              <w:bottom w:val="nil"/>
              <w:right w:val="nil"/>
            </w:tcBorders>
          </w:tcPr>
          <w:p w:rsidR="0021446D" w:rsidRPr="005F15DA" w:rsidRDefault="0021446D" w:rsidP="0021446D">
            <w:pPr>
              <w:widowControl w:val="0"/>
              <w:autoSpaceDE w:val="0"/>
              <w:autoSpaceDN w:val="0"/>
              <w:adjustRightInd w:val="0"/>
              <w:jc w:val="right"/>
              <w:rPr>
                <w:rFonts w:ascii="Helvetica" w:hAnsi="Helvetica" w:cs="Helvetica"/>
                <w:szCs w:val="22"/>
              </w:rPr>
            </w:pPr>
            <w:r w:rsidRPr="005F15DA">
              <w:rPr>
                <w:rFonts w:ascii="Helvetica" w:hAnsi="Helvetica" w:cs="Helvetica"/>
                <w:szCs w:val="22"/>
              </w:rPr>
              <w:t xml:space="preserve"> </w:t>
            </w:r>
          </w:p>
        </w:tc>
      </w:tr>
    </w:tbl>
    <w:p w:rsidR="0021446D" w:rsidRPr="005F15DA" w:rsidRDefault="0021446D" w:rsidP="0021446D">
      <w:pPr>
        <w:widowControl w:val="0"/>
        <w:autoSpaceDE w:val="0"/>
        <w:autoSpaceDN w:val="0"/>
        <w:adjustRightInd w:val="0"/>
        <w:rPr>
          <w:rFonts w:ascii="Helvetica" w:hAnsi="Helvetica" w:cs="Helvetica"/>
          <w:sz w:val="12"/>
          <w:szCs w:val="12"/>
        </w:rPr>
      </w:pPr>
    </w:p>
    <w:p w:rsidR="00AC041C" w:rsidRPr="005F15DA" w:rsidRDefault="00AC041C">
      <w:pPr>
        <w:spacing w:after="200"/>
        <w:rPr>
          <w:rFonts w:ascii="Helvetica" w:hAnsi="Helvetica" w:cs="Helvetica"/>
          <w:b/>
          <w:bCs/>
          <w:szCs w:val="22"/>
        </w:rPr>
      </w:pPr>
      <w:r w:rsidRPr="005F15DA">
        <w:rPr>
          <w:rFonts w:ascii="Helvetica" w:hAnsi="Helvetica" w:cs="Helvetica"/>
          <w:b/>
          <w:bCs/>
          <w:szCs w:val="22"/>
        </w:rPr>
        <w:br w:type="page"/>
      </w:r>
    </w:p>
    <w:p w:rsidR="0021446D" w:rsidRPr="005F15DA" w:rsidRDefault="0021446D" w:rsidP="0021446D">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lastRenderedPageBreak/>
        <w:t>2. Kaufpreistilgung</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Die Käuferin verpflichtet sich, den Kaufpreis wie</w:t>
      </w:r>
      <w:r w:rsidRPr="005F15DA">
        <w:rPr>
          <w:rFonts w:ascii="Helvetica" w:hAnsi="Helvetica" w:cs="Helvetica"/>
          <w:szCs w:val="22"/>
        </w:rPr>
        <w:br/>
        <w:t>folgt zu tilgen:</w:t>
      </w:r>
    </w:p>
    <w:tbl>
      <w:tblPr>
        <w:tblW w:w="7088" w:type="dxa"/>
        <w:tblLayout w:type="fixed"/>
        <w:tblCellMar>
          <w:left w:w="0" w:type="dxa"/>
          <w:right w:w="0" w:type="dxa"/>
        </w:tblCellMar>
        <w:tblLook w:val="0000" w:firstRow="0" w:lastRow="0" w:firstColumn="0" w:lastColumn="0" w:noHBand="0" w:noVBand="0"/>
      </w:tblPr>
      <w:tblGrid>
        <w:gridCol w:w="270"/>
        <w:gridCol w:w="5259"/>
        <w:gridCol w:w="39"/>
        <w:gridCol w:w="1520"/>
      </w:tblGrid>
      <w:tr w:rsidR="0021446D" w:rsidRPr="005F15DA" w:rsidTr="0021446D">
        <w:tc>
          <w:tcPr>
            <w:tcW w:w="5568" w:type="dxa"/>
            <w:gridSpan w:val="3"/>
            <w:tcBorders>
              <w:top w:val="nil"/>
              <w:left w:val="nil"/>
              <w:bottom w:val="nil"/>
              <w:right w:val="nil"/>
            </w:tcBorders>
          </w:tcPr>
          <w:p w:rsidR="0021446D" w:rsidRPr="005F15DA" w:rsidRDefault="0021446D" w:rsidP="0021446D">
            <w:pPr>
              <w:widowControl w:val="0"/>
              <w:autoSpaceDE w:val="0"/>
              <w:autoSpaceDN w:val="0"/>
              <w:adjustRightInd w:val="0"/>
              <w:ind w:left="270" w:hanging="270"/>
              <w:rPr>
                <w:rFonts w:ascii="Helvetica" w:hAnsi="Helvetica" w:cs="Helvetica"/>
                <w:szCs w:val="22"/>
              </w:rPr>
            </w:pPr>
            <w:r w:rsidRPr="005F15DA">
              <w:rPr>
                <w:rFonts w:ascii="Helvetica" w:hAnsi="Helvetica" w:cs="Helvetica"/>
                <w:szCs w:val="22"/>
              </w:rPr>
              <w:t>a.</w:t>
            </w:r>
            <w:r w:rsidRPr="005F15DA">
              <w:rPr>
                <w:rFonts w:ascii="Helvetica" w:hAnsi="Helvetica" w:cs="Helvetica"/>
                <w:szCs w:val="22"/>
              </w:rPr>
              <w:tab/>
              <w:t xml:space="preserve">Bei der </w:t>
            </w:r>
            <w:proofErr w:type="spellStart"/>
            <w:r w:rsidRPr="005F15DA">
              <w:rPr>
                <w:rFonts w:ascii="Helvetica" w:hAnsi="Helvetica" w:cs="Helvetica"/>
                <w:szCs w:val="22"/>
              </w:rPr>
              <w:t>Verurkundung</w:t>
            </w:r>
            <w:proofErr w:type="spellEnd"/>
            <w:r w:rsidRPr="005F15DA">
              <w:rPr>
                <w:rFonts w:ascii="Helvetica" w:hAnsi="Helvetica" w:cs="Helvetica"/>
                <w:szCs w:val="22"/>
              </w:rPr>
              <w:t xml:space="preserve"> übergibt die Käuferin</w:t>
            </w:r>
            <w:r w:rsidRPr="005F15DA">
              <w:rPr>
                <w:rFonts w:ascii="Helvetica" w:hAnsi="Helvetica" w:cs="Helvetica"/>
                <w:szCs w:val="22"/>
              </w:rPr>
              <w:br/>
              <w:t>der Verkäuferin einen von der Spar + Leihkasse</w:t>
            </w:r>
            <w:r w:rsidRPr="005F15DA">
              <w:rPr>
                <w:rFonts w:ascii="Helvetica" w:hAnsi="Helvetica" w:cs="Helvetica"/>
                <w:szCs w:val="22"/>
              </w:rPr>
              <w:br/>
              <w:t xml:space="preserve">Steffisburg ausgestellten Bankscheck über </w:t>
            </w:r>
          </w:p>
        </w:tc>
        <w:tc>
          <w:tcPr>
            <w:tcW w:w="1520" w:type="dxa"/>
            <w:tcBorders>
              <w:top w:val="nil"/>
              <w:left w:val="nil"/>
              <w:bottom w:val="nil"/>
              <w:right w:val="nil"/>
            </w:tcBorders>
          </w:tcPr>
          <w:p w:rsidR="0021446D" w:rsidRPr="005F15DA" w:rsidRDefault="0021446D" w:rsidP="0021446D">
            <w:pPr>
              <w:widowControl w:val="0"/>
              <w:autoSpaceDE w:val="0"/>
              <w:autoSpaceDN w:val="0"/>
              <w:adjustRightInd w:val="0"/>
              <w:jc w:val="right"/>
              <w:rPr>
                <w:rFonts w:ascii="Helvetica" w:hAnsi="Helvetica" w:cs="Helvetica"/>
                <w:szCs w:val="22"/>
              </w:rPr>
            </w:pPr>
            <w:r w:rsidRPr="005F15DA">
              <w:rPr>
                <w:rFonts w:ascii="Helvetica" w:hAnsi="Helvetica" w:cs="Helvetica"/>
                <w:szCs w:val="22"/>
              </w:rPr>
              <w:t xml:space="preserve"> </w:t>
            </w:r>
            <w:r w:rsidRPr="005F15DA">
              <w:rPr>
                <w:rFonts w:ascii="Helvetica" w:hAnsi="Helvetica" w:cs="Helvetica"/>
                <w:szCs w:val="22"/>
              </w:rPr>
              <w:br/>
              <w:t xml:space="preserve"> </w:t>
            </w:r>
            <w:r w:rsidRPr="005F15DA">
              <w:rPr>
                <w:rFonts w:ascii="Helvetica" w:hAnsi="Helvetica" w:cs="Helvetica"/>
                <w:szCs w:val="22"/>
              </w:rPr>
              <w:br/>
              <w:t xml:space="preserve">Fr.    40 000.00 </w:t>
            </w:r>
          </w:p>
        </w:tc>
      </w:tr>
      <w:tr w:rsidR="0021446D" w:rsidRPr="005F15DA" w:rsidTr="0021446D">
        <w:tc>
          <w:tcPr>
            <w:tcW w:w="5568" w:type="dxa"/>
            <w:gridSpan w:val="3"/>
            <w:tcBorders>
              <w:top w:val="nil"/>
              <w:left w:val="nil"/>
              <w:bottom w:val="nil"/>
              <w:right w:val="nil"/>
            </w:tcBorders>
          </w:tcPr>
          <w:p w:rsidR="0021446D" w:rsidRPr="005F15DA" w:rsidRDefault="0021446D" w:rsidP="0021446D">
            <w:pPr>
              <w:widowControl w:val="0"/>
              <w:autoSpaceDE w:val="0"/>
              <w:autoSpaceDN w:val="0"/>
              <w:adjustRightInd w:val="0"/>
              <w:ind w:left="284" w:hanging="284"/>
              <w:rPr>
                <w:rFonts w:ascii="Helvetica" w:hAnsi="Helvetica" w:cs="Helvetica"/>
                <w:szCs w:val="22"/>
              </w:rPr>
            </w:pPr>
            <w:r w:rsidRPr="005F15DA">
              <w:rPr>
                <w:rFonts w:ascii="Helvetica" w:hAnsi="Helvetica" w:cs="Helvetica"/>
                <w:szCs w:val="22"/>
              </w:rPr>
              <w:tab/>
              <w:t>Die Verkäuferin quittiert den Empfang</w:t>
            </w:r>
            <w:r w:rsidRPr="005F15DA">
              <w:rPr>
                <w:rFonts w:ascii="Helvetica" w:hAnsi="Helvetica" w:cs="Helvetica"/>
                <w:szCs w:val="22"/>
              </w:rPr>
              <w:br/>
              <w:t>des Schecks durch Unterzeichnung der</w:t>
            </w:r>
            <w:r w:rsidRPr="005F15DA">
              <w:rPr>
                <w:rFonts w:ascii="Helvetica" w:hAnsi="Helvetica" w:cs="Helvetica"/>
                <w:szCs w:val="22"/>
              </w:rPr>
              <w:br/>
              <w:t>Urschrift. Auf eine Verzinsung dieses</w:t>
            </w:r>
            <w:r w:rsidRPr="005F15DA">
              <w:rPr>
                <w:rFonts w:ascii="Helvetica" w:hAnsi="Helvetica" w:cs="Helvetica"/>
                <w:szCs w:val="22"/>
              </w:rPr>
              <w:br/>
              <w:t xml:space="preserve">Betrages wird verzichtet. </w:t>
            </w:r>
          </w:p>
        </w:tc>
        <w:tc>
          <w:tcPr>
            <w:tcW w:w="1520" w:type="dxa"/>
            <w:tcBorders>
              <w:top w:val="nil"/>
              <w:left w:val="nil"/>
              <w:bottom w:val="nil"/>
              <w:right w:val="nil"/>
            </w:tcBorders>
          </w:tcPr>
          <w:p w:rsidR="0021446D" w:rsidRPr="005F15DA" w:rsidRDefault="0021446D" w:rsidP="0021446D">
            <w:pPr>
              <w:widowControl w:val="0"/>
              <w:autoSpaceDE w:val="0"/>
              <w:autoSpaceDN w:val="0"/>
              <w:adjustRightInd w:val="0"/>
              <w:jc w:val="right"/>
              <w:rPr>
                <w:rFonts w:ascii="Helvetica" w:hAnsi="Helvetica" w:cs="Helvetica"/>
                <w:szCs w:val="22"/>
              </w:rPr>
            </w:pPr>
            <w:r w:rsidRPr="005F15DA">
              <w:rPr>
                <w:rFonts w:ascii="Helvetica" w:hAnsi="Helvetica" w:cs="Helvetica"/>
                <w:szCs w:val="22"/>
              </w:rPr>
              <w:t xml:space="preserve"> </w:t>
            </w:r>
          </w:p>
        </w:tc>
      </w:tr>
      <w:tr w:rsidR="0021446D" w:rsidRPr="005F15DA" w:rsidTr="0021446D">
        <w:tc>
          <w:tcPr>
            <w:tcW w:w="5568" w:type="dxa"/>
            <w:gridSpan w:val="3"/>
            <w:tcBorders>
              <w:top w:val="nil"/>
              <w:left w:val="nil"/>
              <w:bottom w:val="nil"/>
              <w:right w:val="nil"/>
            </w:tcBorders>
          </w:tcPr>
          <w:p w:rsidR="0021446D" w:rsidRPr="005F15DA" w:rsidRDefault="0021446D" w:rsidP="0021446D">
            <w:pPr>
              <w:widowControl w:val="0"/>
              <w:autoSpaceDE w:val="0"/>
              <w:autoSpaceDN w:val="0"/>
              <w:adjustRightInd w:val="0"/>
              <w:ind w:left="270" w:hanging="270"/>
              <w:rPr>
                <w:rFonts w:ascii="Helvetica" w:hAnsi="Helvetica" w:cs="Helvetica"/>
                <w:szCs w:val="22"/>
              </w:rPr>
            </w:pPr>
            <w:r w:rsidRPr="005F15DA">
              <w:rPr>
                <w:rFonts w:ascii="Helvetica" w:hAnsi="Helvetica" w:cs="Helvetica"/>
                <w:szCs w:val="22"/>
              </w:rPr>
              <w:t>b.</w:t>
            </w:r>
            <w:r w:rsidRPr="005F15DA">
              <w:rPr>
                <w:rFonts w:ascii="Helvetica" w:hAnsi="Helvetica" w:cs="Helvetica"/>
                <w:szCs w:val="22"/>
              </w:rPr>
              <w:tab/>
              <w:t>Die Kaufpreisrestanz von Fr. 560 000.-</w:t>
            </w:r>
            <w:r w:rsidRPr="005F15DA">
              <w:rPr>
                <w:rFonts w:ascii="Helvetica" w:hAnsi="Helvetica" w:cs="Helvetica"/>
                <w:szCs w:val="22"/>
              </w:rPr>
              <w:br/>
              <w:t>ist von der Käuferin per 1. März 2000</w:t>
            </w:r>
            <w:r w:rsidRPr="005F15DA">
              <w:rPr>
                <w:rFonts w:ascii="Helvetica" w:hAnsi="Helvetica" w:cs="Helvetica"/>
                <w:szCs w:val="22"/>
              </w:rPr>
              <w:br/>
              <w:t>(Bankvaluta Zahlungseingang) wie</w:t>
            </w:r>
            <w:r w:rsidRPr="005F15DA">
              <w:rPr>
                <w:rFonts w:ascii="Helvetica" w:hAnsi="Helvetica" w:cs="Helvetica"/>
                <w:szCs w:val="22"/>
              </w:rPr>
              <w:br/>
              <w:t xml:space="preserve">folgt zu bezahlen: </w:t>
            </w:r>
          </w:p>
        </w:tc>
        <w:tc>
          <w:tcPr>
            <w:tcW w:w="1520" w:type="dxa"/>
            <w:tcBorders>
              <w:top w:val="nil"/>
              <w:left w:val="nil"/>
              <w:bottom w:val="nil"/>
              <w:right w:val="nil"/>
            </w:tcBorders>
          </w:tcPr>
          <w:p w:rsidR="0021446D" w:rsidRPr="005F15DA" w:rsidRDefault="0021446D" w:rsidP="0021446D">
            <w:pPr>
              <w:widowControl w:val="0"/>
              <w:autoSpaceDE w:val="0"/>
              <w:autoSpaceDN w:val="0"/>
              <w:adjustRightInd w:val="0"/>
              <w:jc w:val="right"/>
              <w:rPr>
                <w:rFonts w:ascii="Helvetica" w:hAnsi="Helvetica" w:cs="Helvetica"/>
                <w:szCs w:val="22"/>
              </w:rPr>
            </w:pPr>
            <w:r w:rsidRPr="005F15DA">
              <w:rPr>
                <w:rFonts w:ascii="Helvetica" w:hAnsi="Helvetica" w:cs="Helvetica"/>
                <w:szCs w:val="22"/>
              </w:rPr>
              <w:t xml:space="preserve"> </w:t>
            </w:r>
            <w:r w:rsidRPr="005F15DA">
              <w:rPr>
                <w:rFonts w:ascii="Helvetica" w:hAnsi="Helvetica" w:cs="Helvetica"/>
                <w:szCs w:val="22"/>
              </w:rPr>
              <w:br/>
              <w:t xml:space="preserve"> </w:t>
            </w:r>
            <w:r w:rsidRPr="005F15DA">
              <w:rPr>
                <w:rFonts w:ascii="Helvetica" w:hAnsi="Helvetica" w:cs="Helvetica"/>
                <w:szCs w:val="22"/>
              </w:rPr>
              <w:br/>
              <w:t xml:space="preserve"> </w:t>
            </w:r>
            <w:r w:rsidRPr="005F15DA">
              <w:rPr>
                <w:rFonts w:ascii="Helvetica" w:hAnsi="Helvetica" w:cs="Helvetica"/>
                <w:szCs w:val="22"/>
              </w:rPr>
              <w:br/>
              <w:t xml:space="preserve"> </w:t>
            </w:r>
            <w:r w:rsidRPr="005F15DA">
              <w:rPr>
                <w:rFonts w:ascii="Helvetica" w:hAnsi="Helvetica" w:cs="Helvetica"/>
                <w:szCs w:val="22"/>
              </w:rPr>
              <w:br/>
              <w:t xml:space="preserve"> </w:t>
            </w:r>
          </w:p>
        </w:tc>
      </w:tr>
      <w:tr w:rsidR="0021446D" w:rsidRPr="005F15DA" w:rsidTr="0021446D">
        <w:trPr>
          <w:gridBefore w:val="1"/>
          <w:wBefore w:w="270" w:type="dxa"/>
        </w:trPr>
        <w:tc>
          <w:tcPr>
            <w:tcW w:w="5259" w:type="dxa"/>
            <w:tcBorders>
              <w:top w:val="nil"/>
              <w:left w:val="nil"/>
              <w:bottom w:val="nil"/>
              <w:right w:val="nil"/>
            </w:tcBorders>
          </w:tcPr>
          <w:p w:rsidR="0021446D" w:rsidRPr="005F15DA" w:rsidRDefault="0021446D" w:rsidP="0021446D">
            <w:pPr>
              <w:widowControl w:val="0"/>
              <w:autoSpaceDE w:val="0"/>
              <w:autoSpaceDN w:val="0"/>
              <w:adjustRightInd w:val="0"/>
              <w:ind w:left="360" w:hanging="360"/>
              <w:rPr>
                <w:rFonts w:ascii="Helvetica" w:hAnsi="Helvetica" w:cs="Helvetica"/>
                <w:szCs w:val="22"/>
              </w:rPr>
            </w:pPr>
            <w:proofErr w:type="spellStart"/>
            <w:r w:rsidRPr="005F15DA">
              <w:rPr>
                <w:rFonts w:ascii="Helvetica" w:hAnsi="Helvetica" w:cs="Helvetica"/>
                <w:szCs w:val="22"/>
              </w:rPr>
              <w:t>aa</w:t>
            </w:r>
            <w:proofErr w:type="spellEnd"/>
            <w:r w:rsidRPr="005F15DA">
              <w:rPr>
                <w:rFonts w:ascii="Helvetica" w:hAnsi="Helvetica" w:cs="Helvetica"/>
                <w:szCs w:val="22"/>
              </w:rPr>
              <w:t>.</w:t>
            </w:r>
            <w:r w:rsidRPr="005F15DA">
              <w:rPr>
                <w:rFonts w:ascii="Helvetica" w:hAnsi="Helvetica" w:cs="Helvetica"/>
                <w:szCs w:val="22"/>
              </w:rPr>
              <w:tab/>
              <w:t>Die Käuferin überweist einen Betrag von</w:t>
            </w:r>
            <w:r w:rsidRPr="005F15DA">
              <w:rPr>
                <w:rFonts w:ascii="Helvetica" w:hAnsi="Helvetica" w:cs="Helvetica"/>
                <w:szCs w:val="22"/>
              </w:rPr>
              <w:br/>
              <w:t>an die Verkäuferin, auf deren</w:t>
            </w:r>
            <w:r w:rsidRPr="005F15DA">
              <w:rPr>
                <w:rFonts w:ascii="Helvetica" w:hAnsi="Helvetica" w:cs="Helvetica"/>
                <w:szCs w:val="22"/>
              </w:rPr>
              <w:br/>
              <w:t>Hypothekarkreditkonto Nr. 1.804.830.07</w:t>
            </w:r>
            <w:r w:rsidRPr="005F15DA">
              <w:rPr>
                <w:rFonts w:ascii="Helvetica" w:hAnsi="Helvetica" w:cs="Helvetica"/>
                <w:szCs w:val="22"/>
              </w:rPr>
              <w:br/>
              <w:t>bei der Amtsersparniskasse Thun</w:t>
            </w:r>
            <w:proofErr w:type="gramStart"/>
            <w:r w:rsidRPr="005F15DA">
              <w:rPr>
                <w:rFonts w:ascii="Helvetica" w:hAnsi="Helvetica" w:cs="Helvetica"/>
                <w:szCs w:val="22"/>
              </w:rPr>
              <w:t>,</w:t>
            </w:r>
            <w:proofErr w:type="gramEnd"/>
            <w:r w:rsidRPr="005F15DA">
              <w:rPr>
                <w:rFonts w:ascii="Helvetica" w:hAnsi="Helvetica" w:cs="Helvetica"/>
                <w:szCs w:val="22"/>
              </w:rPr>
              <w:br/>
              <w:t>zur Tilgung der bestehenden Hypothek</w:t>
            </w:r>
            <w:r w:rsidRPr="005F15DA">
              <w:rPr>
                <w:rFonts w:ascii="Helvetica" w:hAnsi="Helvetica" w:cs="Helvetica"/>
                <w:szCs w:val="22"/>
              </w:rPr>
              <w:br/>
              <w:t>von Fr. 110 000.-, der noch offenen</w:t>
            </w:r>
            <w:r w:rsidRPr="005F15DA">
              <w:rPr>
                <w:rFonts w:ascii="Helvetica" w:hAnsi="Helvetica" w:cs="Helvetica"/>
                <w:szCs w:val="22"/>
              </w:rPr>
              <w:br/>
              <w:t>und marchzähligen Zinsen von Fr. 733.35</w:t>
            </w:r>
            <w:r w:rsidRPr="005F15DA">
              <w:rPr>
                <w:rFonts w:ascii="Helvetica" w:hAnsi="Helvetica" w:cs="Helvetica"/>
                <w:szCs w:val="22"/>
              </w:rPr>
              <w:br/>
              <w:t xml:space="preserve">sowie der Ablösungskosten von Fr. 30.-. </w:t>
            </w:r>
          </w:p>
        </w:tc>
        <w:tc>
          <w:tcPr>
            <w:tcW w:w="1559" w:type="dxa"/>
            <w:gridSpan w:val="2"/>
            <w:tcBorders>
              <w:top w:val="nil"/>
              <w:left w:val="nil"/>
              <w:bottom w:val="nil"/>
              <w:right w:val="nil"/>
            </w:tcBorders>
          </w:tcPr>
          <w:p w:rsidR="0021446D" w:rsidRPr="005F15DA" w:rsidRDefault="0021446D" w:rsidP="0021446D">
            <w:pPr>
              <w:widowControl w:val="0"/>
              <w:autoSpaceDE w:val="0"/>
              <w:autoSpaceDN w:val="0"/>
              <w:adjustRightInd w:val="0"/>
              <w:jc w:val="right"/>
              <w:rPr>
                <w:rFonts w:ascii="Helvetica" w:hAnsi="Helvetica" w:cs="Helvetica"/>
                <w:szCs w:val="22"/>
              </w:rPr>
            </w:pPr>
            <w:r w:rsidRPr="005F15DA">
              <w:rPr>
                <w:rFonts w:ascii="Helvetica" w:hAnsi="Helvetica" w:cs="Helvetica"/>
                <w:szCs w:val="22"/>
              </w:rPr>
              <w:t xml:space="preserve">Fr.  110 763.35 </w:t>
            </w:r>
          </w:p>
        </w:tc>
      </w:tr>
      <w:tr w:rsidR="0021446D" w:rsidRPr="005F15DA" w:rsidTr="0021446D">
        <w:trPr>
          <w:gridBefore w:val="1"/>
          <w:wBefore w:w="270" w:type="dxa"/>
        </w:trPr>
        <w:tc>
          <w:tcPr>
            <w:tcW w:w="5259" w:type="dxa"/>
            <w:tcBorders>
              <w:top w:val="nil"/>
              <w:left w:val="nil"/>
              <w:bottom w:val="nil"/>
              <w:right w:val="nil"/>
            </w:tcBorders>
          </w:tcPr>
          <w:p w:rsidR="0021446D" w:rsidRPr="005F15DA" w:rsidRDefault="0021446D" w:rsidP="0021446D">
            <w:pPr>
              <w:widowControl w:val="0"/>
              <w:autoSpaceDE w:val="0"/>
              <w:autoSpaceDN w:val="0"/>
              <w:adjustRightInd w:val="0"/>
              <w:ind w:left="360" w:hanging="360"/>
              <w:rPr>
                <w:rFonts w:ascii="Helvetica" w:hAnsi="Helvetica" w:cs="Helvetica"/>
                <w:szCs w:val="22"/>
              </w:rPr>
            </w:pPr>
            <w:proofErr w:type="spellStart"/>
            <w:r w:rsidRPr="005F15DA">
              <w:rPr>
                <w:rFonts w:ascii="Helvetica" w:hAnsi="Helvetica" w:cs="Helvetica"/>
                <w:szCs w:val="22"/>
              </w:rPr>
              <w:t>bb</w:t>
            </w:r>
            <w:proofErr w:type="spellEnd"/>
            <w:r w:rsidRPr="005F15DA">
              <w:rPr>
                <w:rFonts w:ascii="Helvetica" w:hAnsi="Helvetica" w:cs="Helvetica"/>
                <w:szCs w:val="22"/>
              </w:rPr>
              <w:t>.</w:t>
            </w:r>
            <w:r w:rsidRPr="005F15DA">
              <w:rPr>
                <w:rFonts w:ascii="Helvetica" w:hAnsi="Helvetica" w:cs="Helvetica"/>
                <w:szCs w:val="22"/>
              </w:rPr>
              <w:tab/>
              <w:t>Die Käuferin überweist einen Betrag</w:t>
            </w:r>
            <w:r w:rsidRPr="005F15DA">
              <w:rPr>
                <w:rFonts w:ascii="Helvetica" w:hAnsi="Helvetica" w:cs="Helvetica"/>
                <w:szCs w:val="22"/>
              </w:rPr>
              <w:br/>
              <w:t>von</w:t>
            </w:r>
            <w:r w:rsidRPr="005F15DA">
              <w:rPr>
                <w:rFonts w:ascii="Helvetica" w:hAnsi="Helvetica" w:cs="Helvetica"/>
                <w:szCs w:val="22"/>
              </w:rPr>
              <w:br/>
              <w:t>an den Notar, auf dessen Konto</w:t>
            </w:r>
            <w:r w:rsidRPr="005F15DA">
              <w:rPr>
                <w:rFonts w:ascii="Helvetica" w:hAnsi="Helvetica" w:cs="Helvetica"/>
                <w:szCs w:val="22"/>
              </w:rPr>
              <w:br/>
              <w:t>Klientengelder Nr. 388249-07 bei der</w:t>
            </w:r>
            <w:r w:rsidRPr="005F15DA">
              <w:rPr>
                <w:rFonts w:ascii="Helvetica" w:hAnsi="Helvetica" w:cs="Helvetica"/>
                <w:szCs w:val="22"/>
              </w:rPr>
              <w:br/>
              <w:t>Credit Suisse, in Thun, zur</w:t>
            </w:r>
            <w:r w:rsidRPr="005F15DA">
              <w:rPr>
                <w:rFonts w:ascii="Helvetica" w:hAnsi="Helvetica" w:cs="Helvetica"/>
                <w:szCs w:val="22"/>
              </w:rPr>
              <w:br/>
              <w:t>Sicherstellung der voraussichtlich</w:t>
            </w:r>
            <w:r w:rsidRPr="005F15DA">
              <w:rPr>
                <w:rFonts w:ascii="Helvetica" w:hAnsi="Helvetica" w:cs="Helvetica"/>
                <w:szCs w:val="22"/>
              </w:rPr>
              <w:br/>
              <w:t>anfallenden Grundstückgewinnsteuern</w:t>
            </w:r>
            <w:r w:rsidRPr="005F15DA">
              <w:rPr>
                <w:rFonts w:ascii="Helvetica" w:hAnsi="Helvetica" w:cs="Helvetica"/>
                <w:szCs w:val="22"/>
              </w:rPr>
              <w:br/>
              <w:t xml:space="preserve">(vgl. Ziffer III/8/c </w:t>
            </w:r>
            <w:proofErr w:type="spellStart"/>
            <w:r w:rsidRPr="005F15DA">
              <w:rPr>
                <w:rFonts w:ascii="Helvetica" w:hAnsi="Helvetica" w:cs="Helvetica"/>
                <w:szCs w:val="22"/>
              </w:rPr>
              <w:t>hienach</w:t>
            </w:r>
            <w:proofErr w:type="spellEnd"/>
            <w:r w:rsidRPr="005F15DA">
              <w:rPr>
                <w:rFonts w:ascii="Helvetica" w:hAnsi="Helvetica" w:cs="Helvetica"/>
                <w:szCs w:val="22"/>
              </w:rPr>
              <w:t xml:space="preserve">). </w:t>
            </w:r>
          </w:p>
        </w:tc>
        <w:tc>
          <w:tcPr>
            <w:tcW w:w="1559" w:type="dxa"/>
            <w:gridSpan w:val="2"/>
            <w:tcBorders>
              <w:top w:val="nil"/>
              <w:left w:val="nil"/>
              <w:right w:val="nil"/>
            </w:tcBorders>
          </w:tcPr>
          <w:p w:rsidR="0021446D" w:rsidRPr="005F15DA" w:rsidRDefault="0021446D" w:rsidP="0021446D">
            <w:pPr>
              <w:widowControl w:val="0"/>
              <w:autoSpaceDE w:val="0"/>
              <w:autoSpaceDN w:val="0"/>
              <w:adjustRightInd w:val="0"/>
              <w:jc w:val="right"/>
              <w:rPr>
                <w:rFonts w:ascii="Helvetica" w:hAnsi="Helvetica" w:cs="Helvetica"/>
                <w:szCs w:val="22"/>
              </w:rPr>
            </w:pPr>
            <w:r w:rsidRPr="005F15DA">
              <w:rPr>
                <w:rFonts w:ascii="Helvetica" w:hAnsi="Helvetica" w:cs="Helvetica"/>
                <w:szCs w:val="22"/>
              </w:rPr>
              <w:t xml:space="preserve"> </w:t>
            </w:r>
            <w:r w:rsidRPr="005F15DA">
              <w:rPr>
                <w:rFonts w:ascii="Helvetica" w:hAnsi="Helvetica" w:cs="Helvetica"/>
                <w:szCs w:val="22"/>
              </w:rPr>
              <w:br/>
              <w:t xml:space="preserve">Fr.    35 200.00 </w:t>
            </w:r>
          </w:p>
        </w:tc>
      </w:tr>
      <w:tr w:rsidR="0021446D" w:rsidRPr="005F15DA" w:rsidTr="0021446D">
        <w:trPr>
          <w:gridBefore w:val="1"/>
          <w:wBefore w:w="270" w:type="dxa"/>
        </w:trPr>
        <w:tc>
          <w:tcPr>
            <w:tcW w:w="5259" w:type="dxa"/>
            <w:tcBorders>
              <w:top w:val="nil"/>
              <w:left w:val="nil"/>
              <w:bottom w:val="nil"/>
              <w:right w:val="nil"/>
            </w:tcBorders>
          </w:tcPr>
          <w:p w:rsidR="0021446D" w:rsidRPr="005F15DA" w:rsidRDefault="0021446D" w:rsidP="0021446D">
            <w:pPr>
              <w:widowControl w:val="0"/>
              <w:autoSpaceDE w:val="0"/>
              <w:autoSpaceDN w:val="0"/>
              <w:adjustRightInd w:val="0"/>
              <w:ind w:left="357" w:hanging="357"/>
              <w:rPr>
                <w:rFonts w:ascii="Helvetica" w:hAnsi="Helvetica" w:cs="Helvetica"/>
                <w:szCs w:val="22"/>
              </w:rPr>
            </w:pPr>
            <w:r w:rsidRPr="005F15DA">
              <w:rPr>
                <w:rFonts w:ascii="Helvetica" w:hAnsi="Helvetica" w:cs="Helvetica"/>
                <w:szCs w:val="22"/>
              </w:rPr>
              <w:t>cc.</w:t>
            </w:r>
            <w:r w:rsidRPr="005F15DA">
              <w:rPr>
                <w:rFonts w:ascii="Helvetica" w:hAnsi="Helvetica" w:cs="Helvetica"/>
                <w:szCs w:val="22"/>
              </w:rPr>
              <w:tab/>
              <w:t>Die Käuferin überweist einen Betrag</w:t>
            </w:r>
            <w:r w:rsidRPr="005F15DA">
              <w:rPr>
                <w:rFonts w:ascii="Helvetica" w:hAnsi="Helvetica" w:cs="Helvetica"/>
                <w:szCs w:val="22"/>
              </w:rPr>
              <w:br/>
              <w:t xml:space="preserve">von </w:t>
            </w:r>
          </w:p>
        </w:tc>
        <w:tc>
          <w:tcPr>
            <w:tcW w:w="1559" w:type="dxa"/>
            <w:gridSpan w:val="2"/>
            <w:tcBorders>
              <w:top w:val="nil"/>
              <w:left w:val="nil"/>
              <w:bottom w:val="single" w:sz="4" w:space="0" w:color="auto"/>
              <w:right w:val="nil"/>
            </w:tcBorders>
          </w:tcPr>
          <w:p w:rsidR="0021446D" w:rsidRPr="005F15DA" w:rsidRDefault="0021446D" w:rsidP="0021446D">
            <w:pPr>
              <w:widowControl w:val="0"/>
              <w:autoSpaceDE w:val="0"/>
              <w:autoSpaceDN w:val="0"/>
              <w:adjustRightInd w:val="0"/>
              <w:jc w:val="right"/>
              <w:rPr>
                <w:rFonts w:ascii="Helvetica" w:hAnsi="Helvetica" w:cs="Helvetica"/>
                <w:szCs w:val="22"/>
              </w:rPr>
            </w:pPr>
            <w:r w:rsidRPr="005F15DA">
              <w:rPr>
                <w:rFonts w:ascii="Helvetica" w:hAnsi="Helvetica" w:cs="Helvetica"/>
                <w:szCs w:val="22"/>
              </w:rPr>
              <w:t xml:space="preserve"> </w:t>
            </w:r>
            <w:r w:rsidRPr="005F15DA">
              <w:rPr>
                <w:rFonts w:ascii="Helvetica" w:hAnsi="Helvetica" w:cs="Helvetica"/>
                <w:szCs w:val="22"/>
              </w:rPr>
              <w:br/>
              <w:t xml:space="preserve">Fr.  414 036.65 </w:t>
            </w:r>
          </w:p>
        </w:tc>
      </w:tr>
      <w:tr w:rsidR="0021446D" w:rsidRPr="005F15DA" w:rsidTr="0021446D">
        <w:trPr>
          <w:gridBefore w:val="1"/>
          <w:wBefore w:w="270" w:type="dxa"/>
        </w:trPr>
        <w:tc>
          <w:tcPr>
            <w:tcW w:w="5259" w:type="dxa"/>
            <w:tcBorders>
              <w:top w:val="nil"/>
              <w:left w:val="nil"/>
              <w:bottom w:val="nil"/>
              <w:right w:val="nil"/>
            </w:tcBorders>
          </w:tcPr>
          <w:p w:rsidR="0021446D" w:rsidRPr="005F15DA" w:rsidRDefault="0021446D" w:rsidP="0021446D">
            <w:pPr>
              <w:widowControl w:val="0"/>
              <w:autoSpaceDE w:val="0"/>
              <w:autoSpaceDN w:val="0"/>
              <w:adjustRightInd w:val="0"/>
              <w:spacing w:after="240"/>
              <w:ind w:left="357" w:hanging="357"/>
              <w:rPr>
                <w:rFonts w:ascii="Helvetica" w:hAnsi="Helvetica" w:cs="Helvetica"/>
                <w:szCs w:val="22"/>
              </w:rPr>
            </w:pPr>
            <w:r w:rsidRPr="005F15DA">
              <w:rPr>
                <w:rFonts w:ascii="Helvetica" w:hAnsi="Helvetica" w:cs="Helvetica"/>
                <w:szCs w:val="22"/>
              </w:rPr>
              <w:tab/>
              <w:t>an die Verkäuferin, auf deren Konto</w:t>
            </w:r>
            <w:r w:rsidRPr="005F15DA">
              <w:rPr>
                <w:rFonts w:ascii="Helvetica" w:hAnsi="Helvetica" w:cs="Helvetica"/>
                <w:szCs w:val="22"/>
              </w:rPr>
              <w:br/>
              <w:t>Nr. 667019-04 bei der Credit Suisse,</w:t>
            </w:r>
            <w:r w:rsidRPr="005F15DA">
              <w:rPr>
                <w:rFonts w:ascii="Helvetica" w:hAnsi="Helvetica" w:cs="Helvetica"/>
                <w:szCs w:val="22"/>
              </w:rPr>
              <w:br/>
              <w:t xml:space="preserve">in Thun. </w:t>
            </w:r>
          </w:p>
        </w:tc>
        <w:tc>
          <w:tcPr>
            <w:tcW w:w="1559" w:type="dxa"/>
            <w:gridSpan w:val="2"/>
            <w:tcBorders>
              <w:top w:val="single" w:sz="4" w:space="0" w:color="auto"/>
              <w:left w:val="nil"/>
              <w:bottom w:val="nil"/>
              <w:right w:val="nil"/>
            </w:tcBorders>
          </w:tcPr>
          <w:p w:rsidR="0021446D" w:rsidRPr="005F15DA" w:rsidRDefault="0021446D" w:rsidP="0021446D">
            <w:pPr>
              <w:widowControl w:val="0"/>
              <w:autoSpaceDE w:val="0"/>
              <w:autoSpaceDN w:val="0"/>
              <w:adjustRightInd w:val="0"/>
              <w:jc w:val="right"/>
              <w:rPr>
                <w:rFonts w:ascii="Helvetica" w:hAnsi="Helvetica" w:cs="Helvetica"/>
                <w:szCs w:val="22"/>
              </w:rPr>
            </w:pPr>
            <w:r w:rsidRPr="005F15DA">
              <w:rPr>
                <w:rFonts w:ascii="Helvetica" w:hAnsi="Helvetica" w:cs="Helvetica"/>
                <w:szCs w:val="22"/>
              </w:rPr>
              <w:t xml:space="preserve"> </w:t>
            </w:r>
            <w:r w:rsidRPr="005F15DA">
              <w:rPr>
                <w:rFonts w:ascii="Helvetica" w:hAnsi="Helvetica" w:cs="Helvetica"/>
                <w:szCs w:val="22"/>
              </w:rPr>
              <w:br/>
              <w:t xml:space="preserve"> </w:t>
            </w:r>
            <w:r w:rsidRPr="005F15DA">
              <w:rPr>
                <w:rFonts w:ascii="Helvetica" w:hAnsi="Helvetica" w:cs="Helvetica"/>
                <w:szCs w:val="22"/>
              </w:rPr>
              <w:br/>
              <w:t xml:space="preserve">Fr.  600 000.00 </w:t>
            </w:r>
          </w:p>
        </w:tc>
      </w:tr>
    </w:tbl>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Der 1. März 2000 als Termin für die Leistung der Kaufpreisrestanz ist ein Verfalltag. Die Kä</w:t>
      </w:r>
      <w:r w:rsidRPr="005F15DA">
        <w:rPr>
          <w:rFonts w:ascii="Helvetica" w:hAnsi="Helvetica" w:cs="Helvetica"/>
          <w:szCs w:val="22"/>
        </w:rPr>
        <w:t>u</w:t>
      </w:r>
      <w:r w:rsidRPr="005F15DA">
        <w:rPr>
          <w:rFonts w:ascii="Helvetica" w:hAnsi="Helvetica" w:cs="Helvetica"/>
          <w:szCs w:val="22"/>
        </w:rPr>
        <w:t>ferin hat ihre auf diesen Termin geschuldeten Zahlungen ohne weitere Aufforderung und ohne Rückbehalte, unter Ausschluss der Verrechnungseinrede, gemäss den vorstehenden D</w:t>
      </w:r>
      <w:r w:rsidRPr="005F15DA">
        <w:rPr>
          <w:rFonts w:ascii="Helvetica" w:hAnsi="Helvetica" w:cs="Helvetica"/>
          <w:szCs w:val="22"/>
        </w:rPr>
        <w:t>e</w:t>
      </w:r>
      <w:r w:rsidRPr="005F15DA">
        <w:rPr>
          <w:rFonts w:ascii="Helvetica" w:hAnsi="Helvetica" w:cs="Helvetica"/>
          <w:szCs w:val="22"/>
        </w:rPr>
        <w:t xml:space="preserve">tailanweisungen, zu überweisen. </w:t>
      </w: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rPr>
          <w:rFonts w:ascii="Helvetica" w:hAnsi="Helvetica" w:cs="Helvetica"/>
          <w:b/>
          <w:bCs/>
          <w:szCs w:val="22"/>
        </w:rPr>
      </w:pPr>
      <w:r w:rsidRPr="005F15DA">
        <w:rPr>
          <w:rFonts w:ascii="Helvetica" w:hAnsi="Helvetica" w:cs="Helvetica"/>
          <w:b/>
          <w:bCs/>
          <w:szCs w:val="22"/>
        </w:rPr>
        <w:t>3. Hypothekarschuld / Schuldbriefe</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Die Hypothek der Verkäuferin bei der Amtsersparniskasse Thun wird von der Käuferin nicht übernommen. Die Verkäuferin hat daher die Hypothek bereits gekündigt; die Hypotheka</w:t>
      </w:r>
      <w:r w:rsidRPr="005F15DA">
        <w:rPr>
          <w:rFonts w:ascii="Helvetica" w:hAnsi="Helvetica" w:cs="Helvetica"/>
          <w:szCs w:val="22"/>
        </w:rPr>
        <w:t>r</w:t>
      </w:r>
      <w:r w:rsidRPr="005F15DA">
        <w:rPr>
          <w:rFonts w:ascii="Helvetica" w:hAnsi="Helvetica" w:cs="Helvetica"/>
          <w:szCs w:val="22"/>
        </w:rPr>
        <w:lastRenderedPageBreak/>
        <w:t>schuld zuzüglich Zinsen und Ablösungskosten wird durch die Zahlung der Käuferin gemäss Ziffer II/2/b/</w:t>
      </w:r>
      <w:proofErr w:type="spellStart"/>
      <w:r w:rsidRPr="005F15DA">
        <w:rPr>
          <w:rFonts w:ascii="Helvetica" w:hAnsi="Helvetica" w:cs="Helvetica"/>
          <w:szCs w:val="22"/>
        </w:rPr>
        <w:t>aa</w:t>
      </w:r>
      <w:proofErr w:type="spellEnd"/>
      <w:r w:rsidRPr="005F15DA">
        <w:rPr>
          <w:rFonts w:ascii="Helvetica" w:hAnsi="Helvetica" w:cs="Helvetica"/>
          <w:szCs w:val="22"/>
        </w:rPr>
        <w:t xml:space="preserve"> </w:t>
      </w:r>
      <w:proofErr w:type="spellStart"/>
      <w:r w:rsidRPr="005F15DA">
        <w:rPr>
          <w:rFonts w:ascii="Helvetica" w:hAnsi="Helvetica" w:cs="Helvetica"/>
          <w:szCs w:val="22"/>
        </w:rPr>
        <w:t>hievor</w:t>
      </w:r>
      <w:proofErr w:type="spellEnd"/>
      <w:r w:rsidRPr="005F15DA">
        <w:rPr>
          <w:rFonts w:ascii="Helvetica" w:hAnsi="Helvetica" w:cs="Helvetica"/>
          <w:szCs w:val="22"/>
        </w:rPr>
        <w:t xml:space="preserve"> getilgt. Die Verkäuferin verpflichtet sich, den im  1. Rang auf dem Ve</w:t>
      </w:r>
      <w:r w:rsidRPr="005F15DA">
        <w:rPr>
          <w:rFonts w:ascii="Helvetica" w:hAnsi="Helvetica" w:cs="Helvetica"/>
          <w:szCs w:val="22"/>
        </w:rPr>
        <w:t>r</w:t>
      </w:r>
      <w:r w:rsidRPr="005F15DA">
        <w:rPr>
          <w:rFonts w:ascii="Helvetica" w:hAnsi="Helvetica" w:cs="Helvetica"/>
          <w:szCs w:val="22"/>
        </w:rPr>
        <w:t>tragsobjekt lasten</w:t>
      </w:r>
      <w:r w:rsidR="00AC041C" w:rsidRPr="005F15DA">
        <w:rPr>
          <w:rFonts w:ascii="Helvetica" w:hAnsi="Helvetica" w:cs="Helvetica"/>
          <w:szCs w:val="22"/>
        </w:rPr>
        <w:t xml:space="preserve">den Schuldbrief von Fr. </w:t>
      </w:r>
      <w:r w:rsidRPr="005F15DA">
        <w:rPr>
          <w:rFonts w:ascii="Helvetica" w:hAnsi="Helvetica" w:cs="Helvetica"/>
          <w:szCs w:val="22"/>
        </w:rPr>
        <w:t>200 000.- unbelastet auf die Käuferin oder einen von dieser bezeichneten Dritten zu übertragen, sobald der gesamte Kaufpreis bezahlt worden ist.</w:t>
      </w: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Der Notar wird ermächtigt, den Schuldbrief auf die Käuferin oder einen von dieser bezeichn</w:t>
      </w:r>
      <w:r w:rsidRPr="005F15DA">
        <w:rPr>
          <w:rFonts w:ascii="Helvetica" w:hAnsi="Helvetica" w:cs="Helvetica"/>
          <w:szCs w:val="22"/>
        </w:rPr>
        <w:t>e</w:t>
      </w:r>
      <w:r w:rsidRPr="005F15DA">
        <w:rPr>
          <w:rFonts w:ascii="Helvetica" w:hAnsi="Helvetica" w:cs="Helvetica"/>
          <w:szCs w:val="22"/>
        </w:rPr>
        <w:t>ten Dritten zu übertragen.</w:t>
      </w: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t>4. Finanzierungsnachweis</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Die Käuferin legt der Verkäuferin ein Schreiben der Berner Kantonalbank, in Bern, vor, worin diese der Käuferin die Finanzierung des gesamten Kaufpreises von Fr. 600 000.- bestätigt.</w:t>
      </w: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t>5. Verzugsfolgen</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Sollte die Käuferin die Kaufpreisrestanz nicht rechtzeitig vergüten, so hat sie Verzugszinsen von 6% p.a. zu leisten. Alle weiteren Verzugsfolgen (Art. 214, 102 bis 109 OR) bleiben vorb</w:t>
      </w:r>
      <w:r w:rsidRPr="005F15DA">
        <w:rPr>
          <w:rFonts w:ascii="Helvetica" w:hAnsi="Helvetica" w:cs="Helvetica"/>
          <w:szCs w:val="22"/>
        </w:rPr>
        <w:t>e</w:t>
      </w:r>
      <w:r w:rsidRPr="005F15DA">
        <w:rPr>
          <w:rFonts w:ascii="Helvetica" w:hAnsi="Helvetica" w:cs="Helvetica"/>
          <w:szCs w:val="22"/>
        </w:rPr>
        <w:t>halten.</w:t>
      </w: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t>6. Sicherstellung der Kaufpreisrestanz</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Zur Sicherstellung der Kaufpreisrestanz verlangt die Verkäuferin die Eintragung des gesetzl</w:t>
      </w:r>
      <w:r w:rsidRPr="005F15DA">
        <w:rPr>
          <w:rFonts w:ascii="Helvetica" w:hAnsi="Helvetica" w:cs="Helvetica"/>
          <w:szCs w:val="22"/>
        </w:rPr>
        <w:t>i</w:t>
      </w:r>
      <w:r w:rsidRPr="005F15DA">
        <w:rPr>
          <w:rFonts w:ascii="Helvetica" w:hAnsi="Helvetica" w:cs="Helvetica"/>
          <w:szCs w:val="22"/>
        </w:rPr>
        <w:t xml:space="preserve">chen Verkäuferpfandrechtes. Es ist </w:t>
      </w:r>
      <w:proofErr w:type="spellStart"/>
      <w:r w:rsidRPr="005F15DA">
        <w:rPr>
          <w:rFonts w:ascii="Helvetica" w:hAnsi="Helvetica" w:cs="Helvetica"/>
          <w:szCs w:val="22"/>
        </w:rPr>
        <w:t>hiefür</w:t>
      </w:r>
      <w:proofErr w:type="spellEnd"/>
      <w:r w:rsidRPr="005F15DA">
        <w:rPr>
          <w:rFonts w:ascii="Helvetica" w:hAnsi="Helvetica" w:cs="Helvetica"/>
          <w:szCs w:val="22"/>
        </w:rPr>
        <w:t xml:space="preserve"> im Grundbuch eine Grundpfandverschreibung von</w:t>
      </w:r>
      <w:r w:rsidRPr="005F15DA">
        <w:rPr>
          <w:rFonts w:ascii="Helvetica" w:hAnsi="Helvetica" w:cs="Helvetica"/>
          <w:szCs w:val="22"/>
        </w:rPr>
        <w:br/>
        <w:t>Fr. 560 000.- mit einem Höchstzinsfuss von 6% zu Gunsten der Verkäuferin im 2. Rang auf dem Vertragsobjekt einzutragen.</w:t>
      </w: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Der Notar wird bevollmächtigt, für diese Grundpfandverschreibung den Nachgang zu erklären gegenüber neu zu errichtenden Grundpfandrechten, die der Finanzierung des Kaufpreises dienen. Nach Bezahlung des Kaufpreises ist der Notar ermächtigt, das Verkäuferpfandrecht im Grundbuch löschen zu lassen.</w:t>
      </w: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rPr>
          <w:rFonts w:ascii="Helvetica" w:hAnsi="Helvetica" w:cs="Helvetica"/>
          <w:b/>
          <w:bCs/>
          <w:szCs w:val="22"/>
        </w:rPr>
      </w:pPr>
      <w:r w:rsidRPr="005F15DA">
        <w:rPr>
          <w:rFonts w:ascii="Helvetica" w:hAnsi="Helvetica" w:cs="Helvetica"/>
          <w:b/>
          <w:bCs/>
          <w:szCs w:val="22"/>
        </w:rPr>
        <w:t>III. Weitere Vertragsbestimmungen</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t>1. Nutzen und Gefahr</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Nutzen und Gefahr beginnen der Käuferin am 1. März 2000.</w:t>
      </w: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rPr>
          <w:rFonts w:ascii="Helvetica" w:hAnsi="Helvetica" w:cs="Helvetica"/>
          <w:b/>
          <w:bCs/>
          <w:szCs w:val="22"/>
        </w:rPr>
      </w:pPr>
      <w:r w:rsidRPr="005F15DA">
        <w:rPr>
          <w:rFonts w:ascii="Helvetica" w:hAnsi="Helvetica" w:cs="Helvetica"/>
          <w:b/>
          <w:bCs/>
          <w:szCs w:val="22"/>
        </w:rPr>
        <w:t>2. Gewährleistung</w:t>
      </w:r>
      <w:r w:rsidRPr="005F15DA">
        <w:rPr>
          <w:rFonts w:ascii="Helvetica" w:hAnsi="Helvetica" w:cs="Helvetica"/>
          <w:b/>
          <w:bCs/>
          <w:szCs w:val="22"/>
          <w:vertAlign w:val="superscript"/>
        </w:rPr>
        <w:t>,</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t>a. Grundlagen</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Die Käuferin hat das Vertragsobjekt besichtigt. Es ist ihr bekannt, dass das Wohnhaus Nr. 7 im Jahre 1974 erstellt wurde, dass die Küche, das Bad sowie die Heizung im Jahre 1995 e</w:t>
      </w:r>
      <w:r w:rsidRPr="005F15DA">
        <w:rPr>
          <w:rFonts w:ascii="Helvetica" w:hAnsi="Helvetica" w:cs="Helvetica"/>
          <w:szCs w:val="22"/>
        </w:rPr>
        <w:t>r</w:t>
      </w:r>
      <w:r w:rsidRPr="005F15DA">
        <w:rPr>
          <w:rFonts w:ascii="Helvetica" w:hAnsi="Helvetica" w:cs="Helvetica"/>
          <w:szCs w:val="22"/>
        </w:rPr>
        <w:t>neuert wurden und dass der Warmwasserboiler in allernächster Zeit das Ende seiner norm</w:t>
      </w:r>
      <w:r w:rsidRPr="005F15DA">
        <w:rPr>
          <w:rFonts w:ascii="Helvetica" w:hAnsi="Helvetica" w:cs="Helvetica"/>
          <w:szCs w:val="22"/>
        </w:rPr>
        <w:t>a</w:t>
      </w:r>
      <w:r w:rsidRPr="005F15DA">
        <w:rPr>
          <w:rFonts w:ascii="Helvetica" w:hAnsi="Helvetica" w:cs="Helvetica"/>
          <w:szCs w:val="22"/>
        </w:rPr>
        <w:t>len Lebensdauer erreichen wird.</w:t>
      </w: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lastRenderedPageBreak/>
        <w:t>Die Parteien haben bei der Festsetzung des Kaufpreises auch dem baulichen Zustand und dem Unterhaltszustand des Gebäudes sowie dem wirtschaftlichen Alter der haustechnischen Anlagen und Apparate Rechnung getragen.</w:t>
      </w: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Die Verkäuferin versichert der Käuferin, dass ihr keine verdeckten Mängel bekannt sind.</w:t>
      </w: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t>b. Zugesicherte Eigenschaften (</w:t>
      </w:r>
      <w:proofErr w:type="spellStart"/>
      <w:r w:rsidRPr="005F15DA">
        <w:rPr>
          <w:rFonts w:ascii="Helvetica" w:hAnsi="Helvetica" w:cs="Helvetica"/>
          <w:b/>
          <w:bCs/>
          <w:szCs w:val="22"/>
        </w:rPr>
        <w:t>Art.197</w:t>
      </w:r>
      <w:proofErr w:type="spellEnd"/>
      <w:r w:rsidRPr="005F15DA">
        <w:rPr>
          <w:rFonts w:ascii="Helvetica" w:hAnsi="Helvetica" w:cs="Helvetica"/>
          <w:b/>
          <w:bCs/>
          <w:szCs w:val="22"/>
        </w:rPr>
        <w:t xml:space="preserve"> </w:t>
      </w:r>
      <w:proofErr w:type="spellStart"/>
      <w:r w:rsidRPr="005F15DA">
        <w:rPr>
          <w:rFonts w:ascii="Helvetica" w:hAnsi="Helvetica" w:cs="Helvetica"/>
          <w:b/>
          <w:bCs/>
          <w:szCs w:val="22"/>
        </w:rPr>
        <w:t>Abs.1</w:t>
      </w:r>
      <w:proofErr w:type="spellEnd"/>
      <w:r w:rsidRPr="005F15DA">
        <w:rPr>
          <w:rFonts w:ascii="Helvetica" w:hAnsi="Helvetica" w:cs="Helvetica"/>
          <w:b/>
          <w:bCs/>
          <w:szCs w:val="22"/>
        </w:rPr>
        <w:t xml:space="preserve"> OR)</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Die Verkäuferin sichert der Käuferin zu, das Vertragsobjekt in vollständig geräumtem und in einwandfrei gereinigtem Zustand sowie die haustechnischen Anlagen und Apparate in funkt</w:t>
      </w:r>
      <w:r w:rsidRPr="005F15DA">
        <w:rPr>
          <w:rFonts w:ascii="Helvetica" w:hAnsi="Helvetica" w:cs="Helvetica"/>
          <w:szCs w:val="22"/>
        </w:rPr>
        <w:t>i</w:t>
      </w:r>
      <w:r w:rsidRPr="005F15DA">
        <w:rPr>
          <w:rFonts w:ascii="Helvetica" w:hAnsi="Helvetica" w:cs="Helvetica"/>
          <w:szCs w:val="22"/>
        </w:rPr>
        <w:t>onstüchtigem Zustand zu übergeben. Das defekte Fenster im Gästezimmer wird die Verkä</w:t>
      </w:r>
      <w:r w:rsidRPr="005F15DA">
        <w:rPr>
          <w:rFonts w:ascii="Helvetica" w:hAnsi="Helvetica" w:cs="Helvetica"/>
          <w:szCs w:val="22"/>
        </w:rPr>
        <w:t>u</w:t>
      </w:r>
      <w:r w:rsidRPr="005F15DA">
        <w:rPr>
          <w:rFonts w:ascii="Helvetica" w:hAnsi="Helvetica" w:cs="Helvetica"/>
          <w:szCs w:val="22"/>
        </w:rPr>
        <w:t>ferin noch auf eigene Kosten ersetzen. Andere bauliche Massnahmen wird die Verkäuferin keine mehr ausführen.</w:t>
      </w: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t>c. Aufhebung bzw. Beschränkung der Gewährleistung (Freizeichnung)</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Die Parteien schliessen - nachdem der Notar sie auf die Rechtswirkungen dieser Freizeic</w:t>
      </w:r>
      <w:r w:rsidRPr="005F15DA">
        <w:rPr>
          <w:rFonts w:ascii="Helvetica" w:hAnsi="Helvetica" w:cs="Helvetica"/>
          <w:szCs w:val="22"/>
        </w:rPr>
        <w:t>h</w:t>
      </w:r>
      <w:r w:rsidRPr="005F15DA">
        <w:rPr>
          <w:rFonts w:ascii="Helvetica" w:hAnsi="Helvetica" w:cs="Helvetica"/>
          <w:szCs w:val="22"/>
        </w:rPr>
        <w:t>nung hingewiesen hat - jegliche Rechts- und Sachgewährleistungspflicht der Verkäuferin aus (Art. 192 ff., Art. 197 ff. und Art. 219 OR). Bezüglich Sachmängel bedeutet dies, dass die Ve</w:t>
      </w:r>
      <w:r w:rsidRPr="005F15DA">
        <w:rPr>
          <w:rFonts w:ascii="Helvetica" w:hAnsi="Helvetica" w:cs="Helvetica"/>
          <w:szCs w:val="22"/>
        </w:rPr>
        <w:t>r</w:t>
      </w:r>
      <w:r w:rsidRPr="005F15DA">
        <w:rPr>
          <w:rFonts w:ascii="Helvetica" w:hAnsi="Helvetica" w:cs="Helvetica"/>
          <w:szCs w:val="22"/>
        </w:rPr>
        <w:t xml:space="preserve">käuferin weder für offene, noch für verdeckte Mängel haftet, auch wenn diese erheblich oder unerwartet sind. Die Parteien schliessen zudem alle weiteren Haftungsansprüche und Rechtsbehelfe der Käuferin für Rechtsmängel und Sachmängel aus. </w:t>
      </w: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Diese Freizeichnung unterliegt den gesetzlichen Schranken. Bei der Rechtsgewährleistung bleibt insbesondere das arglistige Verschweigen eines Rechtsmangels vorbehalten. Bei der Sachgewährleistung bleibt die Haftung der Verkäuferin wie folgt vorbehalten:</w:t>
      </w:r>
    </w:p>
    <w:p w:rsidR="0021446D" w:rsidRPr="005F15DA" w:rsidRDefault="0021446D" w:rsidP="0021446D">
      <w:pPr>
        <w:widowControl w:val="0"/>
        <w:autoSpaceDE w:val="0"/>
        <w:autoSpaceDN w:val="0"/>
        <w:adjustRightInd w:val="0"/>
        <w:spacing w:line="360" w:lineRule="auto"/>
        <w:ind w:left="270" w:hanging="270"/>
        <w:rPr>
          <w:rFonts w:ascii="Helvetica" w:hAnsi="Helvetica" w:cs="Helvetica"/>
          <w:szCs w:val="22"/>
        </w:rPr>
      </w:pPr>
      <w:r w:rsidRPr="005F15DA">
        <w:rPr>
          <w:rFonts w:ascii="Helvetica" w:hAnsi="Helvetica" w:cs="Helvetica"/>
          <w:szCs w:val="22"/>
        </w:rPr>
        <w:t>--</w:t>
      </w:r>
      <w:r w:rsidRPr="005F15DA">
        <w:rPr>
          <w:rFonts w:ascii="Helvetica" w:hAnsi="Helvetica" w:cs="Helvetica"/>
          <w:szCs w:val="22"/>
        </w:rPr>
        <w:tab/>
        <w:t>für die der Käuferin in diesem Vertrag oder vor Vertragsabschluss schriftlich zugesicherten Eigenschaften des Vertragsobjektes (Angaben in der Verkaufsdokumentation und in den darin enthaltenen Plänen stellen keine Zusicherungen dar);</w:t>
      </w:r>
    </w:p>
    <w:p w:rsidR="0021446D" w:rsidRPr="005F15DA" w:rsidRDefault="0021446D" w:rsidP="0021446D">
      <w:pPr>
        <w:widowControl w:val="0"/>
        <w:autoSpaceDE w:val="0"/>
        <w:autoSpaceDN w:val="0"/>
        <w:adjustRightInd w:val="0"/>
        <w:spacing w:line="360" w:lineRule="auto"/>
        <w:ind w:left="270" w:hanging="270"/>
        <w:rPr>
          <w:rFonts w:ascii="Helvetica" w:hAnsi="Helvetica" w:cs="Helvetica"/>
          <w:szCs w:val="22"/>
        </w:rPr>
      </w:pPr>
      <w:r w:rsidRPr="005F15DA">
        <w:rPr>
          <w:rFonts w:ascii="Helvetica" w:hAnsi="Helvetica" w:cs="Helvetica"/>
          <w:szCs w:val="22"/>
        </w:rPr>
        <w:t>--</w:t>
      </w:r>
      <w:r w:rsidRPr="005F15DA">
        <w:rPr>
          <w:rFonts w:ascii="Helvetica" w:hAnsi="Helvetica" w:cs="Helvetica"/>
          <w:szCs w:val="22"/>
        </w:rPr>
        <w:tab/>
        <w:t>für Mängel, die die Verkäuferin der Käuferin arglistig verschweigt;</w:t>
      </w:r>
    </w:p>
    <w:p w:rsidR="0021446D" w:rsidRPr="005F15DA" w:rsidRDefault="0021446D" w:rsidP="0021446D">
      <w:pPr>
        <w:widowControl w:val="0"/>
        <w:autoSpaceDE w:val="0"/>
        <w:autoSpaceDN w:val="0"/>
        <w:adjustRightInd w:val="0"/>
        <w:spacing w:line="360" w:lineRule="auto"/>
        <w:ind w:left="270" w:hanging="270"/>
        <w:rPr>
          <w:rFonts w:ascii="Helvetica" w:hAnsi="Helvetica" w:cs="Helvetica"/>
          <w:szCs w:val="22"/>
        </w:rPr>
      </w:pPr>
      <w:r w:rsidRPr="005F15DA">
        <w:rPr>
          <w:rFonts w:ascii="Helvetica" w:hAnsi="Helvetica" w:cs="Helvetica"/>
          <w:szCs w:val="22"/>
        </w:rPr>
        <w:t>--</w:t>
      </w:r>
      <w:r w:rsidRPr="005F15DA">
        <w:rPr>
          <w:rFonts w:ascii="Helvetica" w:hAnsi="Helvetica" w:cs="Helvetica"/>
          <w:szCs w:val="22"/>
        </w:rPr>
        <w:tab/>
        <w:t>für Mängel, die gänzlich ausserhalb dessen liegen, womit die Käuferin vernünftigerweise zu rechnen hat, sofern diese Mängel den wirtschaftlichen Zweck des Kaufgeschäfts völlig ve</w:t>
      </w:r>
      <w:r w:rsidRPr="005F15DA">
        <w:rPr>
          <w:rFonts w:ascii="Helvetica" w:hAnsi="Helvetica" w:cs="Helvetica"/>
          <w:szCs w:val="22"/>
        </w:rPr>
        <w:t>r</w:t>
      </w:r>
      <w:r w:rsidRPr="005F15DA">
        <w:rPr>
          <w:rFonts w:ascii="Helvetica" w:hAnsi="Helvetica" w:cs="Helvetica"/>
          <w:szCs w:val="22"/>
        </w:rPr>
        <w:t>eiteln oder ein völliges Missverhältnis zum Kaufpreis entstehen lassen;</w:t>
      </w:r>
    </w:p>
    <w:p w:rsidR="0021446D" w:rsidRPr="005F15DA" w:rsidRDefault="0021446D" w:rsidP="0021446D">
      <w:pPr>
        <w:widowControl w:val="0"/>
        <w:autoSpaceDE w:val="0"/>
        <w:autoSpaceDN w:val="0"/>
        <w:adjustRightInd w:val="0"/>
        <w:spacing w:line="360" w:lineRule="auto"/>
        <w:ind w:left="270" w:hanging="270"/>
        <w:rPr>
          <w:rFonts w:ascii="Helvetica" w:hAnsi="Helvetica" w:cs="Helvetica"/>
          <w:szCs w:val="22"/>
        </w:rPr>
      </w:pPr>
      <w:r w:rsidRPr="005F15DA">
        <w:rPr>
          <w:rFonts w:ascii="Helvetica" w:hAnsi="Helvetica" w:cs="Helvetica"/>
          <w:szCs w:val="22"/>
        </w:rPr>
        <w:t>--</w:t>
      </w:r>
      <w:r w:rsidRPr="005F15DA">
        <w:rPr>
          <w:rFonts w:ascii="Helvetica" w:hAnsi="Helvetica" w:cs="Helvetica"/>
          <w:szCs w:val="22"/>
        </w:rPr>
        <w:tab/>
        <w:t>für erhebliche Verschlechterungen oder Zerstörung des Vertragsobjektes zwischen Ve</w:t>
      </w:r>
      <w:r w:rsidRPr="005F15DA">
        <w:rPr>
          <w:rFonts w:ascii="Helvetica" w:hAnsi="Helvetica" w:cs="Helvetica"/>
          <w:szCs w:val="22"/>
        </w:rPr>
        <w:t>r</w:t>
      </w:r>
      <w:r w:rsidRPr="005F15DA">
        <w:rPr>
          <w:rFonts w:ascii="Helvetica" w:hAnsi="Helvetica" w:cs="Helvetica"/>
          <w:szCs w:val="22"/>
        </w:rPr>
        <w:t>tragsabschluss und Gefahrübergang durch Eintritt eines zufälligen Ereignisses oder durch Einwirkung eines Dritten (für die normale Abnützung des Vertragsobjektes haftet dagegen die Verkäuferin nicht);</w:t>
      </w:r>
    </w:p>
    <w:p w:rsidR="0021446D" w:rsidRPr="005F15DA" w:rsidRDefault="0021446D" w:rsidP="0021446D">
      <w:pPr>
        <w:widowControl w:val="0"/>
        <w:autoSpaceDE w:val="0"/>
        <w:autoSpaceDN w:val="0"/>
        <w:adjustRightInd w:val="0"/>
        <w:spacing w:line="360" w:lineRule="auto"/>
        <w:ind w:left="270" w:hanging="270"/>
        <w:rPr>
          <w:rFonts w:ascii="Helvetica" w:hAnsi="Helvetica" w:cs="Helvetica"/>
          <w:szCs w:val="22"/>
        </w:rPr>
      </w:pPr>
      <w:r w:rsidRPr="005F15DA">
        <w:rPr>
          <w:rFonts w:ascii="Helvetica" w:hAnsi="Helvetica" w:cs="Helvetica"/>
          <w:szCs w:val="22"/>
        </w:rPr>
        <w:t>--</w:t>
      </w:r>
      <w:r w:rsidRPr="005F15DA">
        <w:rPr>
          <w:rFonts w:ascii="Helvetica" w:hAnsi="Helvetica" w:cs="Helvetica"/>
          <w:szCs w:val="22"/>
        </w:rPr>
        <w:tab/>
        <w:t>für Mängel, die die Verkäuferin nach Vertragsabschluss absichtlich oder grob fahrlässig verursacht.</w:t>
      </w:r>
    </w:p>
    <w:p w:rsidR="0021446D" w:rsidRPr="005F15DA" w:rsidRDefault="0021446D" w:rsidP="0021446D">
      <w:pPr>
        <w:widowControl w:val="0"/>
        <w:autoSpaceDE w:val="0"/>
        <w:autoSpaceDN w:val="0"/>
        <w:adjustRightInd w:val="0"/>
        <w:rPr>
          <w:rFonts w:ascii="Helvetica" w:hAnsi="Helvetica" w:cs="Helvetica"/>
          <w:sz w:val="2"/>
          <w:szCs w:val="2"/>
        </w:rPr>
      </w:pPr>
      <w:r w:rsidRPr="005F15DA">
        <w:rPr>
          <w:rFonts w:ascii="Helvetica" w:hAnsi="Helvetica" w:cs="Helvetica"/>
          <w:sz w:val="2"/>
          <w:szCs w:val="2"/>
        </w:rPr>
        <w:br/>
      </w: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In diesen Fällen hat eine allfällige Mängelrüge der Käuferin innert drei Monaten nach Übe</w:t>
      </w:r>
      <w:r w:rsidRPr="005F15DA">
        <w:rPr>
          <w:rFonts w:ascii="Helvetica" w:hAnsi="Helvetica" w:cs="Helvetica"/>
          <w:szCs w:val="22"/>
        </w:rPr>
        <w:t>r</w:t>
      </w:r>
      <w:r w:rsidRPr="005F15DA">
        <w:rPr>
          <w:rFonts w:ascii="Helvetica" w:hAnsi="Helvetica" w:cs="Helvetica"/>
          <w:szCs w:val="22"/>
        </w:rPr>
        <w:t>gang von Nutzen und Gefahr mit eingeschriebenem Brief an die Verkäuferin zu erfolgen; ve</w:t>
      </w:r>
      <w:r w:rsidRPr="005F15DA">
        <w:rPr>
          <w:rFonts w:ascii="Helvetica" w:hAnsi="Helvetica" w:cs="Helvetica"/>
          <w:szCs w:val="22"/>
        </w:rPr>
        <w:t>r</w:t>
      </w:r>
      <w:r w:rsidRPr="005F15DA">
        <w:rPr>
          <w:rFonts w:ascii="Helvetica" w:hAnsi="Helvetica" w:cs="Helvetica"/>
          <w:szCs w:val="22"/>
        </w:rPr>
        <w:lastRenderedPageBreak/>
        <w:t>deckte Mängel, die später entdeckt werden, sind sofort nach der Entdeckung zu rügen. Bei arglistigem Verschweigen eines Mangels gilt dagegen die gesetzliche Rügefrist (Art. 203 und 210 Abs. 3 in Verbindung mit Art. 127 OR).</w:t>
      </w: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t>3. Dienstbarkeiten</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Die Käuferin bestätigt, dass der Notar sie über den wesentlichen Inhalt und die Bedeutung der im Grundbuch eingetragenen Dienstbarkeiten orientiert hat. Die Käuferin verzichtet auf die Aushändigung der Dienstbarkeitswortlaute und nimmt zur Kenntnis, dass diese im Grundbuch eingesehen werden können.</w:t>
      </w: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t>4. Marchzählige Abrechnung</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Die Parteien vereinbaren, ausserhalb dieses Vertrags auf den Termin des Übergangs von Nutzen und Gefahr marchzählig abzurechnen über:</w:t>
      </w:r>
    </w:p>
    <w:p w:rsidR="0021446D" w:rsidRPr="005F15DA" w:rsidRDefault="0021446D" w:rsidP="0021446D">
      <w:pPr>
        <w:widowControl w:val="0"/>
        <w:autoSpaceDE w:val="0"/>
        <w:autoSpaceDN w:val="0"/>
        <w:adjustRightInd w:val="0"/>
        <w:spacing w:line="360" w:lineRule="auto"/>
        <w:ind w:left="270" w:hanging="270"/>
        <w:rPr>
          <w:rFonts w:ascii="Helvetica" w:hAnsi="Helvetica" w:cs="Helvetica"/>
          <w:szCs w:val="22"/>
        </w:rPr>
      </w:pPr>
      <w:r w:rsidRPr="005F15DA">
        <w:rPr>
          <w:rFonts w:ascii="Helvetica" w:hAnsi="Helvetica" w:cs="Helvetica"/>
          <w:szCs w:val="22"/>
        </w:rPr>
        <w:t>--</w:t>
      </w:r>
      <w:r w:rsidRPr="005F15DA">
        <w:rPr>
          <w:rFonts w:ascii="Helvetica" w:hAnsi="Helvetica" w:cs="Helvetica"/>
          <w:szCs w:val="22"/>
        </w:rPr>
        <w:tab/>
        <w:t>die öffentlichen Abgaben (wie Liegenschaftssteuern und Gebühren für die Ver- und En</w:t>
      </w:r>
      <w:r w:rsidRPr="005F15DA">
        <w:rPr>
          <w:rFonts w:ascii="Helvetica" w:hAnsi="Helvetica" w:cs="Helvetica"/>
          <w:szCs w:val="22"/>
        </w:rPr>
        <w:t>t</w:t>
      </w:r>
      <w:r w:rsidRPr="005F15DA">
        <w:rPr>
          <w:rFonts w:ascii="Helvetica" w:hAnsi="Helvetica" w:cs="Helvetica"/>
          <w:szCs w:val="22"/>
        </w:rPr>
        <w:t>sorgung usw.);</w:t>
      </w:r>
    </w:p>
    <w:p w:rsidR="0021446D" w:rsidRPr="005F15DA" w:rsidRDefault="0021446D" w:rsidP="0021446D">
      <w:pPr>
        <w:widowControl w:val="0"/>
        <w:autoSpaceDE w:val="0"/>
        <w:autoSpaceDN w:val="0"/>
        <w:adjustRightInd w:val="0"/>
        <w:spacing w:line="360" w:lineRule="auto"/>
        <w:ind w:left="270" w:hanging="270"/>
        <w:rPr>
          <w:rFonts w:ascii="Helvetica" w:hAnsi="Helvetica" w:cs="Helvetica"/>
          <w:szCs w:val="22"/>
        </w:rPr>
      </w:pPr>
      <w:r w:rsidRPr="005F15DA">
        <w:rPr>
          <w:rFonts w:ascii="Helvetica" w:hAnsi="Helvetica" w:cs="Helvetica"/>
          <w:szCs w:val="22"/>
        </w:rPr>
        <w:t>--</w:t>
      </w:r>
      <w:r w:rsidRPr="005F15DA">
        <w:rPr>
          <w:rFonts w:ascii="Helvetica" w:hAnsi="Helvetica" w:cs="Helvetica"/>
          <w:szCs w:val="22"/>
        </w:rPr>
        <w:tab/>
        <w:t>die Prämien aus objektbezogenen Versicherungen (Prämien der Gebäudeversicherung des Kantons Bern, der Gebäude-Wasser-Versicherung, der Grundeigentümerhaftpflich</w:t>
      </w:r>
      <w:r w:rsidRPr="005F15DA">
        <w:rPr>
          <w:rFonts w:ascii="Helvetica" w:hAnsi="Helvetica" w:cs="Helvetica"/>
          <w:szCs w:val="22"/>
        </w:rPr>
        <w:t>t</w:t>
      </w:r>
      <w:r w:rsidRPr="005F15DA">
        <w:rPr>
          <w:rFonts w:ascii="Helvetica" w:hAnsi="Helvetica" w:cs="Helvetica"/>
          <w:szCs w:val="22"/>
        </w:rPr>
        <w:t>versicherung usw.);</w:t>
      </w:r>
    </w:p>
    <w:p w:rsidR="0021446D" w:rsidRPr="005F15DA" w:rsidRDefault="0021446D" w:rsidP="0021446D">
      <w:pPr>
        <w:widowControl w:val="0"/>
        <w:autoSpaceDE w:val="0"/>
        <w:autoSpaceDN w:val="0"/>
        <w:adjustRightInd w:val="0"/>
        <w:spacing w:line="360" w:lineRule="auto"/>
        <w:ind w:left="270" w:hanging="270"/>
        <w:rPr>
          <w:rFonts w:ascii="Helvetica" w:hAnsi="Helvetica" w:cs="Helvetica"/>
          <w:szCs w:val="22"/>
        </w:rPr>
      </w:pPr>
      <w:r w:rsidRPr="005F15DA">
        <w:rPr>
          <w:rFonts w:ascii="Helvetica" w:hAnsi="Helvetica" w:cs="Helvetica"/>
          <w:szCs w:val="22"/>
        </w:rPr>
        <w:t>--</w:t>
      </w:r>
      <w:r w:rsidRPr="005F15DA">
        <w:rPr>
          <w:rFonts w:ascii="Helvetica" w:hAnsi="Helvetica" w:cs="Helvetica"/>
          <w:szCs w:val="22"/>
        </w:rPr>
        <w:tab/>
        <w:t>die Einnahmen und Ausgaben aus den bestehenden Mietverhältnissen (wie Mietzinsei</w:t>
      </w:r>
      <w:r w:rsidRPr="005F15DA">
        <w:rPr>
          <w:rFonts w:ascii="Helvetica" w:hAnsi="Helvetica" w:cs="Helvetica"/>
          <w:szCs w:val="22"/>
        </w:rPr>
        <w:t>n</w:t>
      </w:r>
      <w:r w:rsidRPr="005F15DA">
        <w:rPr>
          <w:rFonts w:ascii="Helvetica" w:hAnsi="Helvetica" w:cs="Helvetica"/>
          <w:szCs w:val="22"/>
        </w:rPr>
        <w:t>nahmen, seit dem Stichtag der letzten Mietabrechnung vereinnahmte Nebenkostenvo</w:t>
      </w:r>
      <w:r w:rsidRPr="005F15DA">
        <w:rPr>
          <w:rFonts w:ascii="Helvetica" w:hAnsi="Helvetica" w:cs="Helvetica"/>
          <w:szCs w:val="22"/>
        </w:rPr>
        <w:t>r</w:t>
      </w:r>
      <w:r w:rsidRPr="005F15DA">
        <w:rPr>
          <w:rFonts w:ascii="Helvetica" w:hAnsi="Helvetica" w:cs="Helvetica"/>
          <w:szCs w:val="22"/>
        </w:rPr>
        <w:t>schüsse und bezahlte Heiz- und Nebenkosten, Heizölvorrat zum Preis gemäss letzter Li</w:t>
      </w:r>
      <w:r w:rsidRPr="005F15DA">
        <w:rPr>
          <w:rFonts w:ascii="Helvetica" w:hAnsi="Helvetica" w:cs="Helvetica"/>
          <w:szCs w:val="22"/>
        </w:rPr>
        <w:t>e</w:t>
      </w:r>
      <w:r w:rsidRPr="005F15DA">
        <w:rPr>
          <w:rFonts w:ascii="Helvetica" w:hAnsi="Helvetica" w:cs="Helvetica"/>
          <w:szCs w:val="22"/>
        </w:rPr>
        <w:t>ferung usw.).</w:t>
      </w:r>
    </w:p>
    <w:p w:rsidR="0021446D" w:rsidRPr="005F15DA" w:rsidRDefault="0021446D" w:rsidP="0021446D">
      <w:pPr>
        <w:widowControl w:val="0"/>
        <w:autoSpaceDE w:val="0"/>
        <w:autoSpaceDN w:val="0"/>
        <w:adjustRightInd w:val="0"/>
        <w:rPr>
          <w:rFonts w:ascii="Helvetica" w:hAnsi="Helvetica" w:cs="Helvetica"/>
          <w:sz w:val="2"/>
          <w:szCs w:val="2"/>
        </w:rPr>
      </w:pPr>
      <w:r w:rsidRPr="005F15DA">
        <w:rPr>
          <w:rFonts w:ascii="Helvetica" w:hAnsi="Helvetica" w:cs="Helvetica"/>
          <w:sz w:val="2"/>
          <w:szCs w:val="2"/>
        </w:rPr>
        <w:br/>
      </w: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Die Verkäuferin legt diese marchzählige Abrechnung der Käuferin innert sechzig Tagen seit Übergang von Nutzen und Gefahr zur Anerkennung vor. Die Abrechnung gilt als anerkannt, wenn sie nicht innert dreissig Tagen seit Vorlage schriftlich bestritten wird. Das Guthaben, welches sich aus dieser Abrechnung ergibt, ist der berechtigten Vertragspartei innerhalb von dreissig Tagen seit Vorlage der Abrechnung auszubezahlen.</w:t>
      </w: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t>5. Mietverträge</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Die Geschäftsräume im Erdgeschoss sowie die drei Wohnungen im ersten bis dritten Obe</w:t>
      </w:r>
      <w:r w:rsidRPr="005F15DA">
        <w:rPr>
          <w:rFonts w:ascii="Helvetica" w:hAnsi="Helvetica" w:cs="Helvetica"/>
          <w:szCs w:val="22"/>
        </w:rPr>
        <w:t>r</w:t>
      </w:r>
      <w:r w:rsidRPr="005F15DA">
        <w:rPr>
          <w:rFonts w:ascii="Helvetica" w:hAnsi="Helvetica" w:cs="Helvetica"/>
          <w:szCs w:val="22"/>
        </w:rPr>
        <w:t>geschoss sind vermietet. Die vier Mietverträge sind der Käuferin ausgehändigt worden.</w:t>
      </w: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Die Mietverträge gehen von Gesetzes wegen auf die Käuferin über (Art. 261 Abs. 1 OR). Die Käuferin übernimmt allfällige Schadenersatzansprüche, die aus einer vorzeitigen Kündigung der Mietverträge an die Verkäuferin gestellt werden.</w:t>
      </w: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Der Mietvertrag für die Geschäftsräume ist im Grundbuch für die unkündbare Vertragsdauer bis zum 31. Dezember 2006 vorgemerkt.</w:t>
      </w:r>
    </w:p>
    <w:p w:rsidR="0021446D" w:rsidRPr="005F15DA" w:rsidRDefault="0021446D" w:rsidP="0021446D">
      <w:pPr>
        <w:widowControl w:val="0"/>
        <w:autoSpaceDE w:val="0"/>
        <w:autoSpaceDN w:val="0"/>
        <w:adjustRightInd w:val="0"/>
        <w:rPr>
          <w:rFonts w:ascii="Helvetica" w:hAnsi="Helvetica" w:cs="Helvetica"/>
          <w:sz w:val="12"/>
          <w:szCs w:val="12"/>
        </w:rPr>
      </w:pPr>
    </w:p>
    <w:p w:rsidR="006A5FCA" w:rsidRDefault="006A5FCA">
      <w:pPr>
        <w:spacing w:after="200"/>
        <w:rPr>
          <w:rFonts w:ascii="Helvetica" w:hAnsi="Helvetica" w:cs="Helvetica"/>
          <w:b/>
          <w:bCs/>
          <w:szCs w:val="22"/>
        </w:rPr>
      </w:pPr>
      <w:r>
        <w:rPr>
          <w:rFonts w:ascii="Helvetica" w:hAnsi="Helvetica" w:cs="Helvetica"/>
          <w:b/>
          <w:bCs/>
          <w:szCs w:val="22"/>
        </w:rPr>
        <w:br w:type="page"/>
      </w:r>
    </w:p>
    <w:p w:rsidR="0021446D" w:rsidRPr="005F15DA" w:rsidRDefault="0021446D" w:rsidP="0021446D">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lastRenderedPageBreak/>
        <w:t>6. Versicherungen</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Für das Vertragsobjekt besteht neben der obligatorischen Gebäudeversicherung des Kantons Bern folgende Versicherung:</w:t>
      </w: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Schweizerische Mobiliar Versicherungsgesellschaft, Police Nr. 35.728.01 für Haftpflicht und Wasser.</w:t>
      </w: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Die Rechte und Pflichten aus dieser Police gehen auf die Käuferin über, wenn sie den Übe</w:t>
      </w:r>
      <w:r w:rsidRPr="005F15DA">
        <w:rPr>
          <w:rFonts w:ascii="Helvetica" w:hAnsi="Helvetica" w:cs="Helvetica"/>
          <w:szCs w:val="22"/>
        </w:rPr>
        <w:t>r</w:t>
      </w:r>
      <w:r w:rsidRPr="005F15DA">
        <w:rPr>
          <w:rFonts w:ascii="Helvetica" w:hAnsi="Helvetica" w:cs="Helvetica"/>
          <w:szCs w:val="22"/>
        </w:rPr>
        <w:t>gang nicht innerhalb von 14 Tagen, seit der Anmeldung dieses Vertrages beim Grundbuc</w:t>
      </w:r>
      <w:r w:rsidRPr="005F15DA">
        <w:rPr>
          <w:rFonts w:ascii="Helvetica" w:hAnsi="Helvetica" w:cs="Helvetica"/>
          <w:szCs w:val="22"/>
        </w:rPr>
        <w:t>h</w:t>
      </w:r>
      <w:r w:rsidRPr="005F15DA">
        <w:rPr>
          <w:rFonts w:ascii="Helvetica" w:hAnsi="Helvetica" w:cs="Helvetica"/>
          <w:szCs w:val="22"/>
        </w:rPr>
        <w:t>amt, gegenüber der Versicherungsgesellschaft schriftlich ablehnt (Art. 54 VVG).</w:t>
      </w: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t>7. Anschlussgebühren, Grundeigentümerbeiträge</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Die Verkäuferin sichert zu, dass für das Vertragsobjekt im heutigen Zustand keine Forderu</w:t>
      </w:r>
      <w:r w:rsidRPr="005F15DA">
        <w:rPr>
          <w:rFonts w:ascii="Helvetica" w:hAnsi="Helvetica" w:cs="Helvetica"/>
          <w:szCs w:val="22"/>
        </w:rPr>
        <w:t>n</w:t>
      </w:r>
      <w:r w:rsidRPr="005F15DA">
        <w:rPr>
          <w:rFonts w:ascii="Helvetica" w:hAnsi="Helvetica" w:cs="Helvetica"/>
          <w:szCs w:val="22"/>
        </w:rPr>
        <w:t>gen der Einwohnergemeinde Heimberg oder Dritter für irgendwelche Anschlussgebühren oder Grundeigentümerbeiträge bestehen.</w:t>
      </w: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t>8. Gesetzliche Pfandrechte</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Die Verkäuferin erklärt, dass sie bezahlt hat bzw. bezahlen wird:</w:t>
      </w:r>
    </w:p>
    <w:p w:rsidR="0021446D" w:rsidRPr="005F15DA" w:rsidRDefault="0021446D" w:rsidP="0021446D">
      <w:pPr>
        <w:widowControl w:val="0"/>
        <w:autoSpaceDE w:val="0"/>
        <w:autoSpaceDN w:val="0"/>
        <w:adjustRightInd w:val="0"/>
        <w:spacing w:line="360" w:lineRule="auto"/>
        <w:ind w:left="270" w:hanging="270"/>
        <w:rPr>
          <w:rFonts w:ascii="Helvetica" w:hAnsi="Helvetica" w:cs="Helvetica"/>
          <w:szCs w:val="22"/>
        </w:rPr>
      </w:pPr>
      <w:r w:rsidRPr="005F15DA">
        <w:rPr>
          <w:rFonts w:ascii="Helvetica" w:hAnsi="Helvetica" w:cs="Helvetica"/>
          <w:szCs w:val="22"/>
        </w:rPr>
        <w:t>--</w:t>
      </w:r>
      <w:r w:rsidRPr="005F15DA">
        <w:rPr>
          <w:rFonts w:ascii="Helvetica" w:hAnsi="Helvetica" w:cs="Helvetica"/>
          <w:szCs w:val="22"/>
        </w:rPr>
        <w:tab/>
        <w:t>Alle Steuern und öffentlich-rechtlichen Abgaben, bezogen auf die Zeit bis zum Übergang von Nutzen und Gefahr.</w:t>
      </w:r>
    </w:p>
    <w:p w:rsidR="0021446D" w:rsidRPr="005F15DA" w:rsidRDefault="0021446D" w:rsidP="0021446D">
      <w:pPr>
        <w:widowControl w:val="0"/>
        <w:autoSpaceDE w:val="0"/>
        <w:autoSpaceDN w:val="0"/>
        <w:adjustRightInd w:val="0"/>
        <w:spacing w:line="360" w:lineRule="auto"/>
        <w:ind w:left="270" w:hanging="270"/>
        <w:rPr>
          <w:rFonts w:ascii="Helvetica" w:hAnsi="Helvetica" w:cs="Helvetica"/>
          <w:szCs w:val="22"/>
        </w:rPr>
      </w:pPr>
      <w:r w:rsidRPr="005F15DA">
        <w:rPr>
          <w:rFonts w:ascii="Helvetica" w:hAnsi="Helvetica" w:cs="Helvetica"/>
          <w:szCs w:val="22"/>
        </w:rPr>
        <w:t>--</w:t>
      </w:r>
      <w:r w:rsidRPr="005F15DA">
        <w:rPr>
          <w:rFonts w:ascii="Helvetica" w:hAnsi="Helvetica" w:cs="Helvetica"/>
          <w:szCs w:val="22"/>
        </w:rPr>
        <w:tab/>
        <w:t>Sämtliche Rechnungen von Handwerkern, die im Auftrag der Verkäuferin für das Vertrag</w:t>
      </w:r>
      <w:r w:rsidRPr="005F15DA">
        <w:rPr>
          <w:rFonts w:ascii="Helvetica" w:hAnsi="Helvetica" w:cs="Helvetica"/>
          <w:szCs w:val="22"/>
        </w:rPr>
        <w:t>s</w:t>
      </w:r>
      <w:r w:rsidRPr="005F15DA">
        <w:rPr>
          <w:rFonts w:ascii="Helvetica" w:hAnsi="Helvetica" w:cs="Helvetica"/>
          <w:szCs w:val="22"/>
        </w:rPr>
        <w:t>objekt Arbeit geleistet oder Material geliefert haben.</w:t>
      </w:r>
    </w:p>
    <w:p w:rsidR="0021446D" w:rsidRPr="005F15DA" w:rsidRDefault="0021446D" w:rsidP="0021446D">
      <w:pPr>
        <w:widowControl w:val="0"/>
        <w:autoSpaceDE w:val="0"/>
        <w:autoSpaceDN w:val="0"/>
        <w:adjustRightInd w:val="0"/>
        <w:rPr>
          <w:rFonts w:ascii="Helvetica" w:hAnsi="Helvetica" w:cs="Helvetica"/>
          <w:sz w:val="2"/>
          <w:szCs w:val="2"/>
        </w:rPr>
      </w:pPr>
      <w:r w:rsidRPr="005F15DA">
        <w:rPr>
          <w:rFonts w:ascii="Helvetica" w:hAnsi="Helvetica" w:cs="Helvetica"/>
          <w:sz w:val="2"/>
          <w:szCs w:val="2"/>
        </w:rPr>
        <w:br/>
      </w: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Sollten wider Erwarten gesetzliche Pfandrechte geltend gemacht werden, so verpflichtet sich die Verkäuferin zur nachträglichen Bezahlung oder anderweitigen Sicherstellung der Ford</w:t>
      </w:r>
      <w:r w:rsidRPr="005F15DA">
        <w:rPr>
          <w:rFonts w:ascii="Helvetica" w:hAnsi="Helvetica" w:cs="Helvetica"/>
          <w:szCs w:val="22"/>
        </w:rPr>
        <w:t>e</w:t>
      </w:r>
      <w:r w:rsidRPr="005F15DA">
        <w:rPr>
          <w:rFonts w:ascii="Helvetica" w:hAnsi="Helvetica" w:cs="Helvetica"/>
          <w:szCs w:val="22"/>
        </w:rPr>
        <w:t>rungen.</w:t>
      </w: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rPr>
          <w:rFonts w:ascii="Helvetica" w:hAnsi="Helvetica" w:cs="Helvetica"/>
          <w:b/>
          <w:bCs/>
          <w:szCs w:val="22"/>
        </w:rPr>
      </w:pPr>
      <w:r w:rsidRPr="005F15DA">
        <w:rPr>
          <w:rFonts w:ascii="Helvetica" w:hAnsi="Helvetica" w:cs="Helvetica"/>
          <w:b/>
          <w:bCs/>
          <w:szCs w:val="22"/>
        </w:rPr>
        <w:t>9. Grundstückgewinnsteuer</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t>a. Grundsatz, Selbstdeklaration</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Die Parteien bestätigen, dass der Notar sie auf die Grundsätze der Grundstückgewinnsteuern und auf die mit der Anmeldung dieses Vertrages beim Grundbuchamt einzureichende Selbs</w:t>
      </w:r>
      <w:r w:rsidRPr="005F15DA">
        <w:rPr>
          <w:rFonts w:ascii="Helvetica" w:hAnsi="Helvetica" w:cs="Helvetica"/>
          <w:szCs w:val="22"/>
        </w:rPr>
        <w:t>t</w:t>
      </w:r>
      <w:r w:rsidRPr="005F15DA">
        <w:rPr>
          <w:rFonts w:ascii="Helvetica" w:hAnsi="Helvetica" w:cs="Helvetica"/>
          <w:szCs w:val="22"/>
        </w:rPr>
        <w:t>deklaration</w:t>
      </w:r>
      <w:r w:rsidRPr="005F15DA">
        <w:rPr>
          <w:rFonts w:ascii="Helvetica" w:hAnsi="Helvetica" w:cs="Helvetica"/>
          <w:szCs w:val="22"/>
          <w:vertAlign w:val="superscript"/>
        </w:rPr>
        <w:t>,</w:t>
      </w:r>
      <w:r w:rsidRPr="005F15DA">
        <w:rPr>
          <w:rFonts w:ascii="Helvetica" w:hAnsi="Helvetica" w:cs="Helvetica"/>
          <w:szCs w:val="22"/>
        </w:rPr>
        <w:t xml:space="preserve"> aufmerksam gemacht hat.</w:t>
      </w: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t>b. Gesetzliches Grundpfandrecht</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Die Parteien erklären, dass der Notar sie auf das zur Sicherung der Grundstückgewinnsteuer zu Gunsten von Staat, Einwohner- und Kirchgemeinde bestehende, gesetzliche Grundpfan</w:t>
      </w:r>
      <w:r w:rsidRPr="005F15DA">
        <w:rPr>
          <w:rFonts w:ascii="Helvetica" w:hAnsi="Helvetica" w:cs="Helvetica"/>
          <w:szCs w:val="22"/>
        </w:rPr>
        <w:t>d</w:t>
      </w:r>
      <w:r w:rsidRPr="005F15DA">
        <w:rPr>
          <w:rFonts w:ascii="Helvetica" w:hAnsi="Helvetica" w:cs="Helvetica"/>
          <w:szCs w:val="22"/>
        </w:rPr>
        <w:t>recht hingewiesen hat. Die Parteien erklären ferner, dass der Notar sie über das Recht des Käufers, Sicherstellung für den voraussichtlichen Betrag dieser Steuer zu verlangen, orientiert hat</w:t>
      </w:r>
      <w:proofErr w:type="gramStart"/>
      <w:r w:rsidRPr="005F15DA">
        <w:rPr>
          <w:rFonts w:ascii="Helvetica" w:hAnsi="Helvetica" w:cs="Helvetica"/>
          <w:szCs w:val="22"/>
          <w:vertAlign w:val="superscript"/>
        </w:rPr>
        <w:t>,</w:t>
      </w:r>
      <w:r w:rsidRPr="005F15DA">
        <w:rPr>
          <w:rFonts w:ascii="Helvetica" w:hAnsi="Helvetica" w:cs="Helvetica"/>
          <w:szCs w:val="22"/>
        </w:rPr>
        <w:t>.</w:t>
      </w:r>
      <w:proofErr w:type="gramEnd"/>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Die Steuerverwaltung des Kantons Bern hat für diesen Verkauf die Höhe des gesetzlichen Grundpfandrechts mit Auskunft vom 22. Dezember 1999 auf Fr. 35 200.- festgesetzt.</w:t>
      </w: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t>c. Treuhandschaft</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Die Parteien vereinbaren, dem Notar den Betrag von Fr. 35 200.- zur treuhänderischen Ve</w:t>
      </w:r>
      <w:r w:rsidRPr="005F15DA">
        <w:rPr>
          <w:rFonts w:ascii="Helvetica" w:hAnsi="Helvetica" w:cs="Helvetica"/>
          <w:szCs w:val="22"/>
        </w:rPr>
        <w:t>r</w:t>
      </w:r>
      <w:r w:rsidRPr="005F15DA">
        <w:rPr>
          <w:rFonts w:ascii="Helvetica" w:hAnsi="Helvetica" w:cs="Helvetica"/>
          <w:szCs w:val="22"/>
        </w:rPr>
        <w:t>waltung zu übergeben. Dieser Betrag wird auf einem Treuhandkonto, lautend auf den Notar, bei der Credit Suisse, in Thun, angelegt.</w:t>
      </w: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Der Notar hat mit dem treuhänderisch verwalteten Betrag sowohl die provisorische Rechnung, wie auch die (auf einer rechtskräftigen Veranlagung basierende) Schlussrechnung für Grun</w:t>
      </w:r>
      <w:r w:rsidRPr="005F15DA">
        <w:rPr>
          <w:rFonts w:ascii="Helvetica" w:hAnsi="Helvetica" w:cs="Helvetica"/>
          <w:szCs w:val="22"/>
        </w:rPr>
        <w:t>d</w:t>
      </w:r>
      <w:r w:rsidRPr="005F15DA">
        <w:rPr>
          <w:rFonts w:ascii="Helvetica" w:hAnsi="Helvetica" w:cs="Helvetica"/>
          <w:szCs w:val="22"/>
        </w:rPr>
        <w:t>stückgewinnsteuern zu bezahlen. Nach Bezahlung der Schlussrechnung steht der Saldo des Kontos (inkl. Zins) der Verkäuferin zu.</w:t>
      </w: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 xml:space="preserve">Im </w:t>
      </w:r>
      <w:proofErr w:type="spellStart"/>
      <w:proofErr w:type="gramStart"/>
      <w:r w:rsidRPr="005F15DA">
        <w:rPr>
          <w:rFonts w:ascii="Helvetica" w:hAnsi="Helvetica" w:cs="Helvetica"/>
          <w:szCs w:val="22"/>
        </w:rPr>
        <w:t>übrigen</w:t>
      </w:r>
      <w:proofErr w:type="spellEnd"/>
      <w:proofErr w:type="gramEnd"/>
      <w:r w:rsidRPr="005F15DA">
        <w:rPr>
          <w:rFonts w:ascii="Helvetica" w:hAnsi="Helvetica" w:cs="Helvetica"/>
          <w:szCs w:val="22"/>
        </w:rPr>
        <w:t xml:space="preserve"> darf der Notar über das Konto nur auf Weisung beider Parteien oder aufgrund e</w:t>
      </w:r>
      <w:r w:rsidRPr="005F15DA">
        <w:rPr>
          <w:rFonts w:ascii="Helvetica" w:hAnsi="Helvetica" w:cs="Helvetica"/>
          <w:szCs w:val="22"/>
        </w:rPr>
        <w:t>i</w:t>
      </w:r>
      <w:r w:rsidRPr="005F15DA">
        <w:rPr>
          <w:rFonts w:ascii="Helvetica" w:hAnsi="Helvetica" w:cs="Helvetica"/>
          <w:szCs w:val="22"/>
        </w:rPr>
        <w:t>nes gerichtlichen Urteils oder Vergleichs verfügen.</w:t>
      </w: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rPr>
          <w:rFonts w:ascii="Helvetica" w:hAnsi="Helvetica" w:cs="Helvetica"/>
          <w:b/>
          <w:bCs/>
          <w:szCs w:val="22"/>
        </w:rPr>
      </w:pPr>
      <w:r w:rsidRPr="005F15DA">
        <w:rPr>
          <w:rFonts w:ascii="Helvetica" w:hAnsi="Helvetica" w:cs="Helvetica"/>
          <w:b/>
          <w:bCs/>
          <w:szCs w:val="22"/>
        </w:rPr>
        <w:t>IV. Feststellungen des Notars</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t>1. Bescheinigung bezüglich des Erwerbs von Grundstücken durch Personen im Au</w:t>
      </w:r>
      <w:r w:rsidRPr="005F15DA">
        <w:rPr>
          <w:rFonts w:ascii="Helvetica" w:hAnsi="Helvetica" w:cs="Helvetica"/>
          <w:b/>
          <w:bCs/>
          <w:szCs w:val="22"/>
        </w:rPr>
        <w:t>s</w:t>
      </w:r>
      <w:r w:rsidRPr="005F15DA">
        <w:rPr>
          <w:rFonts w:ascii="Helvetica" w:hAnsi="Helvetica" w:cs="Helvetica"/>
          <w:b/>
          <w:bCs/>
          <w:szCs w:val="22"/>
        </w:rPr>
        <w:t>land</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Gestützt auf persönliche Kenntnis der Verhältnisse stellt der Notar fest, dass bei der Käuferin keine beherrschende Beteiligung durch Personen im Ausland im Sinne der Vorschriften über den Erwerb von Grundstücken durch Personen im Ausland besteht.</w:t>
      </w: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t>2. Wohnung der Familie</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Der Notar stellt fest, dass die Verkäuferin nicht über die Wohnung der Familie gemäss Art. 169 ZGB verfügt; die Zustimmung des Ehemannes der Verkäuferin ist deshalb nicht erforde</w:t>
      </w:r>
      <w:r w:rsidRPr="005F15DA">
        <w:rPr>
          <w:rFonts w:ascii="Helvetica" w:hAnsi="Helvetica" w:cs="Helvetica"/>
          <w:szCs w:val="22"/>
        </w:rPr>
        <w:t>r</w:t>
      </w:r>
      <w:r w:rsidRPr="005F15DA">
        <w:rPr>
          <w:rFonts w:ascii="Helvetica" w:hAnsi="Helvetica" w:cs="Helvetica"/>
          <w:szCs w:val="22"/>
        </w:rPr>
        <w:t>lich.</w:t>
      </w: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rPr>
          <w:rFonts w:ascii="Helvetica" w:hAnsi="Helvetica" w:cs="Helvetica"/>
          <w:b/>
          <w:bCs/>
          <w:szCs w:val="22"/>
        </w:rPr>
      </w:pPr>
      <w:r w:rsidRPr="005F15DA">
        <w:rPr>
          <w:rFonts w:ascii="Helvetica" w:hAnsi="Helvetica" w:cs="Helvetica"/>
          <w:b/>
          <w:bCs/>
          <w:szCs w:val="22"/>
        </w:rPr>
        <w:t>V. Schlussbestimmungen</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t>1. Eintragungsbewilligung</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Die Parteien erteilen ihre Einwilligung, sämtliche sich aus dieser Urkunde ergebenden Ei</w:t>
      </w:r>
      <w:r w:rsidRPr="005F15DA">
        <w:rPr>
          <w:rFonts w:ascii="Helvetica" w:hAnsi="Helvetica" w:cs="Helvetica"/>
          <w:szCs w:val="22"/>
        </w:rPr>
        <w:t>n</w:t>
      </w:r>
      <w:r w:rsidRPr="005F15DA">
        <w:rPr>
          <w:rFonts w:ascii="Helvetica" w:hAnsi="Helvetica" w:cs="Helvetica"/>
          <w:szCs w:val="22"/>
        </w:rPr>
        <w:t>schreibungen im Grundbuch vorzunehmen.</w:t>
      </w:r>
    </w:p>
    <w:p w:rsidR="0021446D" w:rsidRPr="005F15DA" w:rsidRDefault="0021446D" w:rsidP="0021446D">
      <w:pPr>
        <w:widowControl w:val="0"/>
        <w:autoSpaceDE w:val="0"/>
        <w:autoSpaceDN w:val="0"/>
        <w:adjustRightInd w:val="0"/>
        <w:rPr>
          <w:rFonts w:ascii="Helvetica" w:hAnsi="Helvetica" w:cs="Helvetica"/>
          <w:sz w:val="12"/>
          <w:szCs w:val="12"/>
        </w:rPr>
      </w:pPr>
    </w:p>
    <w:p w:rsidR="0021446D" w:rsidRPr="005F15DA" w:rsidRDefault="0021446D" w:rsidP="0021446D">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t>2. Kosten</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Die gesamten Kosten dieses Kaufvertrages (Handänderungssteuern, Grundbuch- und Notar</w:t>
      </w:r>
      <w:r w:rsidRPr="005F15DA">
        <w:rPr>
          <w:rFonts w:ascii="Helvetica" w:hAnsi="Helvetica" w:cs="Helvetica"/>
          <w:szCs w:val="22"/>
        </w:rPr>
        <w:t>i</w:t>
      </w:r>
      <w:r w:rsidRPr="005F15DA">
        <w:rPr>
          <w:rFonts w:ascii="Helvetica" w:hAnsi="Helvetica" w:cs="Helvetica"/>
          <w:szCs w:val="22"/>
        </w:rPr>
        <w:t>atsgebühren) werden von der Käuferin getragen.</w:t>
      </w: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 xml:space="preserve">Die Kosten der Treuhandschaft des Notars gemäss Ziffer III/8/c </w:t>
      </w:r>
      <w:proofErr w:type="spellStart"/>
      <w:r w:rsidRPr="005F15DA">
        <w:rPr>
          <w:rFonts w:ascii="Helvetica" w:hAnsi="Helvetica" w:cs="Helvetica"/>
          <w:szCs w:val="22"/>
        </w:rPr>
        <w:t>hievor</w:t>
      </w:r>
      <w:proofErr w:type="spellEnd"/>
      <w:r w:rsidRPr="005F15DA">
        <w:rPr>
          <w:rFonts w:ascii="Helvetica" w:hAnsi="Helvetica" w:cs="Helvetica"/>
          <w:szCs w:val="22"/>
        </w:rPr>
        <w:t xml:space="preserve"> und des Grundstüc</w:t>
      </w:r>
      <w:r w:rsidRPr="005F15DA">
        <w:rPr>
          <w:rFonts w:ascii="Helvetica" w:hAnsi="Helvetica" w:cs="Helvetica"/>
          <w:szCs w:val="22"/>
        </w:rPr>
        <w:t>k</w:t>
      </w:r>
      <w:r w:rsidRPr="005F15DA">
        <w:rPr>
          <w:rFonts w:ascii="Helvetica" w:hAnsi="Helvetica" w:cs="Helvetica"/>
          <w:szCs w:val="22"/>
        </w:rPr>
        <w:t>gewinnsteuerverfahrens gehen zu Lasten der Verkäuferin.</w:t>
      </w:r>
    </w:p>
    <w:p w:rsidR="0021446D" w:rsidRPr="005F15DA" w:rsidRDefault="0021446D" w:rsidP="0021446D">
      <w:pPr>
        <w:widowControl w:val="0"/>
        <w:autoSpaceDE w:val="0"/>
        <w:autoSpaceDN w:val="0"/>
        <w:adjustRightInd w:val="0"/>
        <w:rPr>
          <w:rFonts w:ascii="Helvetica" w:hAnsi="Helvetica" w:cs="Helvetica"/>
          <w:sz w:val="12"/>
          <w:szCs w:val="12"/>
        </w:rPr>
      </w:pPr>
    </w:p>
    <w:p w:rsidR="006A5FCA" w:rsidRDefault="006A5FCA">
      <w:pPr>
        <w:spacing w:after="200"/>
        <w:rPr>
          <w:rFonts w:ascii="Helvetica" w:hAnsi="Helvetica" w:cs="Helvetica"/>
          <w:b/>
          <w:bCs/>
          <w:szCs w:val="22"/>
        </w:rPr>
      </w:pPr>
      <w:r>
        <w:rPr>
          <w:rFonts w:ascii="Helvetica" w:hAnsi="Helvetica" w:cs="Helvetica"/>
          <w:b/>
          <w:bCs/>
          <w:szCs w:val="22"/>
        </w:rPr>
        <w:br w:type="page"/>
      </w:r>
    </w:p>
    <w:p w:rsidR="0021446D" w:rsidRPr="005F15DA" w:rsidRDefault="0021446D" w:rsidP="0021446D">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lastRenderedPageBreak/>
        <w:t>3. Ausfertigungen</w:t>
      </w:r>
    </w:p>
    <w:p w:rsidR="0021446D" w:rsidRPr="005F15DA" w:rsidRDefault="0021446D" w:rsidP="0021446D">
      <w:pPr>
        <w:widowControl w:val="0"/>
        <w:autoSpaceDE w:val="0"/>
        <w:autoSpaceDN w:val="0"/>
        <w:adjustRightInd w:val="0"/>
        <w:rPr>
          <w:rFonts w:ascii="Helvetica" w:hAnsi="Helvetica" w:cs="Helvetica"/>
          <w:sz w:val="6"/>
          <w:szCs w:val="6"/>
        </w:rPr>
      </w:pP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Diese Urschrift ist für das Kreisgrundbuchamt X Thun, für die Käuferin und die Verkäuferin dreifach auszufertigen.</w:t>
      </w:r>
    </w:p>
    <w:p w:rsidR="0021446D" w:rsidRPr="005F15DA" w:rsidRDefault="0021446D" w:rsidP="0021446D">
      <w:pPr>
        <w:widowControl w:val="0"/>
        <w:autoSpaceDE w:val="0"/>
        <w:autoSpaceDN w:val="0"/>
        <w:adjustRightInd w:val="0"/>
        <w:spacing w:line="360" w:lineRule="auto"/>
        <w:rPr>
          <w:rFonts w:ascii="Helvetica" w:hAnsi="Helvetica" w:cs="Helvetica"/>
          <w:szCs w:val="22"/>
        </w:rPr>
      </w:pPr>
      <w:r w:rsidRPr="005F15DA">
        <w:rPr>
          <w:rFonts w:ascii="Helvetica" w:hAnsi="Helvetica" w:cs="Helvetica"/>
          <w:i/>
          <w:iCs/>
          <w:szCs w:val="22"/>
        </w:rPr>
        <w:t>Schlussverbal für Willenserklärungen</w:t>
      </w:r>
    </w:p>
    <w:p w:rsidR="0021446D" w:rsidRPr="005F15DA" w:rsidRDefault="0021446D" w:rsidP="0021446D">
      <w:pPr>
        <w:autoSpaceDE w:val="0"/>
        <w:autoSpaceDN w:val="0"/>
        <w:jc w:val="center"/>
        <w:rPr>
          <w:rFonts w:ascii="Helvetica" w:hAnsi="Helvetica" w:cs="Helvetica"/>
          <w:szCs w:val="22"/>
        </w:rPr>
      </w:pPr>
      <w:r w:rsidRPr="005F15DA">
        <w:rPr>
          <w:rFonts w:ascii="Helvetica" w:hAnsi="Helvetica" w:cs="Helvetica"/>
          <w:i/>
          <w:iCs/>
          <w:szCs w:val="22"/>
        </w:rPr>
        <w:t>10. Februar 2000</w:t>
      </w:r>
    </w:p>
    <w:tbl>
      <w:tblPr>
        <w:tblW w:w="0" w:type="auto"/>
        <w:tblLayout w:type="fixed"/>
        <w:tblCellMar>
          <w:left w:w="0" w:type="dxa"/>
          <w:right w:w="0" w:type="dxa"/>
        </w:tblCellMar>
        <w:tblLook w:val="0000" w:firstRow="0" w:lastRow="0" w:firstColumn="0" w:lastColumn="0" w:noHBand="0" w:noVBand="0"/>
      </w:tblPr>
      <w:tblGrid>
        <w:gridCol w:w="4480"/>
        <w:gridCol w:w="2520"/>
      </w:tblGrid>
      <w:tr w:rsidR="0021446D" w:rsidRPr="005F15DA" w:rsidTr="0021446D">
        <w:tc>
          <w:tcPr>
            <w:tcW w:w="4480" w:type="dxa"/>
            <w:tcBorders>
              <w:top w:val="nil"/>
              <w:left w:val="nil"/>
              <w:bottom w:val="nil"/>
              <w:right w:val="nil"/>
            </w:tcBorders>
          </w:tcPr>
          <w:p w:rsidR="0021446D" w:rsidRPr="005F15DA" w:rsidRDefault="0021446D" w:rsidP="0021446D">
            <w:pPr>
              <w:widowControl w:val="0"/>
              <w:autoSpaceDE w:val="0"/>
              <w:autoSpaceDN w:val="0"/>
              <w:adjustRightInd w:val="0"/>
              <w:rPr>
                <w:rFonts w:ascii="Helvetica" w:hAnsi="Helvetica" w:cs="Helvetica"/>
                <w:szCs w:val="22"/>
              </w:rPr>
            </w:pPr>
            <w:r w:rsidRPr="005F15DA">
              <w:rPr>
                <w:rFonts w:ascii="Helvetica" w:hAnsi="Helvetica" w:cs="Helvetica"/>
                <w:szCs w:val="22"/>
              </w:rPr>
              <w:t xml:space="preserve">Die Vertragsparteien: </w:t>
            </w:r>
          </w:p>
        </w:tc>
        <w:tc>
          <w:tcPr>
            <w:tcW w:w="2520" w:type="dxa"/>
            <w:tcBorders>
              <w:top w:val="nil"/>
              <w:left w:val="nil"/>
              <w:bottom w:val="nil"/>
              <w:right w:val="nil"/>
            </w:tcBorders>
          </w:tcPr>
          <w:p w:rsidR="0021446D" w:rsidRPr="005F15DA" w:rsidRDefault="0021446D" w:rsidP="0021446D">
            <w:pPr>
              <w:widowControl w:val="0"/>
              <w:autoSpaceDE w:val="0"/>
              <w:autoSpaceDN w:val="0"/>
              <w:adjustRightInd w:val="0"/>
              <w:jc w:val="center"/>
              <w:rPr>
                <w:rFonts w:ascii="Helvetica" w:hAnsi="Helvetica" w:cs="Helvetica"/>
                <w:szCs w:val="22"/>
              </w:rPr>
            </w:pPr>
            <w:r w:rsidRPr="005F15DA">
              <w:rPr>
                <w:rFonts w:ascii="Helvetica" w:hAnsi="Helvetica" w:cs="Helvetica"/>
                <w:szCs w:val="22"/>
              </w:rPr>
              <w:t>Der Notar:</w:t>
            </w:r>
          </w:p>
        </w:tc>
      </w:tr>
    </w:tbl>
    <w:p w:rsidR="0021446D" w:rsidRPr="005F15DA" w:rsidRDefault="0021446D" w:rsidP="0021446D">
      <w:pPr>
        <w:widowControl w:val="0"/>
        <w:autoSpaceDE w:val="0"/>
        <w:autoSpaceDN w:val="0"/>
        <w:adjustRightInd w:val="0"/>
        <w:rPr>
          <w:rFonts w:ascii="Helvetica" w:hAnsi="Helvetica" w:cs="Helvetica"/>
          <w:szCs w:val="22"/>
        </w:rPr>
      </w:pPr>
      <w:r w:rsidRPr="005F15DA">
        <w:rPr>
          <w:rFonts w:ascii="Helvetica" w:hAnsi="Helvetica" w:cs="Helvetica"/>
          <w:szCs w:val="22"/>
        </w:rPr>
        <w:br/>
      </w:r>
    </w:p>
    <w:p w:rsidR="0021446D" w:rsidRPr="005F15DA" w:rsidRDefault="0021446D" w:rsidP="0021446D">
      <w:pPr>
        <w:widowControl w:val="0"/>
        <w:autoSpaceDE w:val="0"/>
        <w:autoSpaceDN w:val="0"/>
        <w:adjustRightInd w:val="0"/>
        <w:rPr>
          <w:rFonts w:ascii="Helvetica" w:hAnsi="Helvetica" w:cs="Helvetica"/>
          <w:szCs w:val="22"/>
        </w:rPr>
      </w:pPr>
    </w:p>
    <w:p w:rsidR="0021446D" w:rsidRPr="005F15DA" w:rsidRDefault="0021446D" w:rsidP="0021446D">
      <w:pPr>
        <w:widowControl w:val="0"/>
        <w:autoSpaceDE w:val="0"/>
        <w:autoSpaceDN w:val="0"/>
        <w:adjustRightInd w:val="0"/>
        <w:rPr>
          <w:rFonts w:ascii="Helvetica" w:hAnsi="Helvetica" w:cs="Helvetica"/>
          <w:szCs w:val="22"/>
        </w:rPr>
      </w:pPr>
    </w:p>
    <w:p w:rsidR="0021446D" w:rsidRPr="005F15DA" w:rsidRDefault="0021446D" w:rsidP="0021446D">
      <w:pPr>
        <w:widowControl w:val="0"/>
        <w:autoSpaceDE w:val="0"/>
        <w:autoSpaceDN w:val="0"/>
        <w:adjustRightInd w:val="0"/>
        <w:rPr>
          <w:rFonts w:ascii="Helvetica" w:hAnsi="Helvetica" w:cs="Helvetica"/>
          <w:szCs w:val="22"/>
        </w:rPr>
      </w:pPr>
    </w:p>
    <w:p w:rsidR="0021446D" w:rsidRPr="005F15DA" w:rsidRDefault="0021446D" w:rsidP="0021446D">
      <w:pPr>
        <w:widowControl w:val="0"/>
        <w:autoSpaceDE w:val="0"/>
        <w:autoSpaceDN w:val="0"/>
        <w:adjustRightInd w:val="0"/>
        <w:rPr>
          <w:rFonts w:ascii="Helvetica" w:hAnsi="Helvetica" w:cs="Helvetica"/>
          <w:szCs w:val="22"/>
        </w:rPr>
      </w:pPr>
    </w:p>
    <w:p w:rsidR="0021446D" w:rsidRPr="005F15DA" w:rsidRDefault="0021446D" w:rsidP="0021446D">
      <w:pPr>
        <w:widowControl w:val="0"/>
        <w:autoSpaceDE w:val="0"/>
        <w:autoSpaceDN w:val="0"/>
        <w:adjustRightInd w:val="0"/>
        <w:rPr>
          <w:rFonts w:ascii="Helvetica" w:hAnsi="Helvetica" w:cs="Helvetica"/>
          <w:szCs w:val="22"/>
        </w:rPr>
      </w:pPr>
      <w:r w:rsidRPr="005F15DA">
        <w:rPr>
          <w:rFonts w:ascii="Helvetica" w:hAnsi="Helvetica" w:cs="Helvetica"/>
          <w:szCs w:val="22"/>
        </w:rPr>
        <w:br/>
        <w:t>MUSA Nr. 621.3</w:t>
      </w:r>
    </w:p>
    <w:p w:rsidR="0021446D" w:rsidRPr="005F15DA" w:rsidRDefault="0021446D" w:rsidP="0021446D">
      <w:pPr>
        <w:widowControl w:val="0"/>
        <w:autoSpaceDE w:val="0"/>
        <w:autoSpaceDN w:val="0"/>
        <w:adjustRightInd w:val="0"/>
        <w:rPr>
          <w:rFonts w:ascii="Helvetica" w:hAnsi="Helvetica" w:cs="Helvetica"/>
          <w:szCs w:val="22"/>
        </w:rPr>
      </w:pPr>
    </w:p>
    <w:p w:rsidR="0021446D" w:rsidRPr="005F15DA" w:rsidRDefault="0021446D" w:rsidP="0021446D">
      <w:pPr>
        <w:rPr>
          <w:szCs w:val="22"/>
        </w:rPr>
      </w:pPr>
    </w:p>
    <w:p w:rsidR="0021446D" w:rsidRPr="005F15DA" w:rsidRDefault="0021446D" w:rsidP="0021446D">
      <w:pPr>
        <w:rPr>
          <w:szCs w:val="22"/>
        </w:rPr>
      </w:pPr>
    </w:p>
    <w:p w:rsidR="0021446D" w:rsidRPr="005F15DA" w:rsidRDefault="0021446D" w:rsidP="0021446D">
      <w:pPr>
        <w:spacing w:after="200"/>
        <w:rPr>
          <w:szCs w:val="22"/>
        </w:rPr>
      </w:pPr>
      <w:r w:rsidRPr="005F15DA">
        <w:rPr>
          <w:szCs w:val="22"/>
        </w:rPr>
        <w:br w:type="page"/>
      </w:r>
    </w:p>
    <w:p w:rsidR="00AC041C" w:rsidRPr="005F15DA" w:rsidRDefault="00AC041C" w:rsidP="00AC041C">
      <w:pPr>
        <w:pStyle w:val="berschrift2"/>
        <w:rPr>
          <w:sz w:val="12"/>
          <w:szCs w:val="12"/>
        </w:rPr>
      </w:pPr>
      <w:bookmarkStart w:id="203" w:name="_Toc432175723"/>
      <w:r w:rsidRPr="005F15DA">
        <w:lastRenderedPageBreak/>
        <w:t>V. Grundpfandvertrag zur Errichtung eines</w:t>
      </w:r>
      <w:r w:rsidRPr="005F15DA">
        <w:br/>
        <w:t>Namen</w:t>
      </w:r>
      <w:r w:rsidR="00153904" w:rsidRPr="005F15DA">
        <w:t>-Papier-S</w:t>
      </w:r>
      <w:r w:rsidRPr="005F15DA">
        <w:t>chuldbriefs</w:t>
      </w:r>
      <w:bookmarkEnd w:id="203"/>
    </w:p>
    <w:p w:rsidR="00AC041C" w:rsidRPr="005F15DA" w:rsidRDefault="00AC041C" w:rsidP="00AC041C">
      <w:pPr>
        <w:widowControl w:val="0"/>
        <w:autoSpaceDE w:val="0"/>
        <w:autoSpaceDN w:val="0"/>
        <w:adjustRightInd w:val="0"/>
        <w:rPr>
          <w:rFonts w:ascii="Helvetica" w:hAnsi="Helvetica" w:cs="Helvetica"/>
          <w:b/>
          <w:bCs/>
          <w:sz w:val="12"/>
          <w:szCs w:val="12"/>
        </w:rPr>
      </w:pPr>
    </w:p>
    <w:p w:rsidR="00AC041C" w:rsidRPr="005F15DA" w:rsidRDefault="00AC041C" w:rsidP="00AC041C">
      <w:pPr>
        <w:widowControl w:val="0"/>
        <w:autoSpaceDE w:val="0"/>
        <w:autoSpaceDN w:val="0"/>
        <w:adjustRightInd w:val="0"/>
        <w:spacing w:line="360" w:lineRule="auto"/>
        <w:rPr>
          <w:rFonts w:ascii="Helvetica" w:hAnsi="Helvetica" w:cs="Helvetica"/>
          <w:szCs w:val="22"/>
        </w:rPr>
      </w:pPr>
      <w:proofErr w:type="gramStart"/>
      <w:r w:rsidRPr="005F15DA">
        <w:rPr>
          <w:rFonts w:ascii="Helvetica" w:hAnsi="Helvetica" w:cs="Helvetica"/>
          <w:szCs w:val="22"/>
        </w:rPr>
        <w:t>A.B.,</w:t>
      </w:r>
      <w:proofErr w:type="gramEnd"/>
      <w:r w:rsidRPr="005F15DA">
        <w:rPr>
          <w:rFonts w:ascii="Helvetica" w:hAnsi="Helvetica" w:cs="Helvetica"/>
          <w:szCs w:val="22"/>
        </w:rPr>
        <w:t xml:space="preserve"> Notar des Kantons Bern, eingetragen im Notariatsregister des Kantons Bern, mit Büro in Thun,</w:t>
      </w: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autoSpaceDE w:val="0"/>
        <w:autoSpaceDN w:val="0"/>
        <w:jc w:val="center"/>
        <w:rPr>
          <w:rFonts w:ascii="Helvetica" w:hAnsi="Helvetica" w:cs="Helvetica"/>
          <w:szCs w:val="22"/>
        </w:rPr>
      </w:pPr>
      <w:r w:rsidRPr="005F15DA">
        <w:rPr>
          <w:rFonts w:ascii="Helvetica" w:hAnsi="Helvetica" w:cs="Helvetica"/>
          <w:i/>
          <w:iCs/>
          <w:szCs w:val="22"/>
        </w:rPr>
        <w:t>beurkundet:</w:t>
      </w:r>
    </w:p>
    <w:p w:rsidR="00AC041C" w:rsidRPr="005F15DA" w:rsidRDefault="00AC041C" w:rsidP="00AC041C">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 xml:space="preserve">Herr  </w:t>
      </w:r>
    </w:p>
    <w:p w:rsidR="00AC041C" w:rsidRPr="005F15DA" w:rsidRDefault="00AC041C" w:rsidP="00AC041C">
      <w:pPr>
        <w:autoSpaceDE w:val="0"/>
        <w:autoSpaceDN w:val="0"/>
        <w:jc w:val="center"/>
        <w:rPr>
          <w:rFonts w:ascii="Helvetica" w:hAnsi="Helvetica" w:cs="Helvetica"/>
          <w:szCs w:val="22"/>
        </w:rPr>
      </w:pPr>
      <w:r w:rsidRPr="005F15DA">
        <w:rPr>
          <w:rFonts w:ascii="Helvetica" w:hAnsi="Helvetica" w:cs="Helvetica"/>
          <w:b/>
          <w:bCs/>
          <w:szCs w:val="22"/>
        </w:rPr>
        <w:t>Hugo Schenk</w:t>
      </w: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17.2.1949, verheiratet, von Langenthal, Bauführer, Ernst-</w:t>
      </w:r>
      <w:proofErr w:type="spellStart"/>
      <w:r w:rsidRPr="005F15DA">
        <w:rPr>
          <w:rFonts w:ascii="Helvetica" w:hAnsi="Helvetica" w:cs="Helvetica"/>
          <w:szCs w:val="22"/>
        </w:rPr>
        <w:t>Ruprechtweg</w:t>
      </w:r>
      <w:proofErr w:type="spellEnd"/>
      <w:r w:rsidRPr="005F15DA">
        <w:rPr>
          <w:rFonts w:ascii="Helvetica" w:hAnsi="Helvetica" w:cs="Helvetica"/>
          <w:szCs w:val="22"/>
        </w:rPr>
        <w:t xml:space="preserve"> 1, 3177 Laupen,</w:t>
      </w:r>
    </w:p>
    <w:p w:rsidR="00AC041C" w:rsidRPr="005F15DA" w:rsidRDefault="00AC041C" w:rsidP="00AC041C">
      <w:pPr>
        <w:autoSpaceDE w:val="0"/>
        <w:autoSpaceDN w:val="0"/>
        <w:jc w:val="center"/>
        <w:rPr>
          <w:rFonts w:ascii="Helvetica" w:hAnsi="Helvetica" w:cs="Helvetica"/>
          <w:szCs w:val="22"/>
        </w:rPr>
      </w:pPr>
      <w:r w:rsidRPr="005F15DA">
        <w:rPr>
          <w:rFonts w:ascii="Helvetica" w:hAnsi="Helvetica" w:cs="Helvetica"/>
          <w:i/>
          <w:iCs/>
          <w:szCs w:val="22"/>
        </w:rPr>
        <w:t>erklärt:</w:t>
      </w: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ind w:left="270" w:hanging="270"/>
        <w:rPr>
          <w:rFonts w:ascii="Helvetica" w:hAnsi="Helvetica" w:cs="Helvetica"/>
          <w:szCs w:val="22"/>
        </w:rPr>
      </w:pPr>
      <w:r w:rsidRPr="005F15DA">
        <w:rPr>
          <w:rFonts w:ascii="Helvetica" w:hAnsi="Helvetica" w:cs="Helvetica"/>
          <w:szCs w:val="22"/>
        </w:rPr>
        <w:t>1.</w:t>
      </w:r>
      <w:r w:rsidRPr="005F15DA">
        <w:rPr>
          <w:rFonts w:ascii="Helvetica" w:hAnsi="Helvetica" w:cs="Helvetica"/>
          <w:szCs w:val="22"/>
        </w:rPr>
        <w:tab/>
        <w:t>Er ersucht das Kreisgrundbuchamt VIII Bern-Laupen um Errichtung eines Namen</w:t>
      </w:r>
      <w:r w:rsidR="00153904" w:rsidRPr="005F15DA">
        <w:rPr>
          <w:rFonts w:ascii="Helvetica" w:hAnsi="Helvetica" w:cs="Helvetica"/>
          <w:szCs w:val="22"/>
        </w:rPr>
        <w:t>-Papier-S</w:t>
      </w:r>
      <w:r w:rsidRPr="005F15DA">
        <w:rPr>
          <w:rFonts w:ascii="Helvetica" w:hAnsi="Helvetica" w:cs="Helvetica"/>
          <w:szCs w:val="22"/>
        </w:rPr>
        <w:t xml:space="preserve">chuldbriefs zu Gunsten der </w:t>
      </w:r>
      <w:r w:rsidRPr="005F15DA">
        <w:rPr>
          <w:rFonts w:ascii="Helvetica" w:hAnsi="Helvetica" w:cs="Helvetica"/>
          <w:b/>
          <w:bCs/>
          <w:szCs w:val="22"/>
        </w:rPr>
        <w:t>Berner Kantonalbank</w:t>
      </w:r>
      <w:r w:rsidRPr="005F15DA">
        <w:rPr>
          <w:rFonts w:ascii="Helvetica" w:hAnsi="Helvetica" w:cs="Helvetica"/>
          <w:szCs w:val="22"/>
        </w:rPr>
        <w:t xml:space="preserve"> von </w:t>
      </w:r>
    </w:p>
    <w:p w:rsidR="00AC041C" w:rsidRPr="005F15DA" w:rsidRDefault="00AC041C" w:rsidP="00AC041C">
      <w:pPr>
        <w:autoSpaceDE w:val="0"/>
        <w:autoSpaceDN w:val="0"/>
        <w:spacing w:after="240"/>
        <w:jc w:val="center"/>
        <w:rPr>
          <w:rFonts w:ascii="Helvetica" w:hAnsi="Helvetica"/>
        </w:rPr>
      </w:pPr>
      <w:r w:rsidRPr="005F15DA">
        <w:rPr>
          <w:rFonts w:ascii="Helvetica" w:hAnsi="Helvetica"/>
          <w:b/>
          <w:bCs/>
        </w:rPr>
        <w:t>CHF 50'000.-</w:t>
      </w:r>
    </w:p>
    <w:p w:rsidR="00AC041C" w:rsidRPr="005F15DA" w:rsidRDefault="00AC041C" w:rsidP="00AC041C">
      <w:pPr>
        <w:widowControl w:val="0"/>
        <w:autoSpaceDE w:val="0"/>
        <w:autoSpaceDN w:val="0"/>
        <w:adjustRightInd w:val="0"/>
        <w:spacing w:line="360" w:lineRule="auto"/>
        <w:ind w:left="270"/>
        <w:rPr>
          <w:rFonts w:ascii="Helvetica" w:hAnsi="Helvetica"/>
          <w:szCs w:val="22"/>
        </w:rPr>
      </w:pPr>
      <w:r w:rsidRPr="005F15DA">
        <w:rPr>
          <w:rFonts w:ascii="Helvetica" w:hAnsi="Helvetica"/>
          <w:szCs w:val="22"/>
        </w:rPr>
        <w:t>(fünfzigtausend Schweizer Franken),</w:t>
      </w:r>
    </w:p>
    <w:p w:rsidR="00AC041C" w:rsidRPr="005F15DA" w:rsidRDefault="00AC041C" w:rsidP="00AC041C">
      <w:pPr>
        <w:widowControl w:val="0"/>
        <w:autoSpaceDE w:val="0"/>
        <w:autoSpaceDN w:val="0"/>
        <w:adjustRightInd w:val="0"/>
        <w:spacing w:line="360" w:lineRule="auto"/>
        <w:ind w:left="270"/>
        <w:rPr>
          <w:rFonts w:ascii="Helvetica" w:hAnsi="Helvetica" w:cs="Helvetica"/>
          <w:szCs w:val="22"/>
        </w:rPr>
      </w:pPr>
      <w:r w:rsidRPr="005F15DA">
        <w:rPr>
          <w:rFonts w:ascii="Helvetica" w:hAnsi="Helvetica" w:cs="Helvetica"/>
          <w:szCs w:val="22"/>
        </w:rPr>
        <w:t xml:space="preserve">lastend im 3. Rang auf seinem Grundstück </w:t>
      </w:r>
      <w:r w:rsidRPr="005F15DA">
        <w:rPr>
          <w:rFonts w:ascii="Helvetica" w:hAnsi="Helvetica" w:cs="Helvetica"/>
          <w:b/>
          <w:bCs/>
          <w:szCs w:val="22"/>
        </w:rPr>
        <w:t>Laupen-Grundbuch-blatt Nr. 367.</w:t>
      </w:r>
    </w:p>
    <w:p w:rsidR="00AC041C" w:rsidRPr="005F15DA" w:rsidRDefault="00AC041C" w:rsidP="00AC041C">
      <w:pPr>
        <w:widowControl w:val="0"/>
        <w:autoSpaceDE w:val="0"/>
        <w:autoSpaceDN w:val="0"/>
        <w:adjustRightInd w:val="0"/>
        <w:spacing w:line="360" w:lineRule="auto"/>
        <w:ind w:left="270" w:hanging="270"/>
        <w:rPr>
          <w:rFonts w:ascii="Helvetica" w:hAnsi="Helvetica" w:cs="Helvetica"/>
          <w:szCs w:val="22"/>
        </w:rPr>
      </w:pPr>
      <w:r w:rsidRPr="005F15DA">
        <w:rPr>
          <w:rFonts w:ascii="Helvetica" w:hAnsi="Helvetica" w:cs="Helvetica"/>
          <w:szCs w:val="22"/>
        </w:rPr>
        <w:t>2.</w:t>
      </w:r>
      <w:r w:rsidRPr="005F15DA">
        <w:rPr>
          <w:rFonts w:ascii="Helvetica" w:hAnsi="Helvetica" w:cs="Helvetica"/>
          <w:szCs w:val="22"/>
        </w:rPr>
        <w:tab/>
        <w:t>In diesen Schuldbrief sind folgende Zins- und Abzahlungsbestimmungen aufzunehmen:</w:t>
      </w:r>
    </w:p>
    <w:p w:rsidR="00AC041C" w:rsidRPr="005F15DA" w:rsidRDefault="00AC041C" w:rsidP="00AC041C">
      <w:pPr>
        <w:widowControl w:val="0"/>
        <w:autoSpaceDE w:val="0"/>
        <w:autoSpaceDN w:val="0"/>
        <w:adjustRightInd w:val="0"/>
        <w:spacing w:line="360" w:lineRule="auto"/>
        <w:ind w:left="270"/>
        <w:rPr>
          <w:rFonts w:ascii="Helvetica" w:hAnsi="Helvetica" w:cs="Helvetica"/>
          <w:szCs w:val="22"/>
        </w:rPr>
      </w:pPr>
      <w:r w:rsidRPr="005F15DA">
        <w:rPr>
          <w:rFonts w:ascii="Helvetica" w:hAnsi="Helvetica" w:cs="Helvetica"/>
          <w:szCs w:val="22"/>
        </w:rPr>
        <w:t>„Die Schuld ist nach den vom Gläubiger jeweilen festgesetzten Bedingungen und Terminen zu verzinsen und abzubezahlen sowie auf eine gegenseitig jederzeit freistehende Künd</w:t>
      </w:r>
      <w:r w:rsidRPr="005F15DA">
        <w:rPr>
          <w:rFonts w:ascii="Helvetica" w:hAnsi="Helvetica" w:cs="Helvetica"/>
          <w:szCs w:val="22"/>
        </w:rPr>
        <w:t>i</w:t>
      </w:r>
      <w:r w:rsidRPr="005F15DA">
        <w:rPr>
          <w:rFonts w:ascii="Helvetica" w:hAnsi="Helvetica" w:cs="Helvetica"/>
          <w:szCs w:val="22"/>
        </w:rPr>
        <w:t>gung von drei Monaten zurückzubezahlen.“</w:t>
      </w:r>
    </w:p>
    <w:p w:rsidR="00AC041C" w:rsidRPr="005F15DA" w:rsidRDefault="00AC041C" w:rsidP="00AC041C">
      <w:pPr>
        <w:widowControl w:val="0"/>
        <w:autoSpaceDE w:val="0"/>
        <w:autoSpaceDN w:val="0"/>
        <w:adjustRightInd w:val="0"/>
        <w:spacing w:line="360" w:lineRule="auto"/>
        <w:ind w:left="270"/>
        <w:rPr>
          <w:rFonts w:ascii="Helvetica" w:hAnsi="Helvetica" w:cs="Helvetica"/>
          <w:szCs w:val="22"/>
        </w:rPr>
      </w:pPr>
      <w:r w:rsidRPr="005F15DA">
        <w:rPr>
          <w:rFonts w:ascii="Helvetica" w:hAnsi="Helvetica" w:cs="Helvetica"/>
          <w:szCs w:val="22"/>
        </w:rPr>
        <w:t>Im Grundbuch ist ein Höchstzinsfuss von 10 % einzutragen.</w:t>
      </w:r>
    </w:p>
    <w:p w:rsidR="00AC041C" w:rsidRPr="005F15DA" w:rsidRDefault="00AC041C" w:rsidP="00AC041C">
      <w:pPr>
        <w:widowControl w:val="0"/>
        <w:autoSpaceDE w:val="0"/>
        <w:autoSpaceDN w:val="0"/>
        <w:adjustRightInd w:val="0"/>
        <w:spacing w:line="360" w:lineRule="auto"/>
        <w:ind w:left="270" w:hanging="270"/>
        <w:rPr>
          <w:rFonts w:ascii="Helvetica" w:hAnsi="Helvetica" w:cs="Helvetica"/>
          <w:szCs w:val="22"/>
        </w:rPr>
      </w:pPr>
      <w:r w:rsidRPr="005F15DA">
        <w:rPr>
          <w:rFonts w:ascii="Helvetica" w:hAnsi="Helvetica" w:cs="Helvetica"/>
          <w:szCs w:val="22"/>
        </w:rPr>
        <w:t>3.</w:t>
      </w:r>
      <w:r w:rsidRPr="005F15DA">
        <w:rPr>
          <w:rFonts w:ascii="Helvetica" w:hAnsi="Helvetica" w:cs="Helvetica"/>
          <w:szCs w:val="22"/>
        </w:rPr>
        <w:tab/>
        <w:t>Der Notar hat den neu ausgestellten Schuldbrief der Gläubigerin auszuhändigen.</w:t>
      </w:r>
    </w:p>
    <w:p w:rsidR="00AC041C" w:rsidRPr="005F15DA" w:rsidRDefault="00AC041C" w:rsidP="00AC041C">
      <w:pPr>
        <w:widowControl w:val="0"/>
        <w:autoSpaceDE w:val="0"/>
        <w:autoSpaceDN w:val="0"/>
        <w:adjustRightInd w:val="0"/>
        <w:spacing w:line="360" w:lineRule="auto"/>
        <w:ind w:left="270" w:hanging="270"/>
        <w:rPr>
          <w:rFonts w:ascii="Helvetica" w:hAnsi="Helvetica" w:cs="Helvetica"/>
          <w:szCs w:val="22"/>
        </w:rPr>
      </w:pPr>
      <w:r w:rsidRPr="005F15DA">
        <w:rPr>
          <w:rFonts w:ascii="Helvetica" w:hAnsi="Helvetica" w:cs="Helvetica"/>
          <w:szCs w:val="22"/>
        </w:rPr>
        <w:t>4.</w:t>
      </w:r>
      <w:r w:rsidRPr="005F15DA">
        <w:rPr>
          <w:rFonts w:ascii="Helvetica" w:hAnsi="Helvetica" w:cs="Helvetica"/>
          <w:szCs w:val="22"/>
        </w:rPr>
        <w:tab/>
        <w:t xml:space="preserve">Diese Urschrift ist für das Kreisgrundbuchamt VIII Bern-Laupen </w:t>
      </w:r>
      <w:r w:rsidRPr="005F15DA">
        <w:rPr>
          <w:rFonts w:ascii="Helvetica" w:hAnsi="Helvetica" w:cs="Helvetica"/>
          <w:i/>
          <w:iCs/>
          <w:szCs w:val="22"/>
        </w:rPr>
        <w:t>einfach</w:t>
      </w:r>
      <w:r w:rsidRPr="005F15DA">
        <w:rPr>
          <w:rFonts w:ascii="Helvetica" w:hAnsi="Helvetica" w:cs="Helvetica"/>
          <w:szCs w:val="22"/>
        </w:rPr>
        <w:t xml:space="preserve"> auszufertigen.</w:t>
      </w: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Cs w:val="22"/>
        </w:rPr>
      </w:pPr>
      <w:r w:rsidRPr="005F15DA">
        <w:rPr>
          <w:rFonts w:ascii="Helvetica" w:hAnsi="Helvetica" w:cs="Helvetica"/>
          <w:i/>
          <w:iCs/>
          <w:szCs w:val="22"/>
        </w:rPr>
        <w:t>Schlussverbal für Willenserklärungen</w:t>
      </w: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autoSpaceDE w:val="0"/>
        <w:autoSpaceDN w:val="0"/>
        <w:jc w:val="center"/>
        <w:rPr>
          <w:rFonts w:ascii="Helvetica" w:hAnsi="Helvetica" w:cs="Helvetica"/>
          <w:szCs w:val="22"/>
        </w:rPr>
      </w:pPr>
      <w:r w:rsidRPr="005F15DA">
        <w:rPr>
          <w:rFonts w:ascii="Helvetica" w:hAnsi="Helvetica" w:cs="Helvetica"/>
          <w:i/>
          <w:iCs/>
          <w:szCs w:val="22"/>
        </w:rPr>
        <w:t>12. Januar 2006</w:t>
      </w: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tabs>
          <w:tab w:val="left" w:pos="4536"/>
        </w:tabs>
        <w:autoSpaceDE w:val="0"/>
        <w:autoSpaceDN w:val="0"/>
        <w:adjustRightInd w:val="0"/>
        <w:spacing w:line="360" w:lineRule="auto"/>
        <w:rPr>
          <w:rFonts w:ascii="Helvetica" w:hAnsi="Helvetica" w:cs="Helvetica"/>
          <w:szCs w:val="22"/>
        </w:rPr>
      </w:pPr>
      <w:r w:rsidRPr="005F15DA">
        <w:rPr>
          <w:rFonts w:ascii="Helvetica" w:hAnsi="Helvetica" w:cs="Helvetica"/>
          <w:szCs w:val="22"/>
        </w:rPr>
        <w:t xml:space="preserve">Der Grundeigentümer: </w:t>
      </w:r>
      <w:r w:rsidRPr="005F15DA">
        <w:rPr>
          <w:rFonts w:ascii="Helvetica" w:hAnsi="Helvetica" w:cs="Helvetica"/>
          <w:szCs w:val="22"/>
        </w:rPr>
        <w:tab/>
        <w:t>Der Notar:</w:t>
      </w: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pPr>
      <w:r w:rsidRPr="005F15DA">
        <w:rPr>
          <w:rFonts w:ascii="Helvetica" w:hAnsi="Helvetica" w:cs="Helvetica"/>
          <w:szCs w:val="22"/>
        </w:rPr>
        <w:t>MUSA Nr. 663</w:t>
      </w:r>
    </w:p>
    <w:p w:rsidR="0021446D" w:rsidRPr="005F15DA" w:rsidRDefault="0021446D" w:rsidP="0021446D">
      <w:pPr>
        <w:rPr>
          <w:szCs w:val="22"/>
        </w:rPr>
      </w:pPr>
    </w:p>
    <w:p w:rsidR="0021446D" w:rsidRPr="005F15DA" w:rsidRDefault="0021446D" w:rsidP="0021446D">
      <w:pPr>
        <w:rPr>
          <w:szCs w:val="22"/>
        </w:rPr>
      </w:pPr>
    </w:p>
    <w:p w:rsidR="0021446D" w:rsidRPr="005F15DA" w:rsidRDefault="0021446D" w:rsidP="0021446D">
      <w:pPr>
        <w:spacing w:after="200"/>
        <w:rPr>
          <w:szCs w:val="22"/>
        </w:rPr>
      </w:pPr>
      <w:r w:rsidRPr="005F15DA">
        <w:rPr>
          <w:szCs w:val="22"/>
        </w:rPr>
        <w:br w:type="page"/>
      </w:r>
    </w:p>
    <w:p w:rsidR="00AC041C" w:rsidRPr="005F15DA" w:rsidRDefault="00AC041C" w:rsidP="00AC041C">
      <w:pPr>
        <w:pStyle w:val="berschrift2"/>
        <w:rPr>
          <w:sz w:val="12"/>
          <w:szCs w:val="12"/>
        </w:rPr>
      </w:pPr>
      <w:bookmarkStart w:id="204" w:name="_Toc432175724"/>
      <w:r w:rsidRPr="005F15DA">
        <w:lastRenderedPageBreak/>
        <w:t>VI. Vereinigung von Liegenschaften</w:t>
      </w:r>
      <w:bookmarkEnd w:id="204"/>
    </w:p>
    <w:p w:rsidR="00AC041C" w:rsidRPr="005F15DA" w:rsidRDefault="00AC041C" w:rsidP="00AC041C">
      <w:pPr>
        <w:widowControl w:val="0"/>
        <w:autoSpaceDE w:val="0"/>
        <w:autoSpaceDN w:val="0"/>
        <w:adjustRightInd w:val="0"/>
        <w:rPr>
          <w:rFonts w:ascii="Helvetica" w:hAnsi="Helvetica" w:cs="Helvetica"/>
          <w:b/>
          <w:bCs/>
          <w:sz w:val="12"/>
          <w:szCs w:val="12"/>
        </w:rPr>
      </w:pPr>
    </w:p>
    <w:p w:rsidR="00AC041C" w:rsidRPr="005F15DA" w:rsidRDefault="00AC041C" w:rsidP="00AC041C">
      <w:pPr>
        <w:widowControl w:val="0"/>
        <w:autoSpaceDE w:val="0"/>
        <w:autoSpaceDN w:val="0"/>
        <w:adjustRightInd w:val="0"/>
        <w:spacing w:line="360" w:lineRule="auto"/>
        <w:rPr>
          <w:rFonts w:ascii="Helvetica" w:hAnsi="Helvetica" w:cs="Helvetica"/>
          <w:szCs w:val="22"/>
        </w:rPr>
      </w:pPr>
      <w:proofErr w:type="gramStart"/>
      <w:r w:rsidRPr="005F15DA">
        <w:rPr>
          <w:rFonts w:ascii="Helvetica" w:hAnsi="Helvetica" w:cs="Helvetica"/>
          <w:szCs w:val="22"/>
        </w:rPr>
        <w:t>A.B.,</w:t>
      </w:r>
      <w:proofErr w:type="gramEnd"/>
      <w:r w:rsidRPr="005F15DA">
        <w:rPr>
          <w:rFonts w:ascii="Helvetica" w:hAnsi="Helvetica" w:cs="Helvetica"/>
          <w:szCs w:val="22"/>
        </w:rPr>
        <w:t xml:space="preserve"> Notar des Kantons Bern, eingetragen im Notariatsregister des Kantons Bern, mit Büro in Thun,</w:t>
      </w: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autoSpaceDE w:val="0"/>
        <w:autoSpaceDN w:val="0"/>
        <w:jc w:val="center"/>
        <w:rPr>
          <w:rFonts w:ascii="Helvetica" w:hAnsi="Helvetica" w:cs="Helvetica"/>
          <w:szCs w:val="22"/>
        </w:rPr>
      </w:pPr>
      <w:r w:rsidRPr="005F15DA">
        <w:rPr>
          <w:rFonts w:ascii="Helvetica" w:hAnsi="Helvetica" w:cs="Helvetica"/>
          <w:i/>
          <w:iCs/>
          <w:szCs w:val="22"/>
        </w:rPr>
        <w:t>beurkundet:</w:t>
      </w: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Herr</w:t>
      </w: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autoSpaceDE w:val="0"/>
        <w:autoSpaceDN w:val="0"/>
        <w:jc w:val="center"/>
        <w:rPr>
          <w:rFonts w:ascii="Helvetica" w:hAnsi="Helvetica" w:cs="Helvetica"/>
          <w:szCs w:val="22"/>
        </w:rPr>
      </w:pPr>
      <w:r w:rsidRPr="005F15DA">
        <w:rPr>
          <w:rFonts w:ascii="Helvetica" w:hAnsi="Helvetica" w:cs="Helvetica"/>
          <w:b/>
          <w:bCs/>
          <w:szCs w:val="22"/>
        </w:rPr>
        <w:t>Hans Christen</w:t>
      </w: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 xml:space="preserve">17.4.1947, </w:t>
      </w:r>
      <w:proofErr w:type="gramStart"/>
      <w:r w:rsidRPr="005F15DA">
        <w:rPr>
          <w:rFonts w:ascii="Helvetica" w:hAnsi="Helvetica" w:cs="Helvetica"/>
          <w:szCs w:val="22"/>
        </w:rPr>
        <w:t xml:space="preserve">verheiratet, von Oberdiessbach, Kaufmann, </w:t>
      </w:r>
      <w:proofErr w:type="spellStart"/>
      <w:r w:rsidRPr="005F15DA">
        <w:rPr>
          <w:rFonts w:ascii="Helvetica" w:hAnsi="Helvetica" w:cs="Helvetica"/>
          <w:szCs w:val="22"/>
        </w:rPr>
        <w:t>Klosestrasse</w:t>
      </w:r>
      <w:proofErr w:type="spellEnd"/>
      <w:r w:rsidRPr="005F15DA">
        <w:rPr>
          <w:rFonts w:ascii="Helvetica" w:hAnsi="Helvetica" w:cs="Helvetica"/>
          <w:szCs w:val="22"/>
        </w:rPr>
        <w:t xml:space="preserve"> 102, 3600 Thun</w:t>
      </w:r>
      <w:proofErr w:type="gramEnd"/>
      <w:r w:rsidRPr="005F15DA">
        <w:rPr>
          <w:rFonts w:ascii="Helvetica" w:hAnsi="Helvetica" w:cs="Helvetica"/>
          <w:szCs w:val="22"/>
        </w:rPr>
        <w:t>,</w:t>
      </w: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autoSpaceDE w:val="0"/>
        <w:autoSpaceDN w:val="0"/>
        <w:jc w:val="center"/>
        <w:rPr>
          <w:rFonts w:ascii="Helvetica" w:hAnsi="Helvetica" w:cs="Helvetica"/>
          <w:szCs w:val="22"/>
        </w:rPr>
      </w:pPr>
      <w:r w:rsidRPr="005F15DA">
        <w:rPr>
          <w:rFonts w:ascii="Helvetica" w:hAnsi="Helvetica" w:cs="Helvetica"/>
          <w:i/>
          <w:iCs/>
          <w:szCs w:val="22"/>
        </w:rPr>
        <w:t>erklärt:</w:t>
      </w: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b/>
          <w:bCs/>
          <w:szCs w:val="22"/>
        </w:rPr>
      </w:pPr>
      <w:r w:rsidRPr="005F15DA">
        <w:rPr>
          <w:rFonts w:ascii="Helvetica" w:hAnsi="Helvetica" w:cs="Helvetica"/>
          <w:b/>
          <w:bCs/>
          <w:szCs w:val="22"/>
        </w:rPr>
        <w:t>I. Beschreibung der Liegenschaften</w:t>
      </w:r>
    </w:p>
    <w:p w:rsidR="00AC041C" w:rsidRPr="005F15DA" w:rsidRDefault="00AC041C" w:rsidP="00AC041C">
      <w:pPr>
        <w:widowControl w:val="0"/>
        <w:autoSpaceDE w:val="0"/>
        <w:autoSpaceDN w:val="0"/>
        <w:adjustRightInd w:val="0"/>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Herr Hans Christen ist Eigentümer folgender Liegenschaften in der Gemeinde Thun:</w:t>
      </w: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b/>
          <w:bCs/>
          <w:szCs w:val="22"/>
        </w:rPr>
      </w:pPr>
      <w:r w:rsidRPr="005F15DA">
        <w:rPr>
          <w:rFonts w:ascii="Helvetica" w:hAnsi="Helvetica" w:cs="Helvetica"/>
          <w:b/>
          <w:bCs/>
          <w:szCs w:val="22"/>
        </w:rPr>
        <w:t>1. Thun-Grundbuchblatt Nr. 17</w:t>
      </w:r>
    </w:p>
    <w:p w:rsidR="00AC041C" w:rsidRPr="005F15DA" w:rsidRDefault="00AC041C" w:rsidP="00AC041C">
      <w:pPr>
        <w:widowControl w:val="0"/>
        <w:autoSpaceDE w:val="0"/>
        <w:autoSpaceDN w:val="0"/>
        <w:adjustRightInd w:val="0"/>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u w:val="single"/>
        </w:rPr>
        <w:t>Gebäude Nr. 102</w:t>
      </w:r>
      <w:r w:rsidRPr="005F15DA">
        <w:rPr>
          <w:rFonts w:ascii="Helvetica" w:hAnsi="Helvetica" w:cs="Helvetica"/>
          <w:szCs w:val="22"/>
        </w:rPr>
        <w:t xml:space="preserve"> an der </w:t>
      </w:r>
      <w:proofErr w:type="spellStart"/>
      <w:r w:rsidRPr="005F15DA">
        <w:rPr>
          <w:rFonts w:ascii="Helvetica" w:hAnsi="Helvetica" w:cs="Helvetica"/>
          <w:szCs w:val="22"/>
        </w:rPr>
        <w:t>Klosestrasse</w:t>
      </w:r>
      <w:proofErr w:type="spellEnd"/>
      <w:r w:rsidRPr="005F15DA">
        <w:rPr>
          <w:rFonts w:ascii="Helvetica" w:hAnsi="Helvetica" w:cs="Helvetica"/>
          <w:szCs w:val="22"/>
        </w:rPr>
        <w:br/>
      </w:r>
      <w:r w:rsidRPr="005F15DA">
        <w:rPr>
          <w:rFonts w:ascii="Helvetica" w:hAnsi="Helvetica" w:cs="Helvetica"/>
          <w:szCs w:val="22"/>
          <w:u w:val="single"/>
        </w:rPr>
        <w:t>4,16 Aren</w:t>
      </w:r>
      <w:r w:rsidRPr="005F15DA">
        <w:rPr>
          <w:rFonts w:ascii="Helvetica" w:hAnsi="Helvetica" w:cs="Helvetica"/>
          <w:szCs w:val="22"/>
        </w:rPr>
        <w:t xml:space="preserve"> Hausplatz, Umschwung</w:t>
      </w:r>
    </w:p>
    <w:p w:rsidR="00AC041C" w:rsidRPr="005F15DA" w:rsidRDefault="00AC041C" w:rsidP="00AC041C">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u w:val="single"/>
        </w:rPr>
        <w:t>Erwerbtitel</w:t>
      </w:r>
      <w:r w:rsidRPr="005F15DA">
        <w:rPr>
          <w:rFonts w:ascii="Helvetica" w:hAnsi="Helvetica" w:cs="Helvetica"/>
          <w:szCs w:val="22"/>
        </w:rPr>
        <w:br/>
        <w:t>Kauf, eingetragen am 17.4.1981 Beleg 3457</w:t>
      </w:r>
    </w:p>
    <w:p w:rsidR="00AC041C" w:rsidRPr="005F15DA" w:rsidRDefault="00AC041C" w:rsidP="00AC041C">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u w:val="single"/>
        </w:rPr>
        <w:t>Dienstbarkeiten</w:t>
      </w:r>
    </w:p>
    <w:p w:rsidR="00AC041C" w:rsidRPr="005F15DA" w:rsidRDefault="00AC041C" w:rsidP="00AC041C">
      <w:pPr>
        <w:widowControl w:val="0"/>
        <w:autoSpaceDE w:val="0"/>
        <w:autoSpaceDN w:val="0"/>
        <w:adjustRightInd w:val="0"/>
        <w:rPr>
          <w:rFonts w:ascii="Helvetica" w:hAnsi="Helvetica" w:cs="Helvetica"/>
          <w:sz w:val="2"/>
          <w:szCs w:val="2"/>
        </w:rPr>
      </w:pPr>
      <w:r w:rsidRPr="005F15DA">
        <w:rPr>
          <w:rFonts w:ascii="Helvetica" w:hAnsi="Helvetica" w:cs="Helvetica"/>
          <w:sz w:val="2"/>
          <w:szCs w:val="2"/>
        </w:rPr>
        <w:br/>
      </w:r>
    </w:p>
    <w:tbl>
      <w:tblPr>
        <w:tblW w:w="0" w:type="auto"/>
        <w:tblLayout w:type="fixed"/>
        <w:tblCellMar>
          <w:left w:w="0" w:type="dxa"/>
          <w:right w:w="0" w:type="dxa"/>
        </w:tblCellMar>
        <w:tblLook w:val="0000" w:firstRow="0" w:lastRow="0" w:firstColumn="0" w:lastColumn="0" w:noHBand="0" w:noVBand="0"/>
      </w:tblPr>
      <w:tblGrid>
        <w:gridCol w:w="1280"/>
        <w:gridCol w:w="5720"/>
      </w:tblGrid>
      <w:tr w:rsidR="00AC041C" w:rsidRPr="005F15DA" w:rsidTr="00B51338">
        <w:tc>
          <w:tcPr>
            <w:tcW w:w="1280" w:type="dxa"/>
            <w:tcBorders>
              <w:top w:val="nil"/>
              <w:left w:val="nil"/>
              <w:bottom w:val="nil"/>
              <w:right w:val="nil"/>
            </w:tcBorders>
          </w:tcPr>
          <w:p w:rsidR="00AC041C" w:rsidRPr="005F15DA" w:rsidRDefault="00AC041C" w:rsidP="00B51338">
            <w:pPr>
              <w:widowControl w:val="0"/>
              <w:autoSpaceDE w:val="0"/>
              <w:autoSpaceDN w:val="0"/>
              <w:adjustRightInd w:val="0"/>
              <w:rPr>
                <w:rFonts w:ascii="Helvetica" w:hAnsi="Helvetica" w:cs="Helvetica"/>
                <w:szCs w:val="22"/>
              </w:rPr>
            </w:pPr>
            <w:r w:rsidRPr="005F15DA">
              <w:rPr>
                <w:rFonts w:ascii="Helvetica" w:hAnsi="Helvetica" w:cs="Helvetica"/>
                <w:szCs w:val="22"/>
                <w:u w:val="single"/>
              </w:rPr>
              <w:t>Rechte:</w:t>
            </w:r>
            <w:r w:rsidRPr="005F15DA">
              <w:rPr>
                <w:rFonts w:ascii="Helvetica" w:hAnsi="Helvetica" w:cs="Helvetica"/>
                <w:szCs w:val="22"/>
              </w:rPr>
              <w:t xml:space="preserve">  </w:t>
            </w:r>
          </w:p>
        </w:tc>
        <w:tc>
          <w:tcPr>
            <w:tcW w:w="5720" w:type="dxa"/>
            <w:tcBorders>
              <w:top w:val="nil"/>
              <w:left w:val="nil"/>
              <w:bottom w:val="nil"/>
              <w:right w:val="nil"/>
            </w:tcBorders>
          </w:tcPr>
          <w:p w:rsidR="00AC041C" w:rsidRPr="005F15DA" w:rsidRDefault="00AC041C" w:rsidP="00B51338">
            <w:pPr>
              <w:widowControl w:val="0"/>
              <w:autoSpaceDE w:val="0"/>
              <w:autoSpaceDN w:val="0"/>
              <w:adjustRightInd w:val="0"/>
              <w:rPr>
                <w:rFonts w:ascii="Helvetica" w:hAnsi="Helvetica" w:cs="Helvetica"/>
                <w:szCs w:val="22"/>
              </w:rPr>
            </w:pPr>
            <w:r w:rsidRPr="005F15DA">
              <w:rPr>
                <w:rFonts w:ascii="Helvetica" w:hAnsi="Helvetica" w:cs="Helvetica"/>
                <w:szCs w:val="22"/>
              </w:rPr>
              <w:t xml:space="preserve">a) Näherbaurecht zL 45 </w:t>
            </w:r>
          </w:p>
        </w:tc>
      </w:tr>
      <w:tr w:rsidR="00AC041C" w:rsidRPr="005F15DA" w:rsidTr="00B51338">
        <w:tc>
          <w:tcPr>
            <w:tcW w:w="1280" w:type="dxa"/>
            <w:tcBorders>
              <w:top w:val="nil"/>
              <w:left w:val="nil"/>
              <w:bottom w:val="nil"/>
              <w:right w:val="nil"/>
            </w:tcBorders>
          </w:tcPr>
          <w:p w:rsidR="00AC041C" w:rsidRPr="005F15DA" w:rsidRDefault="00AC041C" w:rsidP="00B51338">
            <w:pPr>
              <w:widowControl w:val="0"/>
              <w:autoSpaceDE w:val="0"/>
              <w:autoSpaceDN w:val="0"/>
              <w:adjustRightInd w:val="0"/>
              <w:rPr>
                <w:rFonts w:ascii="Helvetica" w:hAnsi="Helvetica" w:cs="Helvetica"/>
                <w:szCs w:val="22"/>
              </w:rPr>
            </w:pPr>
            <w:r w:rsidRPr="005F15DA">
              <w:rPr>
                <w:rFonts w:ascii="Helvetica" w:hAnsi="Helvetica" w:cs="Helvetica"/>
                <w:szCs w:val="22"/>
              </w:rPr>
              <w:t xml:space="preserve"> </w:t>
            </w:r>
          </w:p>
        </w:tc>
        <w:tc>
          <w:tcPr>
            <w:tcW w:w="5720" w:type="dxa"/>
            <w:tcBorders>
              <w:top w:val="nil"/>
              <w:left w:val="nil"/>
              <w:bottom w:val="nil"/>
              <w:right w:val="nil"/>
            </w:tcBorders>
          </w:tcPr>
          <w:p w:rsidR="00AC041C" w:rsidRPr="005F15DA" w:rsidRDefault="00AC041C" w:rsidP="00B51338">
            <w:pPr>
              <w:widowControl w:val="0"/>
              <w:autoSpaceDE w:val="0"/>
              <w:autoSpaceDN w:val="0"/>
              <w:adjustRightInd w:val="0"/>
              <w:rPr>
                <w:rFonts w:ascii="Helvetica" w:hAnsi="Helvetica" w:cs="Helvetica"/>
                <w:szCs w:val="22"/>
              </w:rPr>
            </w:pPr>
            <w:r w:rsidRPr="005F15DA">
              <w:rPr>
                <w:rFonts w:ascii="Helvetica" w:hAnsi="Helvetica" w:cs="Helvetica"/>
                <w:szCs w:val="22"/>
              </w:rPr>
              <w:t xml:space="preserve">b) Gewerbebeschränkung zL 45, 100 </w:t>
            </w:r>
          </w:p>
        </w:tc>
      </w:tr>
      <w:tr w:rsidR="00AC041C" w:rsidRPr="005F15DA" w:rsidTr="00B51338">
        <w:tc>
          <w:tcPr>
            <w:tcW w:w="1280" w:type="dxa"/>
            <w:tcBorders>
              <w:top w:val="nil"/>
              <w:left w:val="nil"/>
              <w:bottom w:val="nil"/>
              <w:right w:val="nil"/>
            </w:tcBorders>
          </w:tcPr>
          <w:p w:rsidR="00AC041C" w:rsidRPr="005F15DA" w:rsidRDefault="00AC041C" w:rsidP="00B51338">
            <w:pPr>
              <w:widowControl w:val="0"/>
              <w:autoSpaceDE w:val="0"/>
              <w:autoSpaceDN w:val="0"/>
              <w:adjustRightInd w:val="0"/>
              <w:rPr>
                <w:rFonts w:ascii="Helvetica" w:hAnsi="Helvetica" w:cs="Helvetica"/>
                <w:szCs w:val="22"/>
              </w:rPr>
            </w:pPr>
            <w:r w:rsidRPr="005F15DA">
              <w:rPr>
                <w:rFonts w:ascii="Helvetica" w:hAnsi="Helvetica" w:cs="Helvetica"/>
                <w:szCs w:val="22"/>
              </w:rPr>
              <w:t xml:space="preserve"> </w:t>
            </w:r>
          </w:p>
        </w:tc>
        <w:tc>
          <w:tcPr>
            <w:tcW w:w="5720" w:type="dxa"/>
            <w:tcBorders>
              <w:top w:val="nil"/>
              <w:left w:val="nil"/>
              <w:bottom w:val="nil"/>
              <w:right w:val="nil"/>
            </w:tcBorders>
          </w:tcPr>
          <w:p w:rsidR="00AC041C" w:rsidRPr="005F15DA" w:rsidRDefault="00AC041C" w:rsidP="00B51338">
            <w:pPr>
              <w:widowControl w:val="0"/>
              <w:autoSpaceDE w:val="0"/>
              <w:autoSpaceDN w:val="0"/>
              <w:adjustRightInd w:val="0"/>
              <w:rPr>
                <w:rFonts w:ascii="Helvetica" w:hAnsi="Helvetica" w:cs="Helvetica"/>
                <w:szCs w:val="22"/>
              </w:rPr>
            </w:pPr>
            <w:r w:rsidRPr="005F15DA">
              <w:rPr>
                <w:rFonts w:ascii="Helvetica" w:hAnsi="Helvetica" w:cs="Helvetica"/>
                <w:szCs w:val="22"/>
              </w:rPr>
              <w:t xml:space="preserve">d) Wegrecht zL 433 </w:t>
            </w:r>
          </w:p>
        </w:tc>
      </w:tr>
      <w:tr w:rsidR="00AC041C" w:rsidRPr="005F15DA" w:rsidTr="00B51338">
        <w:tc>
          <w:tcPr>
            <w:tcW w:w="1280" w:type="dxa"/>
            <w:tcBorders>
              <w:top w:val="nil"/>
              <w:left w:val="nil"/>
              <w:bottom w:val="nil"/>
              <w:right w:val="nil"/>
            </w:tcBorders>
          </w:tcPr>
          <w:p w:rsidR="00AC041C" w:rsidRPr="005F15DA" w:rsidRDefault="00AC041C" w:rsidP="00B51338">
            <w:pPr>
              <w:widowControl w:val="0"/>
              <w:autoSpaceDE w:val="0"/>
              <w:autoSpaceDN w:val="0"/>
              <w:adjustRightInd w:val="0"/>
              <w:rPr>
                <w:rFonts w:ascii="Helvetica" w:hAnsi="Helvetica" w:cs="Helvetica"/>
                <w:szCs w:val="22"/>
              </w:rPr>
            </w:pPr>
            <w:r w:rsidRPr="005F15DA">
              <w:rPr>
                <w:rFonts w:ascii="Helvetica" w:hAnsi="Helvetica" w:cs="Helvetica"/>
                <w:szCs w:val="22"/>
                <w:u w:val="single"/>
              </w:rPr>
              <w:t>Lasten:</w:t>
            </w:r>
            <w:r w:rsidRPr="005F15DA">
              <w:rPr>
                <w:rFonts w:ascii="Helvetica" w:hAnsi="Helvetica" w:cs="Helvetica"/>
                <w:szCs w:val="22"/>
              </w:rPr>
              <w:t xml:space="preserve"> </w:t>
            </w:r>
          </w:p>
        </w:tc>
        <w:tc>
          <w:tcPr>
            <w:tcW w:w="5720" w:type="dxa"/>
            <w:tcBorders>
              <w:top w:val="nil"/>
              <w:left w:val="nil"/>
              <w:bottom w:val="nil"/>
              <w:right w:val="nil"/>
            </w:tcBorders>
          </w:tcPr>
          <w:p w:rsidR="00AC041C" w:rsidRPr="005F15DA" w:rsidRDefault="00AC041C" w:rsidP="00B51338">
            <w:pPr>
              <w:widowControl w:val="0"/>
              <w:autoSpaceDE w:val="0"/>
              <w:autoSpaceDN w:val="0"/>
              <w:adjustRightInd w:val="0"/>
              <w:rPr>
                <w:rFonts w:ascii="Helvetica" w:hAnsi="Helvetica" w:cs="Helvetica"/>
                <w:szCs w:val="22"/>
              </w:rPr>
            </w:pPr>
            <w:r w:rsidRPr="005F15DA">
              <w:rPr>
                <w:rFonts w:ascii="Helvetica" w:hAnsi="Helvetica" w:cs="Helvetica"/>
                <w:szCs w:val="22"/>
              </w:rPr>
              <w:t xml:space="preserve">c) Gewerbebeschränkung zG 45, 100 </w:t>
            </w:r>
          </w:p>
        </w:tc>
      </w:tr>
      <w:tr w:rsidR="00AC041C" w:rsidRPr="005F15DA" w:rsidTr="00B51338">
        <w:tc>
          <w:tcPr>
            <w:tcW w:w="1280" w:type="dxa"/>
            <w:tcBorders>
              <w:top w:val="nil"/>
              <w:left w:val="nil"/>
              <w:bottom w:val="nil"/>
              <w:right w:val="nil"/>
            </w:tcBorders>
          </w:tcPr>
          <w:p w:rsidR="00AC041C" w:rsidRPr="005F15DA" w:rsidRDefault="00AC041C" w:rsidP="00B51338">
            <w:pPr>
              <w:widowControl w:val="0"/>
              <w:autoSpaceDE w:val="0"/>
              <w:autoSpaceDN w:val="0"/>
              <w:adjustRightInd w:val="0"/>
              <w:rPr>
                <w:rFonts w:ascii="Helvetica" w:hAnsi="Helvetica" w:cs="Helvetica"/>
                <w:szCs w:val="22"/>
              </w:rPr>
            </w:pPr>
            <w:r w:rsidRPr="005F15DA">
              <w:rPr>
                <w:rFonts w:ascii="Helvetica" w:hAnsi="Helvetica" w:cs="Helvetica"/>
                <w:szCs w:val="22"/>
              </w:rPr>
              <w:t xml:space="preserve"> </w:t>
            </w:r>
          </w:p>
        </w:tc>
        <w:tc>
          <w:tcPr>
            <w:tcW w:w="5720" w:type="dxa"/>
            <w:tcBorders>
              <w:top w:val="nil"/>
              <w:left w:val="nil"/>
              <w:bottom w:val="nil"/>
              <w:right w:val="nil"/>
            </w:tcBorders>
          </w:tcPr>
          <w:p w:rsidR="00AC041C" w:rsidRPr="005F15DA" w:rsidRDefault="00AC041C" w:rsidP="00B51338">
            <w:pPr>
              <w:widowControl w:val="0"/>
              <w:autoSpaceDE w:val="0"/>
              <w:autoSpaceDN w:val="0"/>
              <w:adjustRightInd w:val="0"/>
              <w:rPr>
                <w:rFonts w:ascii="Helvetica" w:hAnsi="Helvetica" w:cs="Helvetica"/>
                <w:szCs w:val="22"/>
              </w:rPr>
            </w:pPr>
            <w:r w:rsidRPr="005F15DA">
              <w:rPr>
                <w:rFonts w:ascii="Helvetica" w:hAnsi="Helvetica" w:cs="Helvetica"/>
                <w:szCs w:val="22"/>
              </w:rPr>
              <w:t xml:space="preserve">f) Nutzniessung zG Johannes Christen-Steinmann </w:t>
            </w:r>
          </w:p>
        </w:tc>
      </w:tr>
    </w:tbl>
    <w:p w:rsidR="00AC041C" w:rsidRPr="005F15DA" w:rsidRDefault="00AC041C" w:rsidP="00AC041C">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u w:val="single"/>
        </w:rPr>
        <w:t>Grundpfandrechte</w:t>
      </w:r>
    </w:p>
    <w:tbl>
      <w:tblPr>
        <w:tblW w:w="0" w:type="auto"/>
        <w:tblLayout w:type="fixed"/>
        <w:tblCellMar>
          <w:left w:w="0" w:type="dxa"/>
          <w:right w:w="0" w:type="dxa"/>
        </w:tblCellMar>
        <w:tblLook w:val="0000" w:firstRow="0" w:lastRow="0" w:firstColumn="0" w:lastColumn="0" w:noHBand="0" w:noVBand="0"/>
      </w:tblPr>
      <w:tblGrid>
        <w:gridCol w:w="832"/>
        <w:gridCol w:w="1344"/>
        <w:gridCol w:w="4824"/>
      </w:tblGrid>
      <w:tr w:rsidR="00AC041C" w:rsidRPr="005F15DA" w:rsidTr="00B51338">
        <w:tc>
          <w:tcPr>
            <w:tcW w:w="832" w:type="dxa"/>
            <w:tcBorders>
              <w:top w:val="nil"/>
              <w:left w:val="nil"/>
              <w:bottom w:val="nil"/>
              <w:right w:val="nil"/>
            </w:tcBorders>
          </w:tcPr>
          <w:p w:rsidR="00AC041C" w:rsidRPr="005F15DA" w:rsidRDefault="00AC041C" w:rsidP="00B51338">
            <w:pPr>
              <w:widowControl w:val="0"/>
              <w:autoSpaceDE w:val="0"/>
              <w:autoSpaceDN w:val="0"/>
              <w:adjustRightInd w:val="0"/>
              <w:rPr>
                <w:rFonts w:ascii="Helvetica" w:hAnsi="Helvetica" w:cs="Helvetica"/>
                <w:szCs w:val="22"/>
              </w:rPr>
            </w:pPr>
            <w:r w:rsidRPr="005F15DA">
              <w:rPr>
                <w:rFonts w:ascii="Helvetica" w:hAnsi="Helvetica" w:cs="Helvetica"/>
                <w:szCs w:val="22"/>
              </w:rPr>
              <w:t xml:space="preserve">I. Rang </w:t>
            </w:r>
          </w:p>
        </w:tc>
        <w:tc>
          <w:tcPr>
            <w:tcW w:w="1344" w:type="dxa"/>
            <w:tcBorders>
              <w:top w:val="nil"/>
              <w:left w:val="nil"/>
              <w:bottom w:val="nil"/>
              <w:right w:val="nil"/>
            </w:tcBorders>
          </w:tcPr>
          <w:p w:rsidR="00AC041C" w:rsidRPr="005F15DA" w:rsidRDefault="00AC041C" w:rsidP="00B51338">
            <w:pPr>
              <w:widowControl w:val="0"/>
              <w:autoSpaceDE w:val="0"/>
              <w:autoSpaceDN w:val="0"/>
              <w:adjustRightInd w:val="0"/>
              <w:jc w:val="right"/>
              <w:rPr>
                <w:rFonts w:ascii="Helvetica" w:hAnsi="Helvetica" w:cs="Helvetica"/>
                <w:szCs w:val="22"/>
              </w:rPr>
            </w:pPr>
            <w:r w:rsidRPr="005F15DA">
              <w:rPr>
                <w:rFonts w:ascii="Helvetica" w:hAnsi="Helvetica" w:cs="Helvetica"/>
                <w:szCs w:val="22"/>
              </w:rPr>
              <w:t xml:space="preserve">Fr. 150 000.- </w:t>
            </w:r>
          </w:p>
        </w:tc>
        <w:tc>
          <w:tcPr>
            <w:tcW w:w="4824" w:type="dxa"/>
            <w:tcBorders>
              <w:top w:val="nil"/>
              <w:left w:val="nil"/>
              <w:bottom w:val="nil"/>
              <w:right w:val="nil"/>
            </w:tcBorders>
          </w:tcPr>
          <w:p w:rsidR="00AC041C" w:rsidRPr="005F15DA" w:rsidRDefault="00AC041C" w:rsidP="00B51338">
            <w:pPr>
              <w:widowControl w:val="0"/>
              <w:autoSpaceDE w:val="0"/>
              <w:autoSpaceDN w:val="0"/>
              <w:adjustRightInd w:val="0"/>
              <w:rPr>
                <w:rFonts w:ascii="Helvetica" w:hAnsi="Helvetica" w:cs="Helvetica"/>
                <w:szCs w:val="22"/>
              </w:rPr>
            </w:pPr>
            <w:r w:rsidRPr="005F15DA">
              <w:rPr>
                <w:rFonts w:ascii="Helvetica" w:hAnsi="Helvetica" w:cs="Helvetica"/>
                <w:szCs w:val="22"/>
              </w:rPr>
              <w:t>(8%) Schuldbrief zugunsten der Amts-</w:t>
            </w:r>
            <w:r w:rsidRPr="005F15DA">
              <w:rPr>
                <w:rFonts w:ascii="Helvetica" w:hAnsi="Helvetica" w:cs="Helvetica"/>
                <w:szCs w:val="22"/>
              </w:rPr>
              <w:br/>
            </w:r>
            <w:proofErr w:type="spellStart"/>
            <w:r w:rsidRPr="005F15DA">
              <w:rPr>
                <w:rFonts w:ascii="Helvetica" w:hAnsi="Helvetica" w:cs="Helvetica"/>
                <w:szCs w:val="22"/>
              </w:rPr>
              <w:t>ersparniskasse</w:t>
            </w:r>
            <w:proofErr w:type="spellEnd"/>
            <w:r w:rsidRPr="005F15DA">
              <w:rPr>
                <w:rFonts w:ascii="Helvetica" w:hAnsi="Helvetica" w:cs="Helvetica"/>
                <w:szCs w:val="22"/>
              </w:rPr>
              <w:t xml:space="preserve"> Thun </w:t>
            </w:r>
          </w:p>
        </w:tc>
      </w:tr>
      <w:tr w:rsidR="00AC041C" w:rsidRPr="005F15DA" w:rsidTr="00B51338">
        <w:tc>
          <w:tcPr>
            <w:tcW w:w="832" w:type="dxa"/>
            <w:tcBorders>
              <w:top w:val="nil"/>
              <w:left w:val="nil"/>
              <w:bottom w:val="nil"/>
              <w:right w:val="nil"/>
            </w:tcBorders>
          </w:tcPr>
          <w:p w:rsidR="00AC041C" w:rsidRPr="005F15DA" w:rsidRDefault="00AC041C" w:rsidP="00B51338">
            <w:pPr>
              <w:widowControl w:val="0"/>
              <w:autoSpaceDE w:val="0"/>
              <w:autoSpaceDN w:val="0"/>
              <w:adjustRightInd w:val="0"/>
              <w:rPr>
                <w:rFonts w:ascii="Helvetica" w:hAnsi="Helvetica" w:cs="Helvetica"/>
                <w:szCs w:val="22"/>
              </w:rPr>
            </w:pPr>
            <w:r w:rsidRPr="005F15DA">
              <w:rPr>
                <w:rFonts w:ascii="Helvetica" w:hAnsi="Helvetica" w:cs="Helvetica"/>
                <w:szCs w:val="22"/>
              </w:rPr>
              <w:t xml:space="preserve">II. Rang </w:t>
            </w:r>
          </w:p>
        </w:tc>
        <w:tc>
          <w:tcPr>
            <w:tcW w:w="1344" w:type="dxa"/>
            <w:tcBorders>
              <w:top w:val="nil"/>
              <w:left w:val="nil"/>
              <w:bottom w:val="nil"/>
              <w:right w:val="nil"/>
            </w:tcBorders>
          </w:tcPr>
          <w:p w:rsidR="00AC041C" w:rsidRPr="005F15DA" w:rsidRDefault="00AC041C" w:rsidP="00B51338">
            <w:pPr>
              <w:widowControl w:val="0"/>
              <w:autoSpaceDE w:val="0"/>
              <w:autoSpaceDN w:val="0"/>
              <w:adjustRightInd w:val="0"/>
              <w:jc w:val="right"/>
              <w:rPr>
                <w:rFonts w:ascii="Helvetica" w:hAnsi="Helvetica" w:cs="Helvetica"/>
                <w:szCs w:val="22"/>
              </w:rPr>
            </w:pPr>
            <w:r w:rsidRPr="005F15DA">
              <w:rPr>
                <w:rFonts w:ascii="Helvetica" w:hAnsi="Helvetica" w:cs="Helvetica"/>
                <w:szCs w:val="22"/>
              </w:rPr>
              <w:t xml:space="preserve">Fr. 200 000.- </w:t>
            </w:r>
          </w:p>
        </w:tc>
        <w:tc>
          <w:tcPr>
            <w:tcW w:w="4824" w:type="dxa"/>
            <w:tcBorders>
              <w:top w:val="nil"/>
              <w:left w:val="nil"/>
              <w:bottom w:val="nil"/>
              <w:right w:val="nil"/>
            </w:tcBorders>
          </w:tcPr>
          <w:p w:rsidR="00AC041C" w:rsidRPr="005F15DA" w:rsidRDefault="00AC041C" w:rsidP="00B51338">
            <w:pPr>
              <w:widowControl w:val="0"/>
              <w:autoSpaceDE w:val="0"/>
              <w:autoSpaceDN w:val="0"/>
              <w:adjustRightInd w:val="0"/>
              <w:rPr>
                <w:rFonts w:ascii="Helvetica" w:hAnsi="Helvetica" w:cs="Helvetica"/>
                <w:szCs w:val="22"/>
              </w:rPr>
            </w:pPr>
            <w:r w:rsidRPr="005F15DA">
              <w:rPr>
                <w:rFonts w:ascii="Helvetica" w:hAnsi="Helvetica" w:cs="Helvetica"/>
                <w:szCs w:val="22"/>
              </w:rPr>
              <w:t>(8%) Schuldbrief zugunsten des Eigen-</w:t>
            </w:r>
            <w:r w:rsidRPr="005F15DA">
              <w:rPr>
                <w:rFonts w:ascii="Helvetica" w:hAnsi="Helvetica" w:cs="Helvetica"/>
                <w:szCs w:val="22"/>
              </w:rPr>
              <w:br/>
            </w:r>
            <w:proofErr w:type="spellStart"/>
            <w:r w:rsidRPr="005F15DA">
              <w:rPr>
                <w:rFonts w:ascii="Helvetica" w:hAnsi="Helvetica" w:cs="Helvetica"/>
                <w:szCs w:val="22"/>
              </w:rPr>
              <w:t>tümers</w:t>
            </w:r>
            <w:proofErr w:type="spellEnd"/>
            <w:r w:rsidRPr="005F15DA">
              <w:rPr>
                <w:rFonts w:ascii="Helvetica" w:hAnsi="Helvetica" w:cs="Helvetica"/>
                <w:szCs w:val="22"/>
              </w:rPr>
              <w:t xml:space="preserve"> </w:t>
            </w:r>
          </w:p>
        </w:tc>
      </w:tr>
    </w:tbl>
    <w:p w:rsidR="00AC041C" w:rsidRPr="005F15DA" w:rsidRDefault="00AC041C" w:rsidP="00AC041C">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u w:val="single"/>
        </w:rPr>
        <w:t>Vormerkung</w:t>
      </w:r>
      <w:r w:rsidRPr="005F15DA">
        <w:rPr>
          <w:rFonts w:ascii="Helvetica" w:hAnsi="Helvetica" w:cs="Helvetica"/>
          <w:szCs w:val="22"/>
        </w:rPr>
        <w:br/>
        <w:t>Mietvertrag zG Peter Marthaler bis 31. Oktober 2005</w:t>
      </w:r>
    </w:p>
    <w:p w:rsidR="00AC041C" w:rsidRPr="005F15DA" w:rsidRDefault="00AC041C" w:rsidP="00AC041C">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u w:val="single"/>
        </w:rPr>
        <w:t>Anmerkung</w:t>
      </w:r>
      <w:r w:rsidRPr="005F15DA">
        <w:rPr>
          <w:rFonts w:ascii="Helvetica" w:hAnsi="Helvetica" w:cs="Helvetica"/>
          <w:szCs w:val="22"/>
        </w:rPr>
        <w:br/>
        <w:t>Ausnahmebewilligung gemäss Baugesetz</w:t>
      </w: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b/>
          <w:bCs/>
          <w:szCs w:val="22"/>
        </w:rPr>
      </w:pPr>
      <w:r w:rsidRPr="005F15DA">
        <w:rPr>
          <w:rFonts w:ascii="Helvetica" w:hAnsi="Helvetica" w:cs="Helvetica"/>
          <w:b/>
          <w:bCs/>
          <w:szCs w:val="22"/>
        </w:rPr>
        <w:t>2. Thun-Grundbuchblatt Nr. 45</w:t>
      </w:r>
    </w:p>
    <w:p w:rsidR="00AC041C" w:rsidRPr="005F15DA" w:rsidRDefault="00AC041C" w:rsidP="00AC041C">
      <w:pPr>
        <w:widowControl w:val="0"/>
        <w:autoSpaceDE w:val="0"/>
        <w:autoSpaceDN w:val="0"/>
        <w:adjustRightInd w:val="0"/>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u w:val="single"/>
        </w:rPr>
        <w:t>11,08 Aren</w:t>
      </w:r>
      <w:r w:rsidRPr="005F15DA">
        <w:rPr>
          <w:rFonts w:ascii="Helvetica" w:hAnsi="Helvetica" w:cs="Helvetica"/>
          <w:szCs w:val="22"/>
        </w:rPr>
        <w:t xml:space="preserve"> Land an der </w:t>
      </w:r>
      <w:proofErr w:type="spellStart"/>
      <w:r w:rsidRPr="005F15DA">
        <w:rPr>
          <w:rFonts w:ascii="Helvetica" w:hAnsi="Helvetica" w:cs="Helvetica"/>
          <w:szCs w:val="22"/>
        </w:rPr>
        <w:t>Klosestrasse</w:t>
      </w:r>
      <w:proofErr w:type="spellEnd"/>
    </w:p>
    <w:p w:rsidR="006A5FCA" w:rsidRDefault="006A5FCA">
      <w:pPr>
        <w:spacing w:after="200"/>
        <w:rPr>
          <w:rFonts w:ascii="Helvetica" w:hAnsi="Helvetica" w:cs="Helvetica"/>
          <w:szCs w:val="22"/>
          <w:u w:val="single"/>
        </w:rPr>
      </w:pPr>
      <w:r>
        <w:rPr>
          <w:rFonts w:ascii="Helvetica" w:hAnsi="Helvetica" w:cs="Helvetica"/>
          <w:szCs w:val="22"/>
          <w:u w:val="single"/>
        </w:rPr>
        <w:br w:type="page"/>
      </w:r>
    </w:p>
    <w:p w:rsidR="00AC041C" w:rsidRPr="005F15DA" w:rsidRDefault="00AC041C" w:rsidP="00AC041C">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u w:val="single"/>
        </w:rPr>
        <w:lastRenderedPageBreak/>
        <w:t>Erwerbtitel</w:t>
      </w:r>
      <w:r w:rsidRPr="005F15DA">
        <w:rPr>
          <w:rFonts w:ascii="Helvetica" w:hAnsi="Helvetica" w:cs="Helvetica"/>
          <w:szCs w:val="22"/>
        </w:rPr>
        <w:br/>
        <w:t>Kauf, eingetragen am 11.2.1969 Beleg 1079</w:t>
      </w:r>
    </w:p>
    <w:p w:rsidR="00AC041C" w:rsidRPr="005F15DA" w:rsidRDefault="00AC041C" w:rsidP="00AC041C">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u w:val="single"/>
        </w:rPr>
        <w:t>Dienstbarkeiten</w:t>
      </w:r>
    </w:p>
    <w:tbl>
      <w:tblPr>
        <w:tblW w:w="0" w:type="auto"/>
        <w:tblLayout w:type="fixed"/>
        <w:tblCellMar>
          <w:left w:w="0" w:type="dxa"/>
          <w:right w:w="0" w:type="dxa"/>
        </w:tblCellMar>
        <w:tblLook w:val="0000" w:firstRow="0" w:lastRow="0" w:firstColumn="0" w:lastColumn="0" w:noHBand="0" w:noVBand="0"/>
      </w:tblPr>
      <w:tblGrid>
        <w:gridCol w:w="1280"/>
        <w:gridCol w:w="5720"/>
      </w:tblGrid>
      <w:tr w:rsidR="00AC041C" w:rsidRPr="005F15DA" w:rsidTr="00B51338">
        <w:tc>
          <w:tcPr>
            <w:tcW w:w="1280" w:type="dxa"/>
            <w:tcBorders>
              <w:top w:val="nil"/>
              <w:left w:val="nil"/>
              <w:bottom w:val="nil"/>
              <w:right w:val="nil"/>
            </w:tcBorders>
          </w:tcPr>
          <w:p w:rsidR="00AC041C" w:rsidRPr="005F15DA" w:rsidRDefault="00AC041C" w:rsidP="00B51338">
            <w:pPr>
              <w:widowControl w:val="0"/>
              <w:autoSpaceDE w:val="0"/>
              <w:autoSpaceDN w:val="0"/>
              <w:adjustRightInd w:val="0"/>
              <w:rPr>
                <w:rFonts w:ascii="Helvetica" w:hAnsi="Helvetica" w:cs="Helvetica"/>
                <w:szCs w:val="22"/>
              </w:rPr>
            </w:pPr>
            <w:r w:rsidRPr="005F15DA">
              <w:rPr>
                <w:rFonts w:ascii="Helvetica" w:hAnsi="Helvetica" w:cs="Helvetica"/>
                <w:szCs w:val="22"/>
                <w:u w:val="single"/>
              </w:rPr>
              <w:t>Recht:</w:t>
            </w:r>
            <w:r w:rsidRPr="005F15DA">
              <w:rPr>
                <w:rFonts w:ascii="Helvetica" w:hAnsi="Helvetica" w:cs="Helvetica"/>
                <w:szCs w:val="22"/>
              </w:rPr>
              <w:t xml:space="preserve"> </w:t>
            </w:r>
          </w:p>
        </w:tc>
        <w:tc>
          <w:tcPr>
            <w:tcW w:w="5720" w:type="dxa"/>
            <w:tcBorders>
              <w:top w:val="nil"/>
              <w:left w:val="nil"/>
              <w:bottom w:val="nil"/>
              <w:right w:val="nil"/>
            </w:tcBorders>
          </w:tcPr>
          <w:p w:rsidR="00AC041C" w:rsidRPr="005F15DA" w:rsidRDefault="00AC041C" w:rsidP="00B51338">
            <w:pPr>
              <w:widowControl w:val="0"/>
              <w:autoSpaceDE w:val="0"/>
              <w:autoSpaceDN w:val="0"/>
              <w:adjustRightInd w:val="0"/>
              <w:rPr>
                <w:rFonts w:ascii="Helvetica" w:hAnsi="Helvetica" w:cs="Helvetica"/>
                <w:szCs w:val="22"/>
              </w:rPr>
            </w:pPr>
            <w:r w:rsidRPr="005F15DA">
              <w:rPr>
                <w:rFonts w:ascii="Helvetica" w:hAnsi="Helvetica" w:cs="Helvetica"/>
                <w:szCs w:val="22"/>
              </w:rPr>
              <w:t xml:space="preserve">b) Gewerbebeschränkung zL 17, 100 </w:t>
            </w:r>
          </w:p>
        </w:tc>
      </w:tr>
      <w:tr w:rsidR="00AC041C" w:rsidRPr="005F15DA" w:rsidTr="00B51338">
        <w:tc>
          <w:tcPr>
            <w:tcW w:w="1280" w:type="dxa"/>
            <w:tcBorders>
              <w:top w:val="nil"/>
              <w:left w:val="nil"/>
              <w:bottom w:val="nil"/>
              <w:right w:val="nil"/>
            </w:tcBorders>
          </w:tcPr>
          <w:p w:rsidR="00AC041C" w:rsidRPr="005F15DA" w:rsidRDefault="00AC041C" w:rsidP="00B51338">
            <w:pPr>
              <w:widowControl w:val="0"/>
              <w:autoSpaceDE w:val="0"/>
              <w:autoSpaceDN w:val="0"/>
              <w:adjustRightInd w:val="0"/>
              <w:rPr>
                <w:rFonts w:ascii="Helvetica" w:hAnsi="Helvetica" w:cs="Helvetica"/>
                <w:szCs w:val="22"/>
              </w:rPr>
            </w:pPr>
            <w:r w:rsidRPr="005F15DA">
              <w:rPr>
                <w:rFonts w:ascii="Helvetica" w:hAnsi="Helvetica" w:cs="Helvetica"/>
                <w:szCs w:val="22"/>
                <w:u w:val="single"/>
              </w:rPr>
              <w:t>Lasten:</w:t>
            </w:r>
            <w:r w:rsidRPr="005F15DA">
              <w:rPr>
                <w:rFonts w:ascii="Helvetica" w:hAnsi="Helvetica" w:cs="Helvetica"/>
                <w:szCs w:val="22"/>
              </w:rPr>
              <w:t xml:space="preserve">  </w:t>
            </w:r>
          </w:p>
        </w:tc>
        <w:tc>
          <w:tcPr>
            <w:tcW w:w="5720" w:type="dxa"/>
            <w:tcBorders>
              <w:top w:val="nil"/>
              <w:left w:val="nil"/>
              <w:bottom w:val="nil"/>
              <w:right w:val="nil"/>
            </w:tcBorders>
          </w:tcPr>
          <w:p w:rsidR="00AC041C" w:rsidRPr="005F15DA" w:rsidRDefault="00AC041C" w:rsidP="00B51338">
            <w:pPr>
              <w:widowControl w:val="0"/>
              <w:autoSpaceDE w:val="0"/>
              <w:autoSpaceDN w:val="0"/>
              <w:adjustRightInd w:val="0"/>
              <w:rPr>
                <w:rFonts w:ascii="Helvetica" w:hAnsi="Helvetica" w:cs="Helvetica"/>
                <w:szCs w:val="22"/>
              </w:rPr>
            </w:pPr>
            <w:r w:rsidRPr="005F15DA">
              <w:rPr>
                <w:rFonts w:ascii="Helvetica" w:hAnsi="Helvetica" w:cs="Helvetica"/>
                <w:szCs w:val="22"/>
              </w:rPr>
              <w:t>a) Näherbaurecht zG 17</w:t>
            </w:r>
            <w:r w:rsidRPr="005F15DA">
              <w:rPr>
                <w:rFonts w:ascii="Helvetica" w:hAnsi="Helvetica" w:cs="Helvetica"/>
                <w:szCs w:val="22"/>
              </w:rPr>
              <w:br/>
              <w:t>c) Gewerbebeschränkung zG 17, 100</w:t>
            </w:r>
            <w:r w:rsidRPr="005F15DA">
              <w:rPr>
                <w:rFonts w:ascii="Helvetica" w:hAnsi="Helvetica" w:cs="Helvetica"/>
                <w:szCs w:val="22"/>
              </w:rPr>
              <w:br/>
              <w:t xml:space="preserve">d) Wasserleitung zG 548 </w:t>
            </w:r>
          </w:p>
        </w:tc>
      </w:tr>
    </w:tbl>
    <w:p w:rsidR="00AC041C" w:rsidRPr="005F15DA" w:rsidRDefault="00AC041C" w:rsidP="00AC041C">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u w:val="single"/>
        </w:rPr>
        <w:t>Grundpfandrecht</w:t>
      </w:r>
    </w:p>
    <w:tbl>
      <w:tblPr>
        <w:tblW w:w="0" w:type="auto"/>
        <w:tblLayout w:type="fixed"/>
        <w:tblCellMar>
          <w:left w:w="0" w:type="dxa"/>
          <w:right w:w="0" w:type="dxa"/>
        </w:tblCellMar>
        <w:tblLook w:val="0000" w:firstRow="0" w:lastRow="0" w:firstColumn="0" w:lastColumn="0" w:noHBand="0" w:noVBand="0"/>
      </w:tblPr>
      <w:tblGrid>
        <w:gridCol w:w="832"/>
        <w:gridCol w:w="1344"/>
        <w:gridCol w:w="4824"/>
      </w:tblGrid>
      <w:tr w:rsidR="00AC041C" w:rsidRPr="005F15DA" w:rsidTr="00B51338">
        <w:tc>
          <w:tcPr>
            <w:tcW w:w="832" w:type="dxa"/>
            <w:tcBorders>
              <w:top w:val="nil"/>
              <w:left w:val="nil"/>
              <w:bottom w:val="nil"/>
              <w:right w:val="nil"/>
            </w:tcBorders>
          </w:tcPr>
          <w:p w:rsidR="00AC041C" w:rsidRPr="005F15DA" w:rsidRDefault="00AC041C" w:rsidP="00B51338">
            <w:pPr>
              <w:widowControl w:val="0"/>
              <w:autoSpaceDE w:val="0"/>
              <w:autoSpaceDN w:val="0"/>
              <w:adjustRightInd w:val="0"/>
              <w:rPr>
                <w:rFonts w:ascii="Helvetica" w:hAnsi="Helvetica" w:cs="Helvetica"/>
                <w:szCs w:val="22"/>
              </w:rPr>
            </w:pPr>
            <w:r w:rsidRPr="005F15DA">
              <w:rPr>
                <w:rFonts w:ascii="Helvetica" w:hAnsi="Helvetica" w:cs="Helvetica"/>
                <w:szCs w:val="22"/>
              </w:rPr>
              <w:t xml:space="preserve">I. Rang </w:t>
            </w:r>
          </w:p>
        </w:tc>
        <w:tc>
          <w:tcPr>
            <w:tcW w:w="1344" w:type="dxa"/>
            <w:tcBorders>
              <w:top w:val="nil"/>
              <w:left w:val="nil"/>
              <w:bottom w:val="nil"/>
              <w:right w:val="nil"/>
            </w:tcBorders>
          </w:tcPr>
          <w:p w:rsidR="00AC041C" w:rsidRPr="005F15DA" w:rsidRDefault="00AC041C" w:rsidP="00B51338">
            <w:pPr>
              <w:widowControl w:val="0"/>
              <w:autoSpaceDE w:val="0"/>
              <w:autoSpaceDN w:val="0"/>
              <w:adjustRightInd w:val="0"/>
              <w:jc w:val="right"/>
              <w:rPr>
                <w:rFonts w:ascii="Helvetica" w:hAnsi="Helvetica" w:cs="Helvetica"/>
                <w:szCs w:val="22"/>
              </w:rPr>
            </w:pPr>
            <w:r w:rsidRPr="005F15DA">
              <w:rPr>
                <w:rFonts w:ascii="Helvetica" w:hAnsi="Helvetica" w:cs="Helvetica"/>
                <w:szCs w:val="22"/>
              </w:rPr>
              <w:t xml:space="preserve">Fr. 100 000.- </w:t>
            </w:r>
          </w:p>
        </w:tc>
        <w:tc>
          <w:tcPr>
            <w:tcW w:w="4824" w:type="dxa"/>
            <w:tcBorders>
              <w:top w:val="nil"/>
              <w:left w:val="nil"/>
              <w:bottom w:val="nil"/>
              <w:right w:val="nil"/>
            </w:tcBorders>
          </w:tcPr>
          <w:p w:rsidR="00AC041C" w:rsidRPr="005F15DA" w:rsidRDefault="00AC041C" w:rsidP="00B51338">
            <w:pPr>
              <w:widowControl w:val="0"/>
              <w:autoSpaceDE w:val="0"/>
              <w:autoSpaceDN w:val="0"/>
              <w:adjustRightInd w:val="0"/>
              <w:rPr>
                <w:rFonts w:ascii="Helvetica" w:hAnsi="Helvetica" w:cs="Helvetica"/>
                <w:szCs w:val="22"/>
              </w:rPr>
            </w:pPr>
            <w:r w:rsidRPr="005F15DA">
              <w:rPr>
                <w:rFonts w:ascii="Helvetica" w:hAnsi="Helvetica" w:cs="Helvetica"/>
                <w:szCs w:val="22"/>
              </w:rPr>
              <w:t>(7%) Schuldbrief zugunsten der Berner Kant</w:t>
            </w:r>
            <w:r w:rsidRPr="005F15DA">
              <w:rPr>
                <w:rFonts w:ascii="Helvetica" w:hAnsi="Helvetica" w:cs="Helvetica"/>
                <w:szCs w:val="22"/>
              </w:rPr>
              <w:t>o</w:t>
            </w:r>
            <w:r w:rsidRPr="005F15DA">
              <w:rPr>
                <w:rFonts w:ascii="Helvetica" w:hAnsi="Helvetica" w:cs="Helvetica"/>
                <w:szCs w:val="22"/>
              </w:rPr>
              <w:t xml:space="preserve">nalbank </w:t>
            </w:r>
          </w:p>
        </w:tc>
      </w:tr>
    </w:tbl>
    <w:p w:rsidR="00AC041C" w:rsidRPr="005F15DA" w:rsidRDefault="00AC041C" w:rsidP="00AC041C">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u w:val="single"/>
        </w:rPr>
        <w:t>Vormerkung</w:t>
      </w:r>
      <w:r w:rsidRPr="005F15DA">
        <w:rPr>
          <w:rFonts w:ascii="Helvetica" w:hAnsi="Helvetica" w:cs="Helvetica"/>
          <w:szCs w:val="22"/>
        </w:rPr>
        <w:br/>
        <w:t>Vorkaufsrecht zG Urs Siegenthaler bis 31. Dezember 1995</w:t>
      </w:r>
    </w:p>
    <w:p w:rsidR="00AC041C" w:rsidRPr="005F15DA" w:rsidRDefault="00AC041C" w:rsidP="00AC041C">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u w:val="single"/>
        </w:rPr>
        <w:t>Anmerkungen</w:t>
      </w:r>
      <w:r w:rsidRPr="005F15DA">
        <w:rPr>
          <w:rFonts w:ascii="Helvetica" w:hAnsi="Helvetica" w:cs="Helvetica"/>
          <w:szCs w:val="22"/>
        </w:rPr>
        <w:br/>
        <w:t>Keine</w:t>
      </w: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ind w:left="360" w:hanging="360"/>
        <w:rPr>
          <w:rFonts w:ascii="Helvetica" w:hAnsi="Helvetica" w:cs="Helvetica"/>
          <w:b/>
          <w:bCs/>
          <w:szCs w:val="22"/>
        </w:rPr>
      </w:pPr>
      <w:r w:rsidRPr="005F15DA">
        <w:rPr>
          <w:rFonts w:ascii="Helvetica" w:hAnsi="Helvetica" w:cs="Helvetica"/>
          <w:b/>
          <w:bCs/>
          <w:szCs w:val="22"/>
        </w:rPr>
        <w:t>II. Vereinigung von Liegenschaften</w:t>
      </w:r>
    </w:p>
    <w:p w:rsidR="00AC041C" w:rsidRPr="005F15DA" w:rsidRDefault="00AC041C" w:rsidP="00AC041C">
      <w:pPr>
        <w:widowControl w:val="0"/>
        <w:autoSpaceDE w:val="0"/>
        <w:autoSpaceDN w:val="0"/>
        <w:adjustRightInd w:val="0"/>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Gestützt auf die Messurkunde zur Planänderung Nr. 17/1997 und den entsprechenden Situ</w:t>
      </w:r>
      <w:r w:rsidRPr="005F15DA">
        <w:rPr>
          <w:rFonts w:ascii="Helvetica" w:hAnsi="Helvetica" w:cs="Helvetica"/>
          <w:szCs w:val="22"/>
        </w:rPr>
        <w:t>a</w:t>
      </w:r>
      <w:r w:rsidRPr="005F15DA">
        <w:rPr>
          <w:rFonts w:ascii="Helvetica" w:hAnsi="Helvetica" w:cs="Helvetica"/>
          <w:szCs w:val="22"/>
        </w:rPr>
        <w:t xml:space="preserve">tionsplan, beide ausgestellt am 15. September 1997 durch Herrn Christoph </w:t>
      </w:r>
      <w:proofErr w:type="spellStart"/>
      <w:r w:rsidRPr="005F15DA">
        <w:rPr>
          <w:rFonts w:ascii="Helvetica" w:hAnsi="Helvetica" w:cs="Helvetica"/>
          <w:szCs w:val="22"/>
        </w:rPr>
        <w:t>Naegeli</w:t>
      </w:r>
      <w:proofErr w:type="spellEnd"/>
      <w:r w:rsidRPr="005F15DA">
        <w:rPr>
          <w:rFonts w:ascii="Helvetica" w:hAnsi="Helvetica" w:cs="Helvetica"/>
          <w:szCs w:val="22"/>
        </w:rPr>
        <w:t>, Nachfü</w:t>
      </w:r>
      <w:r w:rsidRPr="005F15DA">
        <w:rPr>
          <w:rFonts w:ascii="Helvetica" w:hAnsi="Helvetica" w:cs="Helvetica"/>
          <w:szCs w:val="22"/>
        </w:rPr>
        <w:t>h</w:t>
      </w:r>
      <w:r w:rsidRPr="005F15DA">
        <w:rPr>
          <w:rFonts w:ascii="Helvetica" w:hAnsi="Helvetica" w:cs="Helvetica"/>
          <w:szCs w:val="22"/>
        </w:rPr>
        <w:t xml:space="preserve">rungsgeometer, in Thun, ersucht Herr Hans Christen das Kreisgrundbuchamt X Thun, die Liegenschaften Nrn. 17 und 45 zu vereinigen. </w:t>
      </w:r>
    </w:p>
    <w:p w:rsidR="00AC041C" w:rsidRPr="005F15DA" w:rsidRDefault="00AC041C" w:rsidP="00AC041C">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Nach der Vereinigung besteht nur noch die Liegenschaft Nr. 17 mit einer Fläche von 15,24 Aren mit dem Gebäude Nr. 102. Das Grundbuchblatt Nr. 45 ist zu schliessen.</w:t>
      </w:r>
    </w:p>
    <w:p w:rsidR="00AC041C" w:rsidRPr="005F15DA" w:rsidRDefault="00AC041C" w:rsidP="00AC041C">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Die Messakten werden von Herrn Hans Christen unterzeichnet und als richtig anerkannt. Ein Exemplar des Situationsplanes wird als Beilage Nr. 1 mit dieser Urschrift aufbewahrt.</w:t>
      </w: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b/>
          <w:bCs/>
          <w:szCs w:val="22"/>
        </w:rPr>
      </w:pPr>
      <w:r w:rsidRPr="005F15DA">
        <w:rPr>
          <w:rFonts w:ascii="Helvetica" w:hAnsi="Helvetica" w:cs="Helvetica"/>
          <w:b/>
          <w:bCs/>
          <w:szCs w:val="22"/>
        </w:rPr>
        <w:t>III. Bereinigungen</w:t>
      </w: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t>1. Dienstbarkeiten</w:t>
      </w:r>
    </w:p>
    <w:p w:rsidR="00AC041C" w:rsidRPr="005F15DA" w:rsidRDefault="00AC041C" w:rsidP="00AC041C">
      <w:pPr>
        <w:widowControl w:val="0"/>
        <w:autoSpaceDE w:val="0"/>
        <w:autoSpaceDN w:val="0"/>
        <w:adjustRightInd w:val="0"/>
        <w:rPr>
          <w:rFonts w:ascii="Helvetica" w:hAnsi="Helvetica" w:cs="Helvetica"/>
          <w:sz w:val="6"/>
          <w:szCs w:val="6"/>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t xml:space="preserve">a. Liegenschaft </w:t>
      </w:r>
      <w:proofErr w:type="spellStart"/>
      <w:r w:rsidRPr="005F15DA">
        <w:rPr>
          <w:rFonts w:ascii="Helvetica" w:hAnsi="Helvetica" w:cs="Helvetica"/>
          <w:b/>
          <w:bCs/>
          <w:szCs w:val="22"/>
        </w:rPr>
        <w:t>Nr.17</w:t>
      </w:r>
      <w:proofErr w:type="spellEnd"/>
    </w:p>
    <w:p w:rsidR="00AC041C" w:rsidRPr="005F15DA" w:rsidRDefault="00AC041C" w:rsidP="00AC041C">
      <w:pPr>
        <w:widowControl w:val="0"/>
        <w:autoSpaceDE w:val="0"/>
        <w:autoSpaceDN w:val="0"/>
        <w:adjustRightInd w:val="0"/>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ind w:left="270"/>
        <w:rPr>
          <w:rFonts w:ascii="Helvetica" w:hAnsi="Helvetica" w:cs="Helvetica"/>
          <w:szCs w:val="22"/>
        </w:rPr>
      </w:pPr>
      <w:r w:rsidRPr="005F15DA">
        <w:rPr>
          <w:rFonts w:ascii="Helvetica" w:hAnsi="Helvetica" w:cs="Helvetica"/>
          <w:szCs w:val="22"/>
        </w:rPr>
        <w:t xml:space="preserve">Das Recht </w:t>
      </w:r>
      <w:proofErr w:type="spellStart"/>
      <w:r w:rsidRPr="005F15DA">
        <w:rPr>
          <w:rFonts w:ascii="Helvetica" w:hAnsi="Helvetica" w:cs="Helvetica"/>
          <w:szCs w:val="22"/>
          <w:u w:val="single"/>
        </w:rPr>
        <w:t>Litera</w:t>
      </w:r>
      <w:proofErr w:type="spellEnd"/>
      <w:r w:rsidRPr="005F15DA">
        <w:rPr>
          <w:rFonts w:ascii="Helvetica" w:hAnsi="Helvetica" w:cs="Helvetica"/>
          <w:szCs w:val="22"/>
          <w:u w:val="single"/>
        </w:rPr>
        <w:t xml:space="preserve"> a</w:t>
      </w:r>
      <w:r w:rsidRPr="005F15DA">
        <w:rPr>
          <w:rFonts w:ascii="Helvetica" w:hAnsi="Helvetica" w:cs="Helvetica"/>
          <w:szCs w:val="22"/>
        </w:rPr>
        <w:t xml:space="preserve"> </w:t>
      </w:r>
      <w:r w:rsidRPr="005F15DA">
        <w:rPr>
          <w:rFonts w:ascii="Helvetica" w:hAnsi="Helvetica" w:cs="Helvetica"/>
          <w:i/>
          <w:iCs/>
          <w:szCs w:val="22"/>
        </w:rPr>
        <w:t>(Näherbaurecht)</w:t>
      </w:r>
      <w:r w:rsidRPr="005F15DA">
        <w:rPr>
          <w:rFonts w:ascii="Helvetica" w:hAnsi="Helvetica" w:cs="Helvetica"/>
          <w:szCs w:val="22"/>
        </w:rPr>
        <w:t xml:space="preserve"> ist als Last </w:t>
      </w:r>
      <w:proofErr w:type="spellStart"/>
      <w:r w:rsidRPr="005F15DA">
        <w:rPr>
          <w:rFonts w:ascii="Helvetica" w:hAnsi="Helvetica" w:cs="Helvetica"/>
          <w:szCs w:val="22"/>
          <w:u w:val="single"/>
        </w:rPr>
        <w:t>Litera</w:t>
      </w:r>
      <w:proofErr w:type="spellEnd"/>
      <w:r w:rsidRPr="005F15DA">
        <w:rPr>
          <w:rFonts w:ascii="Helvetica" w:hAnsi="Helvetica" w:cs="Helvetica"/>
          <w:szCs w:val="22"/>
          <w:u w:val="single"/>
        </w:rPr>
        <w:t xml:space="preserve"> a</w:t>
      </w:r>
      <w:r w:rsidRPr="005F15DA">
        <w:rPr>
          <w:rFonts w:ascii="Helvetica" w:hAnsi="Helvetica" w:cs="Helvetica"/>
          <w:szCs w:val="22"/>
        </w:rPr>
        <w:t xml:space="preserve"> </w:t>
      </w:r>
      <w:r w:rsidRPr="005F15DA">
        <w:rPr>
          <w:rFonts w:ascii="Helvetica" w:hAnsi="Helvetica" w:cs="Helvetica"/>
          <w:i/>
          <w:iCs/>
          <w:szCs w:val="22"/>
        </w:rPr>
        <w:t>(Näherbaurecht)</w:t>
      </w:r>
      <w:r w:rsidRPr="005F15DA">
        <w:rPr>
          <w:rFonts w:ascii="Helvetica" w:hAnsi="Helvetica" w:cs="Helvetica"/>
          <w:szCs w:val="22"/>
        </w:rPr>
        <w:t xml:space="preserve"> auf der Liege</w:t>
      </w:r>
      <w:r w:rsidRPr="005F15DA">
        <w:rPr>
          <w:rFonts w:ascii="Helvetica" w:hAnsi="Helvetica" w:cs="Helvetica"/>
          <w:szCs w:val="22"/>
        </w:rPr>
        <w:t>n</w:t>
      </w:r>
      <w:r w:rsidRPr="005F15DA">
        <w:rPr>
          <w:rFonts w:ascii="Helvetica" w:hAnsi="Helvetica" w:cs="Helvetica"/>
          <w:szCs w:val="22"/>
        </w:rPr>
        <w:t>schaft Nr. 45 eingetragen (= Gegeneintrag). Infolge Vereinigung der berechtigten mit der belasteten Liegenschaft ist diese Dienstbarkeit von Amtes wegen zu löschen.</w:t>
      </w:r>
    </w:p>
    <w:p w:rsidR="00AC041C" w:rsidRPr="005F15DA" w:rsidRDefault="00AC041C" w:rsidP="00AC041C">
      <w:pPr>
        <w:widowControl w:val="0"/>
        <w:autoSpaceDE w:val="0"/>
        <w:autoSpaceDN w:val="0"/>
        <w:adjustRightInd w:val="0"/>
        <w:spacing w:line="360" w:lineRule="auto"/>
        <w:ind w:left="270"/>
        <w:rPr>
          <w:rFonts w:ascii="Helvetica" w:hAnsi="Helvetica" w:cs="Helvetica"/>
          <w:szCs w:val="22"/>
        </w:rPr>
      </w:pPr>
      <w:r w:rsidRPr="005F15DA">
        <w:rPr>
          <w:rFonts w:ascii="Helvetica" w:hAnsi="Helvetica" w:cs="Helvetica"/>
          <w:szCs w:val="22"/>
        </w:rPr>
        <w:t xml:space="preserve">Das Recht </w:t>
      </w:r>
      <w:proofErr w:type="spellStart"/>
      <w:r w:rsidRPr="005F15DA">
        <w:rPr>
          <w:rFonts w:ascii="Helvetica" w:hAnsi="Helvetica" w:cs="Helvetica"/>
          <w:szCs w:val="22"/>
          <w:u w:val="single"/>
        </w:rPr>
        <w:t>Litera</w:t>
      </w:r>
      <w:proofErr w:type="spellEnd"/>
      <w:r w:rsidRPr="005F15DA">
        <w:rPr>
          <w:rFonts w:ascii="Helvetica" w:hAnsi="Helvetica" w:cs="Helvetica"/>
          <w:szCs w:val="22"/>
          <w:u w:val="single"/>
        </w:rPr>
        <w:t xml:space="preserve"> b</w:t>
      </w:r>
      <w:r w:rsidRPr="005F15DA">
        <w:rPr>
          <w:rFonts w:ascii="Helvetica" w:hAnsi="Helvetica" w:cs="Helvetica"/>
          <w:szCs w:val="22"/>
        </w:rPr>
        <w:t xml:space="preserve"> </w:t>
      </w:r>
      <w:r w:rsidRPr="005F15DA">
        <w:rPr>
          <w:rFonts w:ascii="Helvetica" w:hAnsi="Helvetica" w:cs="Helvetica"/>
          <w:i/>
          <w:iCs/>
          <w:szCs w:val="22"/>
        </w:rPr>
        <w:t>(Gewerbebeschränkung)</w:t>
      </w:r>
      <w:r w:rsidRPr="005F15DA">
        <w:rPr>
          <w:rFonts w:ascii="Helvetica" w:hAnsi="Helvetica" w:cs="Helvetica"/>
          <w:szCs w:val="22"/>
        </w:rPr>
        <w:t xml:space="preserve"> und die Last </w:t>
      </w:r>
      <w:proofErr w:type="spellStart"/>
      <w:r w:rsidRPr="005F15DA">
        <w:rPr>
          <w:rFonts w:ascii="Helvetica" w:hAnsi="Helvetica" w:cs="Helvetica"/>
          <w:szCs w:val="22"/>
          <w:u w:val="single"/>
        </w:rPr>
        <w:t>Litera</w:t>
      </w:r>
      <w:proofErr w:type="spellEnd"/>
      <w:r w:rsidRPr="005F15DA">
        <w:rPr>
          <w:rFonts w:ascii="Helvetica" w:hAnsi="Helvetica" w:cs="Helvetica"/>
          <w:szCs w:val="22"/>
          <w:u w:val="single"/>
        </w:rPr>
        <w:t xml:space="preserve"> c</w:t>
      </w:r>
      <w:r w:rsidRPr="005F15DA">
        <w:rPr>
          <w:rFonts w:ascii="Helvetica" w:hAnsi="Helvetica" w:cs="Helvetica"/>
          <w:szCs w:val="22"/>
        </w:rPr>
        <w:t xml:space="preserve"> </w:t>
      </w:r>
      <w:r w:rsidRPr="005F15DA">
        <w:rPr>
          <w:rFonts w:ascii="Helvetica" w:hAnsi="Helvetica" w:cs="Helvetica"/>
          <w:i/>
          <w:iCs/>
          <w:szCs w:val="22"/>
        </w:rPr>
        <w:t>(Gewerbebeschränkung)</w:t>
      </w:r>
      <w:r w:rsidRPr="005F15DA">
        <w:rPr>
          <w:rFonts w:ascii="Helvetica" w:hAnsi="Helvetica" w:cs="Helvetica"/>
          <w:szCs w:val="22"/>
        </w:rPr>
        <w:t xml:space="preserve"> sind als Recht </w:t>
      </w:r>
      <w:proofErr w:type="spellStart"/>
      <w:r w:rsidRPr="005F15DA">
        <w:rPr>
          <w:rFonts w:ascii="Helvetica" w:hAnsi="Helvetica" w:cs="Helvetica"/>
          <w:szCs w:val="22"/>
          <w:u w:val="single"/>
        </w:rPr>
        <w:t>Litera</w:t>
      </w:r>
      <w:proofErr w:type="spellEnd"/>
      <w:r w:rsidRPr="005F15DA">
        <w:rPr>
          <w:rFonts w:ascii="Helvetica" w:hAnsi="Helvetica" w:cs="Helvetica"/>
          <w:szCs w:val="22"/>
          <w:u w:val="single"/>
        </w:rPr>
        <w:t xml:space="preserve"> b</w:t>
      </w:r>
      <w:r w:rsidRPr="005F15DA">
        <w:rPr>
          <w:rFonts w:ascii="Helvetica" w:hAnsi="Helvetica" w:cs="Helvetica"/>
          <w:szCs w:val="22"/>
        </w:rPr>
        <w:t xml:space="preserve"> </w:t>
      </w:r>
      <w:r w:rsidRPr="005F15DA">
        <w:rPr>
          <w:rFonts w:ascii="Helvetica" w:hAnsi="Helvetica" w:cs="Helvetica"/>
          <w:i/>
          <w:iCs/>
          <w:szCs w:val="22"/>
        </w:rPr>
        <w:t>(Gewerbebeschränkung)</w:t>
      </w:r>
      <w:r w:rsidRPr="005F15DA">
        <w:rPr>
          <w:rFonts w:ascii="Helvetica" w:hAnsi="Helvetica" w:cs="Helvetica"/>
          <w:szCs w:val="22"/>
        </w:rPr>
        <w:t xml:space="preserve"> bzw. als Last </w:t>
      </w:r>
      <w:proofErr w:type="spellStart"/>
      <w:r w:rsidRPr="005F15DA">
        <w:rPr>
          <w:rFonts w:ascii="Helvetica" w:hAnsi="Helvetica" w:cs="Helvetica"/>
          <w:szCs w:val="22"/>
          <w:u w:val="single"/>
        </w:rPr>
        <w:t>Litera</w:t>
      </w:r>
      <w:proofErr w:type="spellEnd"/>
      <w:r w:rsidRPr="005F15DA">
        <w:rPr>
          <w:rFonts w:ascii="Helvetica" w:hAnsi="Helvetica" w:cs="Helvetica"/>
          <w:szCs w:val="22"/>
          <w:u w:val="single"/>
        </w:rPr>
        <w:t xml:space="preserve"> a</w:t>
      </w:r>
      <w:r w:rsidRPr="005F15DA">
        <w:rPr>
          <w:rFonts w:ascii="Helvetica" w:hAnsi="Helvetica" w:cs="Helvetica"/>
          <w:szCs w:val="22"/>
        </w:rPr>
        <w:t xml:space="preserve"> </w:t>
      </w:r>
      <w:r w:rsidRPr="005F15DA">
        <w:rPr>
          <w:rFonts w:ascii="Helvetica" w:hAnsi="Helvetica" w:cs="Helvetica"/>
          <w:i/>
          <w:iCs/>
          <w:szCs w:val="22"/>
        </w:rPr>
        <w:t>(Gewerbebeschrä</w:t>
      </w:r>
      <w:r w:rsidRPr="005F15DA">
        <w:rPr>
          <w:rFonts w:ascii="Helvetica" w:hAnsi="Helvetica" w:cs="Helvetica"/>
          <w:i/>
          <w:iCs/>
          <w:szCs w:val="22"/>
        </w:rPr>
        <w:t>n</w:t>
      </w:r>
      <w:r w:rsidRPr="005F15DA">
        <w:rPr>
          <w:rFonts w:ascii="Helvetica" w:hAnsi="Helvetica" w:cs="Helvetica"/>
          <w:i/>
          <w:iCs/>
          <w:szCs w:val="22"/>
        </w:rPr>
        <w:t>kung)</w:t>
      </w:r>
      <w:r w:rsidRPr="005F15DA">
        <w:rPr>
          <w:rFonts w:ascii="Helvetica" w:hAnsi="Helvetica" w:cs="Helvetica"/>
          <w:szCs w:val="22"/>
        </w:rPr>
        <w:t xml:space="preserve"> auch auf der Liegenschaft Nr. 45 eingetragen. Infolge Vereinigung der berechtigten </w:t>
      </w:r>
      <w:r w:rsidRPr="005F15DA">
        <w:rPr>
          <w:rFonts w:ascii="Helvetica" w:hAnsi="Helvetica" w:cs="Helvetica"/>
          <w:szCs w:val="22"/>
        </w:rPr>
        <w:lastRenderedPageBreak/>
        <w:t>mit der belasteten Liegenschaft sind die gegenseitigen Einträge von Amtes wegen zu l</w:t>
      </w:r>
      <w:r w:rsidRPr="005F15DA">
        <w:rPr>
          <w:rFonts w:ascii="Helvetica" w:hAnsi="Helvetica" w:cs="Helvetica"/>
          <w:szCs w:val="22"/>
        </w:rPr>
        <w:t>ö</w:t>
      </w:r>
      <w:r w:rsidRPr="005F15DA">
        <w:rPr>
          <w:rFonts w:ascii="Helvetica" w:hAnsi="Helvetica" w:cs="Helvetica"/>
          <w:szCs w:val="22"/>
        </w:rPr>
        <w:t>schen. Die Einträge (Recht und Last) bezüglich der Liegenschaft Nr. 100 bleiben auf der vereinigten Liegenschaft Nr. 17 von neu 15,24 Aren unverändert bestehen.</w:t>
      </w:r>
    </w:p>
    <w:p w:rsidR="00AC041C" w:rsidRPr="005F15DA" w:rsidRDefault="00AC041C" w:rsidP="00AC041C">
      <w:pPr>
        <w:widowControl w:val="0"/>
        <w:autoSpaceDE w:val="0"/>
        <w:autoSpaceDN w:val="0"/>
        <w:adjustRightInd w:val="0"/>
        <w:spacing w:line="360" w:lineRule="auto"/>
        <w:ind w:left="270"/>
        <w:rPr>
          <w:rFonts w:ascii="Helvetica" w:hAnsi="Helvetica" w:cs="Helvetica"/>
          <w:szCs w:val="22"/>
        </w:rPr>
      </w:pPr>
      <w:r w:rsidRPr="005F15DA">
        <w:rPr>
          <w:rFonts w:ascii="Helvetica" w:hAnsi="Helvetica" w:cs="Helvetica"/>
          <w:szCs w:val="22"/>
        </w:rPr>
        <w:t xml:space="preserve">Das Recht </w:t>
      </w:r>
      <w:proofErr w:type="spellStart"/>
      <w:r w:rsidRPr="005F15DA">
        <w:rPr>
          <w:rFonts w:ascii="Helvetica" w:hAnsi="Helvetica" w:cs="Helvetica"/>
          <w:szCs w:val="22"/>
          <w:u w:val="single"/>
        </w:rPr>
        <w:t>Litera</w:t>
      </w:r>
      <w:proofErr w:type="spellEnd"/>
      <w:r w:rsidRPr="005F15DA">
        <w:rPr>
          <w:rFonts w:ascii="Helvetica" w:hAnsi="Helvetica" w:cs="Helvetica"/>
          <w:szCs w:val="22"/>
          <w:u w:val="single"/>
        </w:rPr>
        <w:t xml:space="preserve"> d</w:t>
      </w:r>
      <w:r w:rsidRPr="005F15DA">
        <w:rPr>
          <w:rFonts w:ascii="Helvetica" w:hAnsi="Helvetica" w:cs="Helvetica"/>
          <w:szCs w:val="22"/>
        </w:rPr>
        <w:t xml:space="preserve"> </w:t>
      </w:r>
      <w:r w:rsidRPr="005F15DA">
        <w:rPr>
          <w:rFonts w:ascii="Helvetica" w:hAnsi="Helvetica" w:cs="Helvetica"/>
          <w:i/>
          <w:iCs/>
          <w:szCs w:val="22"/>
        </w:rPr>
        <w:t>(Wegrecht)</w:t>
      </w:r>
      <w:r w:rsidRPr="005F15DA">
        <w:rPr>
          <w:rFonts w:ascii="Helvetica" w:hAnsi="Helvetica" w:cs="Helvetica"/>
          <w:szCs w:val="22"/>
        </w:rPr>
        <w:t xml:space="preserve"> ist auf die hinzukommende Fläche von 11,08 Aren ausz</w:t>
      </w:r>
      <w:r w:rsidRPr="005F15DA">
        <w:rPr>
          <w:rFonts w:ascii="Helvetica" w:hAnsi="Helvetica" w:cs="Helvetica"/>
          <w:szCs w:val="22"/>
        </w:rPr>
        <w:t>u</w:t>
      </w:r>
      <w:r w:rsidRPr="005F15DA">
        <w:rPr>
          <w:rFonts w:ascii="Helvetica" w:hAnsi="Helvetica" w:cs="Helvetica"/>
          <w:szCs w:val="22"/>
        </w:rPr>
        <w:t>dehnen. Der belastete Eigentümer hat zu dieser Ausdehnung durch separate schriftliche Erklärung vom 19. Januar 1998 seine Einwilligung erteilt. Die vereinigte Liegenschaft Nr. 17 von 15,24 Aren ist somit neu materiell berechtigt.</w:t>
      </w:r>
    </w:p>
    <w:p w:rsidR="00AC041C" w:rsidRPr="005F15DA" w:rsidRDefault="00AC041C" w:rsidP="00AC041C">
      <w:pPr>
        <w:widowControl w:val="0"/>
        <w:autoSpaceDE w:val="0"/>
        <w:autoSpaceDN w:val="0"/>
        <w:adjustRightInd w:val="0"/>
        <w:spacing w:line="360" w:lineRule="auto"/>
        <w:ind w:left="270"/>
        <w:rPr>
          <w:rFonts w:ascii="Helvetica" w:hAnsi="Helvetica" w:cs="Helvetica"/>
          <w:szCs w:val="22"/>
        </w:rPr>
      </w:pPr>
      <w:r w:rsidRPr="005F15DA">
        <w:rPr>
          <w:rFonts w:ascii="Helvetica" w:hAnsi="Helvetica" w:cs="Helvetica"/>
          <w:szCs w:val="22"/>
        </w:rPr>
        <w:t xml:space="preserve">Bezüglich der Last </w:t>
      </w:r>
      <w:proofErr w:type="spellStart"/>
      <w:r w:rsidRPr="005F15DA">
        <w:rPr>
          <w:rFonts w:ascii="Helvetica" w:hAnsi="Helvetica" w:cs="Helvetica"/>
          <w:szCs w:val="22"/>
          <w:u w:val="single"/>
        </w:rPr>
        <w:t>Litera</w:t>
      </w:r>
      <w:proofErr w:type="spellEnd"/>
      <w:r w:rsidRPr="005F15DA">
        <w:rPr>
          <w:rFonts w:ascii="Helvetica" w:hAnsi="Helvetica" w:cs="Helvetica"/>
          <w:szCs w:val="22"/>
          <w:u w:val="single"/>
        </w:rPr>
        <w:t xml:space="preserve"> f</w:t>
      </w:r>
      <w:r w:rsidRPr="005F15DA">
        <w:rPr>
          <w:rFonts w:ascii="Helvetica" w:hAnsi="Helvetica" w:cs="Helvetica"/>
          <w:szCs w:val="22"/>
        </w:rPr>
        <w:t xml:space="preserve"> </w:t>
      </w:r>
      <w:r w:rsidRPr="005F15DA">
        <w:rPr>
          <w:rFonts w:ascii="Helvetica" w:hAnsi="Helvetica" w:cs="Helvetica"/>
          <w:i/>
          <w:iCs/>
          <w:szCs w:val="22"/>
        </w:rPr>
        <w:t>(Nutzniessung)</w:t>
      </w:r>
      <w:r w:rsidRPr="005F15DA">
        <w:rPr>
          <w:rFonts w:ascii="Helvetica" w:hAnsi="Helvetica" w:cs="Helvetica"/>
          <w:szCs w:val="22"/>
        </w:rPr>
        <w:t xml:space="preserve"> stellt der Notar fest, dass der Berechtigte am 17. Mai 1992 verstorben ist; das Nutzniessungsrecht ist deshalb im Grundbuch zu löschen.</w:t>
      </w: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t>b. Liegenschaft Nr. 45</w:t>
      </w:r>
    </w:p>
    <w:p w:rsidR="00AC041C" w:rsidRPr="005F15DA" w:rsidRDefault="00AC041C" w:rsidP="00AC041C">
      <w:pPr>
        <w:widowControl w:val="0"/>
        <w:autoSpaceDE w:val="0"/>
        <w:autoSpaceDN w:val="0"/>
        <w:adjustRightInd w:val="0"/>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ind w:left="270"/>
        <w:rPr>
          <w:rFonts w:ascii="Helvetica" w:hAnsi="Helvetica" w:cs="Helvetica"/>
          <w:szCs w:val="22"/>
        </w:rPr>
      </w:pPr>
      <w:r w:rsidRPr="005F15DA">
        <w:rPr>
          <w:rFonts w:ascii="Helvetica" w:hAnsi="Helvetica" w:cs="Helvetica"/>
          <w:szCs w:val="22"/>
        </w:rPr>
        <w:t xml:space="preserve">Die Last </w:t>
      </w:r>
      <w:proofErr w:type="spellStart"/>
      <w:r w:rsidRPr="005F15DA">
        <w:rPr>
          <w:rFonts w:ascii="Helvetica" w:hAnsi="Helvetica" w:cs="Helvetica"/>
          <w:szCs w:val="22"/>
          <w:u w:val="single"/>
        </w:rPr>
        <w:t>Litera</w:t>
      </w:r>
      <w:proofErr w:type="spellEnd"/>
      <w:r w:rsidRPr="005F15DA">
        <w:rPr>
          <w:rFonts w:ascii="Helvetica" w:hAnsi="Helvetica" w:cs="Helvetica"/>
          <w:szCs w:val="22"/>
          <w:u w:val="single"/>
        </w:rPr>
        <w:t xml:space="preserve"> a</w:t>
      </w:r>
      <w:r w:rsidRPr="005F15DA">
        <w:rPr>
          <w:rFonts w:ascii="Helvetica" w:hAnsi="Helvetica" w:cs="Helvetica"/>
          <w:szCs w:val="22"/>
        </w:rPr>
        <w:t xml:space="preserve"> </w:t>
      </w:r>
      <w:r w:rsidRPr="005F15DA">
        <w:rPr>
          <w:rFonts w:ascii="Helvetica" w:hAnsi="Helvetica" w:cs="Helvetica"/>
          <w:i/>
          <w:iCs/>
          <w:szCs w:val="22"/>
        </w:rPr>
        <w:t>(Näherbaurecht),</w:t>
      </w:r>
      <w:r w:rsidRPr="005F15DA">
        <w:rPr>
          <w:rFonts w:ascii="Helvetica" w:hAnsi="Helvetica" w:cs="Helvetica"/>
          <w:szCs w:val="22"/>
        </w:rPr>
        <w:t xml:space="preserve"> das Recht </w:t>
      </w:r>
      <w:proofErr w:type="spellStart"/>
      <w:r w:rsidRPr="005F15DA">
        <w:rPr>
          <w:rFonts w:ascii="Helvetica" w:hAnsi="Helvetica" w:cs="Helvetica"/>
          <w:szCs w:val="22"/>
          <w:u w:val="single"/>
        </w:rPr>
        <w:t>Litera</w:t>
      </w:r>
      <w:proofErr w:type="spellEnd"/>
      <w:r w:rsidRPr="005F15DA">
        <w:rPr>
          <w:rFonts w:ascii="Helvetica" w:hAnsi="Helvetica" w:cs="Helvetica"/>
          <w:szCs w:val="22"/>
          <w:u w:val="single"/>
        </w:rPr>
        <w:t xml:space="preserve"> b</w:t>
      </w:r>
      <w:r w:rsidRPr="005F15DA">
        <w:rPr>
          <w:rFonts w:ascii="Helvetica" w:hAnsi="Helvetica" w:cs="Helvetica"/>
          <w:szCs w:val="22"/>
        </w:rPr>
        <w:t xml:space="preserve"> </w:t>
      </w:r>
      <w:r w:rsidRPr="005F15DA">
        <w:rPr>
          <w:rFonts w:ascii="Helvetica" w:hAnsi="Helvetica" w:cs="Helvetica"/>
          <w:i/>
          <w:iCs/>
          <w:szCs w:val="22"/>
        </w:rPr>
        <w:t>(Gewerbebeschränkung)</w:t>
      </w:r>
      <w:r w:rsidRPr="005F15DA">
        <w:rPr>
          <w:rFonts w:ascii="Helvetica" w:hAnsi="Helvetica" w:cs="Helvetica"/>
          <w:szCs w:val="22"/>
        </w:rPr>
        <w:t xml:space="preserve"> und die Last </w:t>
      </w:r>
      <w:proofErr w:type="spellStart"/>
      <w:r w:rsidRPr="005F15DA">
        <w:rPr>
          <w:rFonts w:ascii="Helvetica" w:hAnsi="Helvetica" w:cs="Helvetica"/>
          <w:szCs w:val="22"/>
          <w:u w:val="single"/>
        </w:rPr>
        <w:t>Litera</w:t>
      </w:r>
      <w:proofErr w:type="spellEnd"/>
      <w:r w:rsidRPr="005F15DA">
        <w:rPr>
          <w:rFonts w:ascii="Helvetica" w:hAnsi="Helvetica" w:cs="Helvetica"/>
          <w:szCs w:val="22"/>
          <w:u w:val="single"/>
        </w:rPr>
        <w:t xml:space="preserve"> c</w:t>
      </w:r>
      <w:r w:rsidRPr="005F15DA">
        <w:rPr>
          <w:rFonts w:ascii="Helvetica" w:hAnsi="Helvetica" w:cs="Helvetica"/>
          <w:szCs w:val="22"/>
        </w:rPr>
        <w:t xml:space="preserve"> </w:t>
      </w:r>
      <w:r w:rsidRPr="005F15DA">
        <w:rPr>
          <w:rFonts w:ascii="Helvetica" w:hAnsi="Helvetica" w:cs="Helvetica"/>
          <w:i/>
          <w:iCs/>
          <w:szCs w:val="22"/>
        </w:rPr>
        <w:t>(Gewerbebeschränkung)</w:t>
      </w:r>
      <w:r w:rsidRPr="005F15DA">
        <w:rPr>
          <w:rFonts w:ascii="Helvetica" w:hAnsi="Helvetica" w:cs="Helvetica"/>
          <w:szCs w:val="22"/>
        </w:rPr>
        <w:t xml:space="preserve"> wurden bereits bei der Liegenschaft Nr. 17 bereinigt.</w:t>
      </w:r>
    </w:p>
    <w:p w:rsidR="00AC041C" w:rsidRPr="005F15DA" w:rsidRDefault="00AC041C" w:rsidP="00AC041C">
      <w:pPr>
        <w:widowControl w:val="0"/>
        <w:autoSpaceDE w:val="0"/>
        <w:autoSpaceDN w:val="0"/>
        <w:adjustRightInd w:val="0"/>
        <w:spacing w:line="360" w:lineRule="auto"/>
        <w:ind w:left="270"/>
        <w:rPr>
          <w:rFonts w:ascii="Helvetica" w:hAnsi="Helvetica" w:cs="Helvetica"/>
          <w:szCs w:val="22"/>
        </w:rPr>
      </w:pPr>
      <w:r w:rsidRPr="005F15DA">
        <w:rPr>
          <w:rFonts w:ascii="Helvetica" w:hAnsi="Helvetica" w:cs="Helvetica"/>
          <w:szCs w:val="22"/>
        </w:rPr>
        <w:t xml:space="preserve">Die Last </w:t>
      </w:r>
      <w:proofErr w:type="spellStart"/>
      <w:r w:rsidRPr="005F15DA">
        <w:rPr>
          <w:rFonts w:ascii="Helvetica" w:hAnsi="Helvetica" w:cs="Helvetica"/>
          <w:szCs w:val="22"/>
          <w:u w:val="single"/>
        </w:rPr>
        <w:t>Litera</w:t>
      </w:r>
      <w:proofErr w:type="spellEnd"/>
      <w:r w:rsidRPr="005F15DA">
        <w:rPr>
          <w:rFonts w:ascii="Helvetica" w:hAnsi="Helvetica" w:cs="Helvetica"/>
          <w:szCs w:val="22"/>
          <w:u w:val="single"/>
        </w:rPr>
        <w:t xml:space="preserve"> d</w:t>
      </w:r>
      <w:r w:rsidRPr="005F15DA">
        <w:rPr>
          <w:rFonts w:ascii="Helvetica" w:hAnsi="Helvetica" w:cs="Helvetica"/>
          <w:szCs w:val="22"/>
        </w:rPr>
        <w:t xml:space="preserve"> </w:t>
      </w:r>
      <w:r w:rsidRPr="005F15DA">
        <w:rPr>
          <w:rFonts w:ascii="Helvetica" w:hAnsi="Helvetica" w:cs="Helvetica"/>
          <w:i/>
          <w:iCs/>
          <w:szCs w:val="22"/>
        </w:rPr>
        <w:t>(Wasserleitung)</w:t>
      </w:r>
      <w:r w:rsidRPr="005F15DA">
        <w:rPr>
          <w:rFonts w:ascii="Helvetica" w:hAnsi="Helvetica" w:cs="Helvetica"/>
          <w:szCs w:val="22"/>
        </w:rPr>
        <w:t xml:space="preserve"> ist formell auf den Zuwachs von 4,16 Aren auszudehnen. Der berechtigte Eigentümer der Liegenschaft Nr. 548 wird in seinen Rechten nicht verletzt.</w:t>
      </w: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t>c. Zusammenfassung</w:t>
      </w:r>
    </w:p>
    <w:p w:rsidR="00AC041C" w:rsidRPr="005F15DA" w:rsidRDefault="00AC041C" w:rsidP="00AC041C">
      <w:pPr>
        <w:widowControl w:val="0"/>
        <w:autoSpaceDE w:val="0"/>
        <w:autoSpaceDN w:val="0"/>
        <w:adjustRightInd w:val="0"/>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ind w:left="270"/>
        <w:rPr>
          <w:rFonts w:ascii="Helvetica" w:hAnsi="Helvetica" w:cs="Helvetica"/>
          <w:szCs w:val="22"/>
        </w:rPr>
      </w:pPr>
      <w:r w:rsidRPr="005F15DA">
        <w:rPr>
          <w:rFonts w:ascii="Helvetica" w:hAnsi="Helvetica" w:cs="Helvetica"/>
          <w:szCs w:val="22"/>
        </w:rPr>
        <w:t>Auf der vereinigten Liegenschaft Nr. 17 von 15,24 Aren sind somit folgende Dienstbarke</w:t>
      </w:r>
      <w:r w:rsidRPr="005F15DA">
        <w:rPr>
          <w:rFonts w:ascii="Helvetica" w:hAnsi="Helvetica" w:cs="Helvetica"/>
          <w:szCs w:val="22"/>
        </w:rPr>
        <w:t>i</w:t>
      </w:r>
      <w:r w:rsidRPr="005F15DA">
        <w:rPr>
          <w:rFonts w:ascii="Helvetica" w:hAnsi="Helvetica" w:cs="Helvetica"/>
          <w:szCs w:val="22"/>
        </w:rPr>
        <w:t>ten einzutragen bzw. zu belassen:</w:t>
      </w:r>
    </w:p>
    <w:tbl>
      <w:tblPr>
        <w:tblW w:w="0" w:type="auto"/>
        <w:tblInd w:w="270" w:type="dxa"/>
        <w:tblLayout w:type="fixed"/>
        <w:tblCellMar>
          <w:left w:w="0" w:type="dxa"/>
          <w:right w:w="0" w:type="dxa"/>
        </w:tblCellMar>
        <w:tblLook w:val="0000" w:firstRow="0" w:lastRow="0" w:firstColumn="0" w:lastColumn="0" w:noHBand="0" w:noVBand="0"/>
      </w:tblPr>
      <w:tblGrid>
        <w:gridCol w:w="1010"/>
        <w:gridCol w:w="5720"/>
      </w:tblGrid>
      <w:tr w:rsidR="00AC041C" w:rsidRPr="005F15DA" w:rsidTr="00B51338">
        <w:tc>
          <w:tcPr>
            <w:tcW w:w="1010" w:type="dxa"/>
            <w:tcBorders>
              <w:top w:val="nil"/>
              <w:left w:val="nil"/>
              <w:bottom w:val="nil"/>
              <w:right w:val="nil"/>
            </w:tcBorders>
          </w:tcPr>
          <w:p w:rsidR="00AC041C" w:rsidRPr="005F15DA" w:rsidRDefault="00AC041C" w:rsidP="00B51338">
            <w:pPr>
              <w:widowControl w:val="0"/>
              <w:autoSpaceDE w:val="0"/>
              <w:autoSpaceDN w:val="0"/>
              <w:adjustRightInd w:val="0"/>
              <w:rPr>
                <w:rFonts w:ascii="Helvetica" w:hAnsi="Helvetica" w:cs="Helvetica"/>
                <w:szCs w:val="22"/>
              </w:rPr>
            </w:pPr>
            <w:r w:rsidRPr="005F15DA">
              <w:rPr>
                <w:rFonts w:ascii="Helvetica" w:hAnsi="Helvetica" w:cs="Helvetica"/>
                <w:szCs w:val="22"/>
              </w:rPr>
              <w:t xml:space="preserve">Recht: </w:t>
            </w:r>
          </w:p>
        </w:tc>
        <w:tc>
          <w:tcPr>
            <w:tcW w:w="5720" w:type="dxa"/>
            <w:tcBorders>
              <w:top w:val="nil"/>
              <w:left w:val="nil"/>
              <w:bottom w:val="nil"/>
              <w:right w:val="nil"/>
            </w:tcBorders>
          </w:tcPr>
          <w:p w:rsidR="00AC041C" w:rsidRPr="005F15DA" w:rsidRDefault="00AC041C" w:rsidP="00B51338">
            <w:pPr>
              <w:widowControl w:val="0"/>
              <w:autoSpaceDE w:val="0"/>
              <w:autoSpaceDN w:val="0"/>
              <w:adjustRightInd w:val="0"/>
              <w:rPr>
                <w:rFonts w:ascii="Helvetica" w:hAnsi="Helvetica" w:cs="Helvetica"/>
                <w:szCs w:val="22"/>
              </w:rPr>
            </w:pPr>
            <w:r w:rsidRPr="005F15DA">
              <w:rPr>
                <w:rFonts w:ascii="Helvetica" w:hAnsi="Helvetica" w:cs="Helvetica"/>
                <w:szCs w:val="22"/>
              </w:rPr>
              <w:t xml:space="preserve">b) Gewerbebeschränkung zL 100 </w:t>
            </w:r>
          </w:p>
        </w:tc>
      </w:tr>
      <w:tr w:rsidR="00AC041C" w:rsidRPr="005F15DA" w:rsidTr="00B51338">
        <w:tc>
          <w:tcPr>
            <w:tcW w:w="1010" w:type="dxa"/>
            <w:tcBorders>
              <w:top w:val="nil"/>
              <w:left w:val="nil"/>
              <w:bottom w:val="nil"/>
              <w:right w:val="nil"/>
            </w:tcBorders>
          </w:tcPr>
          <w:p w:rsidR="00AC041C" w:rsidRPr="005F15DA" w:rsidRDefault="00AC041C" w:rsidP="00B51338">
            <w:pPr>
              <w:widowControl w:val="0"/>
              <w:autoSpaceDE w:val="0"/>
              <w:autoSpaceDN w:val="0"/>
              <w:adjustRightInd w:val="0"/>
              <w:rPr>
                <w:rFonts w:ascii="Helvetica" w:hAnsi="Helvetica" w:cs="Helvetica"/>
                <w:szCs w:val="22"/>
              </w:rPr>
            </w:pPr>
            <w:r w:rsidRPr="005F15DA">
              <w:rPr>
                <w:rFonts w:ascii="Helvetica" w:hAnsi="Helvetica" w:cs="Helvetica"/>
                <w:szCs w:val="22"/>
              </w:rPr>
              <w:t xml:space="preserve">Recht: </w:t>
            </w:r>
          </w:p>
        </w:tc>
        <w:tc>
          <w:tcPr>
            <w:tcW w:w="5720" w:type="dxa"/>
            <w:tcBorders>
              <w:top w:val="nil"/>
              <w:left w:val="nil"/>
              <w:bottom w:val="nil"/>
              <w:right w:val="nil"/>
            </w:tcBorders>
          </w:tcPr>
          <w:p w:rsidR="00AC041C" w:rsidRPr="005F15DA" w:rsidRDefault="00AC041C" w:rsidP="00B51338">
            <w:pPr>
              <w:widowControl w:val="0"/>
              <w:autoSpaceDE w:val="0"/>
              <w:autoSpaceDN w:val="0"/>
              <w:adjustRightInd w:val="0"/>
              <w:rPr>
                <w:rFonts w:ascii="Helvetica" w:hAnsi="Helvetica" w:cs="Helvetica"/>
                <w:szCs w:val="22"/>
              </w:rPr>
            </w:pPr>
            <w:r w:rsidRPr="005F15DA">
              <w:rPr>
                <w:rFonts w:ascii="Helvetica" w:hAnsi="Helvetica" w:cs="Helvetica"/>
                <w:szCs w:val="22"/>
              </w:rPr>
              <w:t xml:space="preserve">d) Wegrecht zL 433 </w:t>
            </w:r>
          </w:p>
        </w:tc>
      </w:tr>
      <w:tr w:rsidR="00AC041C" w:rsidRPr="005F15DA" w:rsidTr="00B51338">
        <w:tc>
          <w:tcPr>
            <w:tcW w:w="1010" w:type="dxa"/>
            <w:tcBorders>
              <w:top w:val="nil"/>
              <w:left w:val="nil"/>
              <w:bottom w:val="nil"/>
              <w:right w:val="nil"/>
            </w:tcBorders>
          </w:tcPr>
          <w:p w:rsidR="00AC041C" w:rsidRPr="005F15DA" w:rsidRDefault="00AC041C" w:rsidP="00B51338">
            <w:pPr>
              <w:widowControl w:val="0"/>
              <w:autoSpaceDE w:val="0"/>
              <w:autoSpaceDN w:val="0"/>
              <w:adjustRightInd w:val="0"/>
              <w:rPr>
                <w:rFonts w:ascii="Helvetica" w:hAnsi="Helvetica" w:cs="Helvetica"/>
                <w:szCs w:val="22"/>
              </w:rPr>
            </w:pPr>
            <w:r w:rsidRPr="005F15DA">
              <w:rPr>
                <w:rFonts w:ascii="Helvetica" w:hAnsi="Helvetica" w:cs="Helvetica"/>
                <w:szCs w:val="22"/>
              </w:rPr>
              <w:t xml:space="preserve">Last: </w:t>
            </w:r>
          </w:p>
        </w:tc>
        <w:tc>
          <w:tcPr>
            <w:tcW w:w="5720" w:type="dxa"/>
            <w:tcBorders>
              <w:top w:val="nil"/>
              <w:left w:val="nil"/>
              <w:bottom w:val="nil"/>
              <w:right w:val="nil"/>
            </w:tcBorders>
          </w:tcPr>
          <w:p w:rsidR="00AC041C" w:rsidRPr="005F15DA" w:rsidRDefault="00AC041C" w:rsidP="00B51338">
            <w:pPr>
              <w:widowControl w:val="0"/>
              <w:autoSpaceDE w:val="0"/>
              <w:autoSpaceDN w:val="0"/>
              <w:adjustRightInd w:val="0"/>
              <w:rPr>
                <w:rFonts w:ascii="Helvetica" w:hAnsi="Helvetica" w:cs="Helvetica"/>
                <w:szCs w:val="22"/>
              </w:rPr>
            </w:pPr>
            <w:r w:rsidRPr="005F15DA">
              <w:rPr>
                <w:rFonts w:ascii="Helvetica" w:hAnsi="Helvetica" w:cs="Helvetica"/>
                <w:szCs w:val="22"/>
              </w:rPr>
              <w:t xml:space="preserve">c) Gewerbebeschränkung zG 100 </w:t>
            </w:r>
          </w:p>
        </w:tc>
      </w:tr>
      <w:tr w:rsidR="00AC041C" w:rsidRPr="005F15DA" w:rsidTr="00B51338">
        <w:tc>
          <w:tcPr>
            <w:tcW w:w="1010" w:type="dxa"/>
            <w:tcBorders>
              <w:top w:val="nil"/>
              <w:left w:val="nil"/>
              <w:bottom w:val="nil"/>
              <w:right w:val="nil"/>
            </w:tcBorders>
          </w:tcPr>
          <w:p w:rsidR="00AC041C" w:rsidRPr="005F15DA" w:rsidRDefault="00AC041C" w:rsidP="00B51338">
            <w:pPr>
              <w:widowControl w:val="0"/>
              <w:autoSpaceDE w:val="0"/>
              <w:autoSpaceDN w:val="0"/>
              <w:adjustRightInd w:val="0"/>
              <w:rPr>
                <w:rFonts w:ascii="Helvetica" w:hAnsi="Helvetica" w:cs="Helvetica"/>
                <w:szCs w:val="22"/>
              </w:rPr>
            </w:pPr>
            <w:r w:rsidRPr="005F15DA">
              <w:rPr>
                <w:rFonts w:ascii="Helvetica" w:hAnsi="Helvetica" w:cs="Helvetica"/>
                <w:szCs w:val="22"/>
              </w:rPr>
              <w:t xml:space="preserve">Last: </w:t>
            </w:r>
          </w:p>
        </w:tc>
        <w:tc>
          <w:tcPr>
            <w:tcW w:w="5720" w:type="dxa"/>
            <w:tcBorders>
              <w:top w:val="nil"/>
              <w:left w:val="nil"/>
              <w:bottom w:val="nil"/>
              <w:right w:val="nil"/>
            </w:tcBorders>
          </w:tcPr>
          <w:p w:rsidR="00AC041C" w:rsidRPr="005F15DA" w:rsidRDefault="00AC041C" w:rsidP="00B51338">
            <w:pPr>
              <w:widowControl w:val="0"/>
              <w:autoSpaceDE w:val="0"/>
              <w:autoSpaceDN w:val="0"/>
              <w:adjustRightInd w:val="0"/>
              <w:rPr>
                <w:rFonts w:ascii="Helvetica" w:hAnsi="Helvetica" w:cs="Helvetica"/>
                <w:szCs w:val="22"/>
              </w:rPr>
            </w:pPr>
            <w:r w:rsidRPr="005F15DA">
              <w:rPr>
                <w:rFonts w:ascii="Helvetica" w:hAnsi="Helvetica" w:cs="Helvetica"/>
                <w:szCs w:val="22"/>
              </w:rPr>
              <w:t xml:space="preserve">e) Wasserleitung zG 548 </w:t>
            </w:r>
          </w:p>
        </w:tc>
      </w:tr>
    </w:tbl>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t>2. Grundpfandrechte</w:t>
      </w:r>
    </w:p>
    <w:p w:rsidR="00AC041C" w:rsidRPr="005F15DA" w:rsidRDefault="00AC041C" w:rsidP="00AC041C">
      <w:pPr>
        <w:widowControl w:val="0"/>
        <w:autoSpaceDE w:val="0"/>
        <w:autoSpaceDN w:val="0"/>
        <w:adjustRightInd w:val="0"/>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 xml:space="preserve">Die Pfandhaft der Schuldbriefe auf der Liegenschaft Nr. 17 ist auf den Zuwachs von 11,08 Aren auszudehnen. Dasselbe gilt auch für den Schuldbrief auf der Liegenschaft Nr. 45 in </w:t>
      </w:r>
      <w:proofErr w:type="spellStart"/>
      <w:r w:rsidRPr="005F15DA">
        <w:rPr>
          <w:rFonts w:ascii="Helvetica" w:hAnsi="Helvetica" w:cs="Helvetica"/>
          <w:szCs w:val="22"/>
        </w:rPr>
        <w:t>b</w:t>
      </w:r>
      <w:r w:rsidRPr="005F15DA">
        <w:rPr>
          <w:rFonts w:ascii="Helvetica" w:hAnsi="Helvetica" w:cs="Helvetica"/>
          <w:szCs w:val="22"/>
        </w:rPr>
        <w:t>e</w:t>
      </w:r>
      <w:r w:rsidRPr="005F15DA">
        <w:rPr>
          <w:rFonts w:ascii="Helvetica" w:hAnsi="Helvetica" w:cs="Helvetica"/>
          <w:szCs w:val="22"/>
        </w:rPr>
        <w:t>zug</w:t>
      </w:r>
      <w:proofErr w:type="spellEnd"/>
      <w:r w:rsidRPr="005F15DA">
        <w:rPr>
          <w:rFonts w:ascii="Helvetica" w:hAnsi="Helvetica" w:cs="Helvetica"/>
          <w:szCs w:val="22"/>
        </w:rPr>
        <w:t xml:space="preserve"> auf die Fläche von 4,16 Aren.</w:t>
      </w:r>
    </w:p>
    <w:p w:rsidR="00AC041C" w:rsidRPr="005F15DA" w:rsidRDefault="00AC041C" w:rsidP="00AC041C">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Gleichzeitig werden die Pfandrechte neu geordnet, so dass auf der vereinigten Liegenschaft Nr. 17 von 15,24 Aren künftig folgende Pfandrechtsreihenfolge besteht:</w:t>
      </w:r>
    </w:p>
    <w:tbl>
      <w:tblPr>
        <w:tblW w:w="0" w:type="auto"/>
        <w:tblLayout w:type="fixed"/>
        <w:tblCellMar>
          <w:left w:w="0" w:type="dxa"/>
          <w:right w:w="0" w:type="dxa"/>
        </w:tblCellMar>
        <w:tblLook w:val="0000" w:firstRow="0" w:lastRow="0" w:firstColumn="0" w:lastColumn="0" w:noHBand="0" w:noVBand="0"/>
      </w:tblPr>
      <w:tblGrid>
        <w:gridCol w:w="1280"/>
        <w:gridCol w:w="5720"/>
      </w:tblGrid>
      <w:tr w:rsidR="00AC041C" w:rsidRPr="005F15DA" w:rsidTr="00B51338">
        <w:tc>
          <w:tcPr>
            <w:tcW w:w="1280" w:type="dxa"/>
            <w:tcBorders>
              <w:top w:val="nil"/>
              <w:left w:val="nil"/>
              <w:bottom w:val="nil"/>
              <w:right w:val="nil"/>
            </w:tcBorders>
          </w:tcPr>
          <w:p w:rsidR="00AC041C" w:rsidRPr="005F15DA" w:rsidRDefault="00AC041C" w:rsidP="00B51338">
            <w:pPr>
              <w:widowControl w:val="0"/>
              <w:autoSpaceDE w:val="0"/>
              <w:autoSpaceDN w:val="0"/>
              <w:adjustRightInd w:val="0"/>
              <w:rPr>
                <w:rFonts w:ascii="Helvetica" w:hAnsi="Helvetica" w:cs="Helvetica"/>
                <w:szCs w:val="22"/>
              </w:rPr>
            </w:pPr>
            <w:r w:rsidRPr="005F15DA">
              <w:rPr>
                <w:rFonts w:ascii="Helvetica" w:hAnsi="Helvetica" w:cs="Helvetica"/>
                <w:szCs w:val="22"/>
              </w:rPr>
              <w:t xml:space="preserve">1. Rang: </w:t>
            </w:r>
          </w:p>
        </w:tc>
        <w:tc>
          <w:tcPr>
            <w:tcW w:w="5720" w:type="dxa"/>
            <w:tcBorders>
              <w:top w:val="nil"/>
              <w:left w:val="nil"/>
              <w:bottom w:val="nil"/>
              <w:right w:val="nil"/>
            </w:tcBorders>
          </w:tcPr>
          <w:p w:rsidR="00AC041C" w:rsidRPr="005F15DA" w:rsidRDefault="00AC041C" w:rsidP="00B51338">
            <w:pPr>
              <w:widowControl w:val="0"/>
              <w:autoSpaceDE w:val="0"/>
              <w:autoSpaceDN w:val="0"/>
              <w:adjustRightInd w:val="0"/>
              <w:rPr>
                <w:rFonts w:ascii="Helvetica" w:hAnsi="Helvetica" w:cs="Helvetica"/>
                <w:szCs w:val="22"/>
              </w:rPr>
            </w:pPr>
            <w:r w:rsidRPr="005F15DA">
              <w:rPr>
                <w:rFonts w:ascii="Helvetica" w:hAnsi="Helvetica" w:cs="Helvetica"/>
                <w:szCs w:val="22"/>
              </w:rPr>
              <w:t>Schuldbrief von Fr. 150 000.- zugunsten der Amts-</w:t>
            </w:r>
            <w:r w:rsidRPr="005F15DA">
              <w:rPr>
                <w:rFonts w:ascii="Helvetica" w:hAnsi="Helvetica" w:cs="Helvetica"/>
                <w:szCs w:val="22"/>
              </w:rPr>
              <w:br/>
            </w:r>
            <w:proofErr w:type="spellStart"/>
            <w:r w:rsidRPr="005F15DA">
              <w:rPr>
                <w:rFonts w:ascii="Helvetica" w:hAnsi="Helvetica" w:cs="Helvetica"/>
                <w:szCs w:val="22"/>
              </w:rPr>
              <w:t>ersparniskasse</w:t>
            </w:r>
            <w:proofErr w:type="spellEnd"/>
            <w:r w:rsidRPr="005F15DA">
              <w:rPr>
                <w:rFonts w:ascii="Helvetica" w:hAnsi="Helvetica" w:cs="Helvetica"/>
                <w:szCs w:val="22"/>
              </w:rPr>
              <w:t xml:space="preserve"> Thun </w:t>
            </w:r>
          </w:p>
        </w:tc>
      </w:tr>
      <w:tr w:rsidR="00AC041C" w:rsidRPr="005F15DA" w:rsidTr="00B51338">
        <w:tc>
          <w:tcPr>
            <w:tcW w:w="1280" w:type="dxa"/>
            <w:tcBorders>
              <w:top w:val="nil"/>
              <w:left w:val="nil"/>
              <w:bottom w:val="nil"/>
              <w:right w:val="nil"/>
            </w:tcBorders>
          </w:tcPr>
          <w:p w:rsidR="00AC041C" w:rsidRPr="005F15DA" w:rsidRDefault="00AC041C" w:rsidP="00B51338">
            <w:pPr>
              <w:widowControl w:val="0"/>
              <w:autoSpaceDE w:val="0"/>
              <w:autoSpaceDN w:val="0"/>
              <w:adjustRightInd w:val="0"/>
              <w:rPr>
                <w:rFonts w:ascii="Helvetica" w:hAnsi="Helvetica" w:cs="Helvetica"/>
                <w:szCs w:val="22"/>
              </w:rPr>
            </w:pPr>
            <w:r w:rsidRPr="005F15DA">
              <w:rPr>
                <w:rFonts w:ascii="Helvetica" w:hAnsi="Helvetica" w:cs="Helvetica"/>
                <w:szCs w:val="22"/>
              </w:rPr>
              <w:t xml:space="preserve">2. Rang: </w:t>
            </w:r>
          </w:p>
        </w:tc>
        <w:tc>
          <w:tcPr>
            <w:tcW w:w="5720" w:type="dxa"/>
            <w:tcBorders>
              <w:top w:val="nil"/>
              <w:left w:val="nil"/>
              <w:bottom w:val="nil"/>
              <w:right w:val="nil"/>
            </w:tcBorders>
          </w:tcPr>
          <w:p w:rsidR="00AC041C" w:rsidRPr="005F15DA" w:rsidRDefault="00AC041C" w:rsidP="00B51338">
            <w:pPr>
              <w:widowControl w:val="0"/>
              <w:autoSpaceDE w:val="0"/>
              <w:autoSpaceDN w:val="0"/>
              <w:adjustRightInd w:val="0"/>
              <w:rPr>
                <w:rFonts w:ascii="Helvetica" w:hAnsi="Helvetica" w:cs="Helvetica"/>
                <w:szCs w:val="22"/>
              </w:rPr>
            </w:pPr>
            <w:r w:rsidRPr="005F15DA">
              <w:rPr>
                <w:rFonts w:ascii="Helvetica" w:hAnsi="Helvetica" w:cs="Helvetica"/>
                <w:szCs w:val="22"/>
              </w:rPr>
              <w:t>Schuldbrief von Fr. 100 000.- zugunsten der Berner Ka</w:t>
            </w:r>
            <w:r w:rsidRPr="005F15DA">
              <w:rPr>
                <w:rFonts w:ascii="Helvetica" w:hAnsi="Helvetica" w:cs="Helvetica"/>
                <w:szCs w:val="22"/>
              </w:rPr>
              <w:t>n</w:t>
            </w:r>
            <w:r w:rsidRPr="005F15DA">
              <w:rPr>
                <w:rFonts w:ascii="Helvetica" w:hAnsi="Helvetica" w:cs="Helvetica"/>
                <w:szCs w:val="22"/>
              </w:rPr>
              <w:t xml:space="preserve">tonalbank </w:t>
            </w:r>
          </w:p>
        </w:tc>
      </w:tr>
      <w:tr w:rsidR="00AC041C" w:rsidRPr="005F15DA" w:rsidTr="00B51338">
        <w:tc>
          <w:tcPr>
            <w:tcW w:w="1280" w:type="dxa"/>
            <w:tcBorders>
              <w:top w:val="nil"/>
              <w:left w:val="nil"/>
              <w:bottom w:val="nil"/>
              <w:right w:val="nil"/>
            </w:tcBorders>
          </w:tcPr>
          <w:p w:rsidR="00AC041C" w:rsidRPr="005F15DA" w:rsidRDefault="00AC041C" w:rsidP="00B51338">
            <w:pPr>
              <w:widowControl w:val="0"/>
              <w:autoSpaceDE w:val="0"/>
              <w:autoSpaceDN w:val="0"/>
              <w:adjustRightInd w:val="0"/>
              <w:rPr>
                <w:rFonts w:ascii="Helvetica" w:hAnsi="Helvetica" w:cs="Helvetica"/>
                <w:szCs w:val="22"/>
              </w:rPr>
            </w:pPr>
            <w:r w:rsidRPr="005F15DA">
              <w:rPr>
                <w:rFonts w:ascii="Helvetica" w:hAnsi="Helvetica" w:cs="Helvetica"/>
                <w:szCs w:val="22"/>
              </w:rPr>
              <w:t xml:space="preserve">3. Rang: </w:t>
            </w:r>
          </w:p>
        </w:tc>
        <w:tc>
          <w:tcPr>
            <w:tcW w:w="5720" w:type="dxa"/>
            <w:tcBorders>
              <w:top w:val="nil"/>
              <w:left w:val="nil"/>
              <w:bottom w:val="nil"/>
              <w:right w:val="nil"/>
            </w:tcBorders>
          </w:tcPr>
          <w:p w:rsidR="00AC041C" w:rsidRPr="005F15DA" w:rsidRDefault="00AC041C" w:rsidP="00B51338">
            <w:pPr>
              <w:widowControl w:val="0"/>
              <w:autoSpaceDE w:val="0"/>
              <w:autoSpaceDN w:val="0"/>
              <w:adjustRightInd w:val="0"/>
              <w:spacing w:after="240"/>
              <w:rPr>
                <w:rFonts w:ascii="Helvetica" w:hAnsi="Helvetica" w:cs="Helvetica"/>
                <w:szCs w:val="22"/>
              </w:rPr>
            </w:pPr>
            <w:r w:rsidRPr="005F15DA">
              <w:rPr>
                <w:rFonts w:ascii="Helvetica" w:hAnsi="Helvetica" w:cs="Helvetica"/>
                <w:szCs w:val="22"/>
              </w:rPr>
              <w:t>Schuldbrief von Fr. 200 000.- zugunsten des Eigen-</w:t>
            </w:r>
            <w:r w:rsidRPr="005F15DA">
              <w:rPr>
                <w:rFonts w:ascii="Helvetica" w:hAnsi="Helvetica" w:cs="Helvetica"/>
                <w:szCs w:val="22"/>
              </w:rPr>
              <w:br/>
            </w:r>
            <w:proofErr w:type="spellStart"/>
            <w:r w:rsidRPr="005F15DA">
              <w:rPr>
                <w:rFonts w:ascii="Helvetica" w:hAnsi="Helvetica" w:cs="Helvetica"/>
                <w:szCs w:val="22"/>
              </w:rPr>
              <w:t>tümers</w:t>
            </w:r>
            <w:proofErr w:type="spellEnd"/>
            <w:r w:rsidRPr="005F15DA">
              <w:rPr>
                <w:rFonts w:ascii="Helvetica" w:hAnsi="Helvetica" w:cs="Helvetica"/>
                <w:szCs w:val="22"/>
              </w:rPr>
              <w:t xml:space="preserve"> </w:t>
            </w:r>
          </w:p>
        </w:tc>
      </w:tr>
    </w:tbl>
    <w:p w:rsidR="00AC041C" w:rsidRPr="005F15DA" w:rsidRDefault="00AC041C" w:rsidP="00AC041C">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Herr Hans Christen, als Gläubiger des Schuldbriefes von Fr. 200 000.-, erteilt hiermit zu di</w:t>
      </w:r>
      <w:r w:rsidRPr="005F15DA">
        <w:rPr>
          <w:rFonts w:ascii="Helvetica" w:hAnsi="Helvetica" w:cs="Helvetica"/>
          <w:szCs w:val="22"/>
        </w:rPr>
        <w:t>e</w:t>
      </w:r>
      <w:r w:rsidRPr="005F15DA">
        <w:rPr>
          <w:rFonts w:ascii="Helvetica" w:hAnsi="Helvetica" w:cs="Helvetica"/>
          <w:szCs w:val="22"/>
        </w:rPr>
        <w:t>ser Rangänderung seine Einwilligung. Von der Berner Kantonalbank wird eine separate Z</w:t>
      </w:r>
      <w:r w:rsidRPr="005F15DA">
        <w:rPr>
          <w:rFonts w:ascii="Helvetica" w:hAnsi="Helvetica" w:cs="Helvetica"/>
          <w:szCs w:val="22"/>
        </w:rPr>
        <w:t>u</w:t>
      </w:r>
      <w:r w:rsidRPr="005F15DA">
        <w:rPr>
          <w:rFonts w:ascii="Helvetica" w:hAnsi="Helvetica" w:cs="Helvetica"/>
          <w:szCs w:val="22"/>
        </w:rPr>
        <w:t>stimmungserklärung eingeholt.</w:t>
      </w: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b/>
          <w:bCs/>
          <w:szCs w:val="22"/>
        </w:rPr>
      </w:pPr>
      <w:r w:rsidRPr="005F15DA">
        <w:rPr>
          <w:rFonts w:ascii="Helvetica" w:hAnsi="Helvetica" w:cs="Helvetica"/>
          <w:b/>
          <w:bCs/>
          <w:szCs w:val="22"/>
        </w:rPr>
        <w:t>3. Vormerkungen</w:t>
      </w:r>
    </w:p>
    <w:p w:rsidR="00AC041C" w:rsidRPr="005F15DA" w:rsidRDefault="00AC041C" w:rsidP="00AC041C">
      <w:pPr>
        <w:widowControl w:val="0"/>
        <w:autoSpaceDE w:val="0"/>
        <w:autoSpaceDN w:val="0"/>
        <w:adjustRightInd w:val="0"/>
        <w:rPr>
          <w:rFonts w:ascii="Helvetica" w:hAnsi="Helvetica" w:cs="Helvetica"/>
          <w:sz w:val="6"/>
          <w:szCs w:val="6"/>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t>a. Liegenschaft Nr. 17</w:t>
      </w:r>
    </w:p>
    <w:p w:rsidR="00AC041C" w:rsidRPr="005F15DA" w:rsidRDefault="00AC041C" w:rsidP="00AC041C">
      <w:pPr>
        <w:widowControl w:val="0"/>
        <w:autoSpaceDE w:val="0"/>
        <w:autoSpaceDN w:val="0"/>
        <w:adjustRightInd w:val="0"/>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ind w:left="270"/>
        <w:rPr>
          <w:rFonts w:ascii="Helvetica" w:hAnsi="Helvetica" w:cs="Helvetica"/>
          <w:szCs w:val="22"/>
        </w:rPr>
      </w:pPr>
      <w:r w:rsidRPr="005F15DA">
        <w:rPr>
          <w:rFonts w:ascii="Helvetica" w:hAnsi="Helvetica" w:cs="Helvetica"/>
          <w:szCs w:val="22"/>
        </w:rPr>
        <w:t>Der vorgemerkte Mietvertrag ist auf den Zuwachs von 11,08 Aren formell auszudehnen. Der Berechtigte wird in seinen Rechten nicht verletzt.</w:t>
      </w: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t>b. Liegenschaft Nr. 45</w:t>
      </w:r>
    </w:p>
    <w:p w:rsidR="00AC041C" w:rsidRPr="005F15DA" w:rsidRDefault="00AC041C" w:rsidP="00AC041C">
      <w:pPr>
        <w:widowControl w:val="0"/>
        <w:autoSpaceDE w:val="0"/>
        <w:autoSpaceDN w:val="0"/>
        <w:adjustRightInd w:val="0"/>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ind w:left="270"/>
        <w:rPr>
          <w:rFonts w:ascii="Helvetica" w:hAnsi="Helvetica" w:cs="Helvetica"/>
          <w:szCs w:val="22"/>
        </w:rPr>
      </w:pPr>
      <w:r w:rsidRPr="005F15DA">
        <w:rPr>
          <w:rFonts w:ascii="Helvetica" w:hAnsi="Helvetica" w:cs="Helvetica"/>
          <w:szCs w:val="22"/>
        </w:rPr>
        <w:t>Das vorgemerkte Vorkaufsrecht ist von Amtes wegen im Grundbuch zu löschen, da die in der Vormerkung angegebene Zeit abgelaufen ist.</w:t>
      </w: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t>4. Anmerkung</w:t>
      </w:r>
    </w:p>
    <w:p w:rsidR="00AC041C" w:rsidRPr="005F15DA" w:rsidRDefault="00AC041C" w:rsidP="00AC041C">
      <w:pPr>
        <w:widowControl w:val="0"/>
        <w:autoSpaceDE w:val="0"/>
        <w:autoSpaceDN w:val="0"/>
        <w:adjustRightInd w:val="0"/>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Die auf der Liegenschaft Nr. 17 angemerkte Ausnahmebewilligung gemäss Baugesetz ist auf den Zuwachs von 11,08 Aren formell auszudehnen.</w:t>
      </w: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b/>
          <w:bCs/>
          <w:szCs w:val="22"/>
        </w:rPr>
      </w:pPr>
      <w:r w:rsidRPr="005F15DA">
        <w:rPr>
          <w:rFonts w:ascii="Helvetica" w:hAnsi="Helvetica" w:cs="Helvetica"/>
          <w:b/>
          <w:bCs/>
          <w:szCs w:val="22"/>
        </w:rPr>
        <w:t>IV. Schlussbestimmungen</w:t>
      </w:r>
    </w:p>
    <w:p w:rsidR="00AC041C" w:rsidRPr="005F15DA" w:rsidRDefault="00AC041C" w:rsidP="00AC041C">
      <w:pPr>
        <w:widowControl w:val="0"/>
        <w:autoSpaceDE w:val="0"/>
        <w:autoSpaceDN w:val="0"/>
        <w:adjustRightInd w:val="0"/>
        <w:rPr>
          <w:rFonts w:ascii="Helvetica" w:hAnsi="Helvetica" w:cs="Helvetica"/>
          <w:sz w:val="6"/>
          <w:szCs w:val="6"/>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t>1. Eintragungsbewilligung</w:t>
      </w:r>
    </w:p>
    <w:p w:rsidR="00AC041C" w:rsidRPr="005F15DA" w:rsidRDefault="00AC041C" w:rsidP="00AC041C">
      <w:pPr>
        <w:widowControl w:val="0"/>
        <w:autoSpaceDE w:val="0"/>
        <w:autoSpaceDN w:val="0"/>
        <w:adjustRightInd w:val="0"/>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Herr Hans Christen erteilt seine Einwilligung, sämtliche sich aus dieser Urkunde ergebenden Einschreibungen im Grundbuch vorzunehmen.</w:t>
      </w: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t>2. Ausfertigungen</w:t>
      </w:r>
    </w:p>
    <w:p w:rsidR="00AC041C" w:rsidRPr="005F15DA" w:rsidRDefault="00AC041C" w:rsidP="00AC041C">
      <w:pPr>
        <w:widowControl w:val="0"/>
        <w:autoSpaceDE w:val="0"/>
        <w:autoSpaceDN w:val="0"/>
        <w:adjustRightInd w:val="0"/>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Diese Urschrift ist für das Kreisgrundbuchamt X Thun und Herrn Hans Christen zweifach au</w:t>
      </w:r>
      <w:r w:rsidRPr="005F15DA">
        <w:rPr>
          <w:rFonts w:ascii="Helvetica" w:hAnsi="Helvetica" w:cs="Helvetica"/>
          <w:szCs w:val="22"/>
        </w:rPr>
        <w:t>s</w:t>
      </w:r>
      <w:r w:rsidRPr="005F15DA">
        <w:rPr>
          <w:rFonts w:ascii="Helvetica" w:hAnsi="Helvetica" w:cs="Helvetica"/>
          <w:szCs w:val="22"/>
        </w:rPr>
        <w:t>zufertigen.</w:t>
      </w: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Cs w:val="22"/>
        </w:rPr>
      </w:pPr>
      <w:r w:rsidRPr="005F15DA">
        <w:rPr>
          <w:rFonts w:ascii="Helvetica" w:hAnsi="Helvetica" w:cs="Helvetica"/>
          <w:i/>
          <w:iCs/>
          <w:szCs w:val="22"/>
        </w:rPr>
        <w:t>Schlussverbal für Willenserklärungen</w:t>
      </w: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autoSpaceDE w:val="0"/>
        <w:autoSpaceDN w:val="0"/>
        <w:jc w:val="center"/>
        <w:rPr>
          <w:rFonts w:ascii="Helvetica" w:hAnsi="Helvetica" w:cs="Helvetica"/>
          <w:szCs w:val="22"/>
        </w:rPr>
      </w:pPr>
      <w:r w:rsidRPr="005F15DA">
        <w:rPr>
          <w:rFonts w:ascii="Helvetica" w:hAnsi="Helvetica" w:cs="Helvetica"/>
          <w:i/>
          <w:iCs/>
          <w:szCs w:val="22"/>
        </w:rPr>
        <w:t>12. März 1998</w:t>
      </w: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tabs>
          <w:tab w:val="left" w:pos="4536"/>
        </w:tabs>
        <w:autoSpaceDE w:val="0"/>
        <w:autoSpaceDN w:val="0"/>
        <w:adjustRightInd w:val="0"/>
        <w:spacing w:line="360" w:lineRule="auto"/>
        <w:rPr>
          <w:rFonts w:ascii="Helvetica" w:hAnsi="Helvetica" w:cs="Helvetica"/>
          <w:szCs w:val="22"/>
        </w:rPr>
      </w:pPr>
      <w:r w:rsidRPr="005F15DA">
        <w:rPr>
          <w:rFonts w:ascii="Helvetica" w:hAnsi="Helvetica" w:cs="Helvetica"/>
          <w:szCs w:val="22"/>
        </w:rPr>
        <w:t xml:space="preserve">Der Gesuchsteller: </w:t>
      </w:r>
      <w:r w:rsidRPr="005F15DA">
        <w:rPr>
          <w:rFonts w:ascii="Helvetica" w:hAnsi="Helvetica" w:cs="Helvetica"/>
          <w:szCs w:val="22"/>
        </w:rPr>
        <w:tab/>
        <w:t>Der Notar:</w:t>
      </w:r>
    </w:p>
    <w:p w:rsidR="00AC041C" w:rsidRPr="005F15DA" w:rsidRDefault="00AC041C" w:rsidP="00AC041C">
      <w:pPr>
        <w:widowControl w:val="0"/>
        <w:autoSpaceDE w:val="0"/>
        <w:autoSpaceDN w:val="0"/>
        <w:adjustRightInd w:val="0"/>
        <w:spacing w:line="360" w:lineRule="auto"/>
        <w:rPr>
          <w:rFonts w:ascii="Helvetica" w:hAnsi="Helvetica" w:cs="Helvetica"/>
          <w:szCs w:val="22"/>
        </w:rPr>
      </w:pPr>
    </w:p>
    <w:p w:rsidR="00AC041C" w:rsidRPr="005F15DA" w:rsidRDefault="00AC041C" w:rsidP="00AC041C">
      <w:pPr>
        <w:widowControl w:val="0"/>
        <w:autoSpaceDE w:val="0"/>
        <w:autoSpaceDN w:val="0"/>
        <w:adjustRightInd w:val="0"/>
        <w:spacing w:line="360" w:lineRule="auto"/>
        <w:rPr>
          <w:rFonts w:ascii="Helvetica" w:hAnsi="Helvetica" w:cs="Helvetica"/>
          <w:szCs w:val="22"/>
        </w:rPr>
      </w:pPr>
    </w:p>
    <w:p w:rsidR="00AC041C" w:rsidRPr="005F15DA" w:rsidRDefault="00AC041C" w:rsidP="00AC041C">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MUSA Nr. 682</w:t>
      </w:r>
    </w:p>
    <w:p w:rsidR="0021446D" w:rsidRPr="005F15DA" w:rsidRDefault="0021446D" w:rsidP="0021446D">
      <w:pPr>
        <w:rPr>
          <w:szCs w:val="22"/>
        </w:rPr>
      </w:pPr>
    </w:p>
    <w:p w:rsidR="0021446D" w:rsidRPr="005F15DA" w:rsidRDefault="0021446D" w:rsidP="0021446D">
      <w:pPr>
        <w:rPr>
          <w:szCs w:val="22"/>
        </w:rPr>
      </w:pPr>
    </w:p>
    <w:p w:rsidR="0021446D" w:rsidRPr="005F15DA" w:rsidRDefault="0021446D" w:rsidP="0021446D">
      <w:pPr>
        <w:spacing w:after="200"/>
        <w:rPr>
          <w:szCs w:val="22"/>
        </w:rPr>
      </w:pPr>
      <w:r w:rsidRPr="005F15DA">
        <w:rPr>
          <w:szCs w:val="22"/>
        </w:rPr>
        <w:br w:type="page"/>
      </w:r>
    </w:p>
    <w:p w:rsidR="0021446D" w:rsidRPr="005F15DA" w:rsidRDefault="00D01F37" w:rsidP="0021446D">
      <w:pPr>
        <w:rPr>
          <w:szCs w:val="22"/>
        </w:rPr>
      </w:pPr>
      <w:r w:rsidRPr="005F15DA">
        <w:rPr>
          <w:noProof/>
          <w:szCs w:val="22"/>
          <w:lang w:eastAsia="de-CH"/>
        </w:rPr>
        <w:lastRenderedPageBreak/>
        <w:drawing>
          <wp:anchor distT="0" distB="0" distL="114300" distR="114300" simplePos="0" relativeHeight="251734016" behindDoc="0" locked="0" layoutInCell="1" allowOverlap="1" wp14:anchorId="573C5611" wp14:editId="40BEAB48">
            <wp:simplePos x="0" y="0"/>
            <wp:positionH relativeFrom="column">
              <wp:posOffset>0</wp:posOffset>
            </wp:positionH>
            <wp:positionV relativeFrom="paragraph">
              <wp:posOffset>0</wp:posOffset>
            </wp:positionV>
            <wp:extent cx="5817870" cy="8062595"/>
            <wp:effectExtent l="0" t="0" r="0" b="0"/>
            <wp:wrapTopAndBottom/>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 Vereinigung.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817870" cy="8062595"/>
                    </a:xfrm>
                    <a:prstGeom prst="rect">
                      <a:avLst/>
                    </a:prstGeom>
                  </pic:spPr>
                </pic:pic>
              </a:graphicData>
            </a:graphic>
          </wp:anchor>
        </w:drawing>
      </w:r>
    </w:p>
    <w:p w:rsidR="0021446D" w:rsidRPr="005F15DA" w:rsidRDefault="0021446D" w:rsidP="0021446D">
      <w:pPr>
        <w:spacing w:after="200"/>
        <w:rPr>
          <w:szCs w:val="22"/>
        </w:rPr>
      </w:pPr>
      <w:r w:rsidRPr="005F15DA">
        <w:rPr>
          <w:szCs w:val="22"/>
        </w:rPr>
        <w:br w:type="page"/>
      </w:r>
    </w:p>
    <w:p w:rsidR="00B51338" w:rsidRPr="005F15DA" w:rsidRDefault="00B51338" w:rsidP="00B51338">
      <w:pPr>
        <w:pStyle w:val="berschrift2"/>
      </w:pPr>
      <w:bookmarkStart w:id="205" w:name="_Toc432175725"/>
      <w:r w:rsidRPr="005F15DA">
        <w:lastRenderedPageBreak/>
        <w:t>VII. Dienstbarkeitsvertrag</w:t>
      </w:r>
      <w:bookmarkEnd w:id="205"/>
    </w:p>
    <w:p w:rsidR="00B51338" w:rsidRPr="005F15DA" w:rsidRDefault="00B51338" w:rsidP="00B51338">
      <w:pPr>
        <w:ind w:left="567"/>
        <w:jc w:val="center"/>
        <w:rPr>
          <w:rFonts w:ascii="Book Antiqua" w:hAnsi="Book Antiqua"/>
          <w:sz w:val="24"/>
          <w:u w:val="single"/>
        </w:rPr>
      </w:pPr>
    </w:p>
    <w:p w:rsidR="00B51338" w:rsidRPr="005F15DA" w:rsidRDefault="00B51338" w:rsidP="00B51338">
      <w:pPr>
        <w:jc w:val="center"/>
        <w:rPr>
          <w:rFonts w:ascii="Book Antiqua" w:hAnsi="Book Antiqua"/>
          <w:sz w:val="24"/>
          <w:u w:val="single"/>
        </w:rPr>
      </w:pPr>
      <w:r w:rsidRPr="005F15DA">
        <w:rPr>
          <w:rFonts w:ascii="Book Antiqua" w:hAnsi="Book Antiqua"/>
          <w:sz w:val="24"/>
          <w:u w:val="single"/>
        </w:rPr>
        <w:t>Urschrift Nr. 1605</w:t>
      </w:r>
    </w:p>
    <w:p w:rsidR="00B51338" w:rsidRPr="005F15DA" w:rsidRDefault="00B51338" w:rsidP="00B51338">
      <w:pPr>
        <w:rPr>
          <w:rFonts w:ascii="Book Antiqua" w:hAnsi="Book Antiqua"/>
          <w:sz w:val="24"/>
        </w:rPr>
      </w:pPr>
    </w:p>
    <w:p w:rsidR="00B51338" w:rsidRPr="005F15DA" w:rsidRDefault="00B51338" w:rsidP="00B51338">
      <w:pPr>
        <w:rPr>
          <w:rFonts w:ascii="Book Antiqua" w:hAnsi="Book Antiqua"/>
          <w:sz w:val="24"/>
        </w:rPr>
      </w:pPr>
    </w:p>
    <w:p w:rsidR="00B51338" w:rsidRPr="005F15DA" w:rsidRDefault="00B51338" w:rsidP="00CA403B">
      <w:pPr>
        <w:pStyle w:val="berschrift4"/>
        <w:jc w:val="center"/>
        <w:rPr>
          <w:rFonts w:ascii="Book Antiqua" w:hAnsi="Book Antiqua"/>
        </w:rPr>
      </w:pPr>
      <w:r w:rsidRPr="005F15DA">
        <w:rPr>
          <w:rFonts w:ascii="Book Antiqua" w:hAnsi="Book Antiqua"/>
        </w:rPr>
        <w:t>Dienstbarkeitsvertrag</w:t>
      </w:r>
    </w:p>
    <w:p w:rsidR="00B51338" w:rsidRPr="005F15DA" w:rsidRDefault="00CA403B" w:rsidP="00B51338">
      <w:pPr>
        <w:spacing w:line="120" w:lineRule="auto"/>
        <w:jc w:val="center"/>
        <w:rPr>
          <w:rFonts w:ascii="Book Antiqua" w:hAnsi="Book Antiqua"/>
          <w:sz w:val="32"/>
        </w:rPr>
      </w:pPr>
      <w:r w:rsidRPr="005F15DA">
        <w:rPr>
          <w:rFonts w:ascii="Book Antiqua" w:hAnsi="Book Antiqua"/>
          <w:sz w:val="32"/>
        </w:rPr>
        <w:t>_______________</w:t>
      </w:r>
    </w:p>
    <w:p w:rsidR="00B51338" w:rsidRPr="005F15DA" w:rsidRDefault="00B51338" w:rsidP="00B51338">
      <w:pPr>
        <w:rPr>
          <w:rFonts w:ascii="Book Antiqua" w:hAnsi="Book Antiqua"/>
          <w:sz w:val="24"/>
        </w:rPr>
      </w:pPr>
    </w:p>
    <w:p w:rsidR="00B51338" w:rsidRPr="005F15DA" w:rsidRDefault="00B51338" w:rsidP="00B51338">
      <w:pPr>
        <w:rPr>
          <w:rFonts w:ascii="Book Antiqua" w:hAnsi="Book Antiqua"/>
          <w:sz w:val="24"/>
        </w:rPr>
      </w:pPr>
      <w:proofErr w:type="gramStart"/>
      <w:r w:rsidRPr="005F15DA">
        <w:rPr>
          <w:rFonts w:ascii="Book Antiqua" w:hAnsi="Book Antiqua"/>
          <w:sz w:val="24"/>
        </w:rPr>
        <w:t>A.B.,</w:t>
      </w:r>
      <w:proofErr w:type="gramEnd"/>
      <w:r w:rsidRPr="005F15DA">
        <w:rPr>
          <w:rFonts w:ascii="Book Antiqua" w:hAnsi="Book Antiqua"/>
          <w:sz w:val="24"/>
        </w:rPr>
        <w:t xml:space="preserve"> Notar des Kantons Bern, eingetragen im Notariatsregister des Kantons Bern, mit Büro in Bern,</w:t>
      </w:r>
    </w:p>
    <w:p w:rsidR="00B51338" w:rsidRPr="005F15DA" w:rsidRDefault="00B51338" w:rsidP="00B51338">
      <w:pPr>
        <w:rPr>
          <w:rFonts w:ascii="Book Antiqua" w:hAnsi="Book Antiqua"/>
          <w:sz w:val="24"/>
        </w:rPr>
      </w:pPr>
    </w:p>
    <w:p w:rsidR="00B51338" w:rsidRPr="005F15DA" w:rsidRDefault="00B51338" w:rsidP="00B51338">
      <w:pPr>
        <w:jc w:val="center"/>
        <w:rPr>
          <w:rFonts w:ascii="Book Antiqua" w:hAnsi="Book Antiqua"/>
          <w:sz w:val="24"/>
        </w:rPr>
      </w:pPr>
      <w:r w:rsidRPr="005F15DA">
        <w:rPr>
          <w:rFonts w:ascii="Book Antiqua" w:hAnsi="Book Antiqua"/>
          <w:sz w:val="24"/>
          <w:u w:val="single"/>
        </w:rPr>
        <w:t>beurkundet:</w:t>
      </w:r>
    </w:p>
    <w:p w:rsidR="00B51338" w:rsidRPr="005F15DA" w:rsidRDefault="00B51338" w:rsidP="00B51338">
      <w:pPr>
        <w:rPr>
          <w:rFonts w:ascii="Book Antiqua" w:hAnsi="Book Antiqua"/>
          <w:sz w:val="24"/>
        </w:rPr>
      </w:pPr>
    </w:p>
    <w:p w:rsidR="00B51338" w:rsidRPr="005F15DA" w:rsidRDefault="00B51338" w:rsidP="00B51338">
      <w:pPr>
        <w:rPr>
          <w:rFonts w:ascii="Book Antiqua" w:hAnsi="Book Antiqua"/>
          <w:sz w:val="24"/>
        </w:rPr>
      </w:pPr>
    </w:p>
    <w:p w:rsidR="00B51338" w:rsidRPr="005F15DA" w:rsidRDefault="00B51338" w:rsidP="00B51338">
      <w:pPr>
        <w:rPr>
          <w:rFonts w:ascii="Book Antiqua" w:hAnsi="Book Antiqua"/>
          <w:sz w:val="24"/>
        </w:rPr>
      </w:pPr>
      <w:r w:rsidRPr="005F15DA">
        <w:rPr>
          <w:rFonts w:ascii="Book Antiqua" w:hAnsi="Book Antiqua"/>
          <w:sz w:val="24"/>
        </w:rPr>
        <w:t>Frau</w:t>
      </w:r>
    </w:p>
    <w:p w:rsidR="00B51338" w:rsidRPr="005F15DA" w:rsidRDefault="00B51338" w:rsidP="00CA403B">
      <w:pPr>
        <w:pStyle w:val="berschrift4"/>
        <w:jc w:val="center"/>
        <w:rPr>
          <w:rFonts w:ascii="Book Antiqua" w:hAnsi="Book Antiqua"/>
        </w:rPr>
      </w:pPr>
      <w:r w:rsidRPr="005F15DA">
        <w:rPr>
          <w:rFonts w:ascii="Book Antiqua" w:hAnsi="Book Antiqua"/>
        </w:rPr>
        <w:t>Anna Moser Liechti</w:t>
      </w:r>
    </w:p>
    <w:p w:rsidR="00B51338" w:rsidRPr="005F15DA" w:rsidRDefault="00B51338" w:rsidP="00B51338">
      <w:pPr>
        <w:spacing w:line="120" w:lineRule="auto"/>
        <w:jc w:val="center"/>
        <w:rPr>
          <w:rFonts w:ascii="Book Antiqua" w:hAnsi="Book Antiqua"/>
          <w:sz w:val="28"/>
        </w:rPr>
      </w:pPr>
      <w:r w:rsidRPr="005F15DA">
        <w:rPr>
          <w:rFonts w:ascii="Book Antiqua" w:hAnsi="Book Antiqua"/>
          <w:sz w:val="28"/>
        </w:rPr>
        <w:t>____________</w:t>
      </w:r>
      <w:r w:rsidR="00CA403B" w:rsidRPr="005F15DA">
        <w:rPr>
          <w:rFonts w:ascii="Book Antiqua" w:hAnsi="Book Antiqua"/>
          <w:sz w:val="28"/>
        </w:rPr>
        <w:t>____</w:t>
      </w:r>
    </w:p>
    <w:p w:rsidR="00B51338" w:rsidRPr="005F15DA" w:rsidRDefault="00B51338" w:rsidP="00B51338">
      <w:pPr>
        <w:rPr>
          <w:rFonts w:ascii="Book Antiqua" w:hAnsi="Book Antiqua"/>
          <w:sz w:val="24"/>
        </w:rPr>
      </w:pPr>
    </w:p>
    <w:p w:rsidR="00B51338" w:rsidRPr="005F15DA" w:rsidRDefault="00B51338" w:rsidP="00B51338">
      <w:pPr>
        <w:rPr>
          <w:rFonts w:ascii="Book Antiqua" w:hAnsi="Book Antiqua"/>
          <w:sz w:val="24"/>
        </w:rPr>
      </w:pPr>
      <w:r w:rsidRPr="005F15DA">
        <w:rPr>
          <w:rFonts w:ascii="Book Antiqua" w:hAnsi="Book Antiqua"/>
          <w:sz w:val="24"/>
        </w:rPr>
        <w:t xml:space="preserve">geb. 1.7.1950, von Langnau i.E. und Signau BE, </w:t>
      </w:r>
      <w:proofErr w:type="gramStart"/>
      <w:r w:rsidRPr="005F15DA">
        <w:rPr>
          <w:rFonts w:ascii="Book Antiqua" w:hAnsi="Book Antiqua"/>
          <w:sz w:val="24"/>
        </w:rPr>
        <w:t>verwitwet, Hausfrau</w:t>
      </w:r>
      <w:proofErr w:type="gramEnd"/>
      <w:r w:rsidRPr="005F15DA">
        <w:rPr>
          <w:rFonts w:ascii="Book Antiqua" w:hAnsi="Book Antiqua"/>
          <w:sz w:val="24"/>
        </w:rPr>
        <w:t xml:space="preserve">, </w:t>
      </w:r>
      <w:proofErr w:type="spellStart"/>
      <w:r w:rsidRPr="005F15DA">
        <w:rPr>
          <w:rFonts w:ascii="Book Antiqua" w:hAnsi="Book Antiqua"/>
          <w:sz w:val="24"/>
        </w:rPr>
        <w:t>Kuhweid</w:t>
      </w:r>
      <w:proofErr w:type="spellEnd"/>
      <w:r w:rsidRPr="005F15DA">
        <w:rPr>
          <w:rFonts w:ascii="Book Antiqua" w:hAnsi="Book Antiqua"/>
          <w:sz w:val="24"/>
        </w:rPr>
        <w:t xml:space="preserve"> 50, 9999 Seldwyla, </w:t>
      </w:r>
    </w:p>
    <w:p w:rsidR="00B51338" w:rsidRPr="005F15DA" w:rsidRDefault="00B51338" w:rsidP="00B51338">
      <w:pPr>
        <w:rPr>
          <w:rFonts w:ascii="Book Antiqua" w:hAnsi="Book Antiqua"/>
          <w:sz w:val="24"/>
        </w:rPr>
      </w:pPr>
    </w:p>
    <w:p w:rsidR="00B51338" w:rsidRPr="005F15DA" w:rsidRDefault="00B51338" w:rsidP="00B51338">
      <w:pPr>
        <w:tabs>
          <w:tab w:val="right" w:pos="8505"/>
        </w:tabs>
        <w:rPr>
          <w:rFonts w:ascii="Book Antiqua" w:hAnsi="Book Antiqua"/>
          <w:sz w:val="24"/>
        </w:rPr>
      </w:pPr>
      <w:r w:rsidRPr="005F15DA">
        <w:rPr>
          <w:rFonts w:ascii="Book Antiqua" w:hAnsi="Book Antiqua"/>
          <w:sz w:val="24"/>
        </w:rPr>
        <w:tab/>
        <w:t>- Dienstbarkeitsgeberin -</w:t>
      </w:r>
    </w:p>
    <w:p w:rsidR="00B51338" w:rsidRPr="005F15DA" w:rsidRDefault="00B51338" w:rsidP="00B51338">
      <w:pPr>
        <w:tabs>
          <w:tab w:val="right" w:pos="8222"/>
        </w:tabs>
        <w:rPr>
          <w:rFonts w:ascii="Book Antiqua" w:hAnsi="Book Antiqua"/>
          <w:sz w:val="24"/>
        </w:rPr>
      </w:pPr>
    </w:p>
    <w:p w:rsidR="00B51338" w:rsidRPr="005F15DA" w:rsidRDefault="00B51338" w:rsidP="00B51338">
      <w:pPr>
        <w:tabs>
          <w:tab w:val="right" w:pos="8222"/>
        </w:tabs>
        <w:rPr>
          <w:rFonts w:ascii="Book Antiqua" w:hAnsi="Book Antiqua"/>
          <w:sz w:val="24"/>
        </w:rPr>
      </w:pPr>
    </w:p>
    <w:p w:rsidR="00B51338" w:rsidRPr="005F15DA" w:rsidRDefault="00B51338" w:rsidP="00B51338">
      <w:pPr>
        <w:tabs>
          <w:tab w:val="right" w:pos="8222"/>
        </w:tabs>
        <w:jc w:val="center"/>
        <w:rPr>
          <w:rFonts w:ascii="Book Antiqua" w:hAnsi="Book Antiqua"/>
          <w:sz w:val="24"/>
        </w:rPr>
      </w:pPr>
      <w:r w:rsidRPr="005F15DA">
        <w:rPr>
          <w:rFonts w:ascii="Book Antiqua" w:hAnsi="Book Antiqua"/>
          <w:sz w:val="24"/>
        </w:rPr>
        <w:t>und</w:t>
      </w:r>
    </w:p>
    <w:p w:rsidR="00B51338" w:rsidRPr="005F15DA" w:rsidRDefault="00B51338" w:rsidP="00B51338">
      <w:pPr>
        <w:tabs>
          <w:tab w:val="right" w:pos="8222"/>
        </w:tabs>
        <w:rPr>
          <w:rFonts w:ascii="Book Antiqua" w:hAnsi="Book Antiqua"/>
          <w:sz w:val="24"/>
        </w:rPr>
      </w:pPr>
    </w:p>
    <w:p w:rsidR="00B51338" w:rsidRPr="005F15DA" w:rsidRDefault="00B51338" w:rsidP="00B51338">
      <w:pPr>
        <w:tabs>
          <w:tab w:val="right" w:pos="8222"/>
        </w:tabs>
        <w:rPr>
          <w:rFonts w:ascii="Book Antiqua" w:hAnsi="Book Antiqua"/>
          <w:sz w:val="24"/>
        </w:rPr>
      </w:pPr>
      <w:r w:rsidRPr="005F15DA">
        <w:rPr>
          <w:rFonts w:ascii="Book Antiqua" w:hAnsi="Book Antiqua"/>
          <w:sz w:val="24"/>
        </w:rPr>
        <w:t>Herr</w:t>
      </w:r>
    </w:p>
    <w:p w:rsidR="00B51338" w:rsidRPr="005F15DA" w:rsidRDefault="00B51338" w:rsidP="00CA403B">
      <w:pPr>
        <w:pStyle w:val="berschrift4"/>
        <w:jc w:val="center"/>
        <w:rPr>
          <w:rFonts w:ascii="Book Antiqua" w:hAnsi="Book Antiqua"/>
        </w:rPr>
      </w:pPr>
      <w:r w:rsidRPr="005F15DA">
        <w:rPr>
          <w:rFonts w:ascii="Book Antiqua" w:hAnsi="Book Antiqua"/>
        </w:rPr>
        <w:t>Hans Müller</w:t>
      </w:r>
    </w:p>
    <w:p w:rsidR="00B51338" w:rsidRPr="005F15DA" w:rsidRDefault="00CA403B" w:rsidP="00B51338">
      <w:pPr>
        <w:tabs>
          <w:tab w:val="right" w:pos="8222"/>
        </w:tabs>
        <w:spacing w:line="120" w:lineRule="auto"/>
        <w:jc w:val="center"/>
        <w:rPr>
          <w:rFonts w:ascii="Book Antiqua" w:hAnsi="Book Antiqua"/>
          <w:sz w:val="28"/>
        </w:rPr>
      </w:pPr>
      <w:r w:rsidRPr="005F15DA">
        <w:rPr>
          <w:rFonts w:ascii="Book Antiqua" w:hAnsi="Book Antiqua"/>
          <w:sz w:val="28"/>
        </w:rPr>
        <w:t>___________</w:t>
      </w:r>
    </w:p>
    <w:p w:rsidR="00B51338" w:rsidRPr="005F15DA" w:rsidRDefault="00B51338" w:rsidP="00B51338">
      <w:pPr>
        <w:tabs>
          <w:tab w:val="right" w:pos="8222"/>
        </w:tabs>
        <w:rPr>
          <w:rFonts w:ascii="Book Antiqua" w:hAnsi="Book Antiqua"/>
          <w:sz w:val="24"/>
        </w:rPr>
      </w:pPr>
    </w:p>
    <w:p w:rsidR="00B51338" w:rsidRPr="005F15DA" w:rsidRDefault="00B51338" w:rsidP="00B51338">
      <w:pPr>
        <w:tabs>
          <w:tab w:val="right" w:pos="8222"/>
        </w:tabs>
        <w:rPr>
          <w:rFonts w:ascii="Book Antiqua" w:hAnsi="Book Antiqua"/>
          <w:sz w:val="24"/>
        </w:rPr>
      </w:pPr>
      <w:r w:rsidRPr="005F15DA">
        <w:rPr>
          <w:rFonts w:ascii="Book Antiqua" w:hAnsi="Book Antiqua"/>
          <w:sz w:val="24"/>
        </w:rPr>
        <w:t xml:space="preserve">geb. 1.1.1955, von Langnau i.E., verheiratet, Landwirt, </w:t>
      </w:r>
      <w:proofErr w:type="spellStart"/>
      <w:r w:rsidRPr="005F15DA">
        <w:rPr>
          <w:rFonts w:ascii="Book Antiqua" w:hAnsi="Book Antiqua"/>
          <w:sz w:val="24"/>
        </w:rPr>
        <w:t>Kuhweid</w:t>
      </w:r>
      <w:proofErr w:type="spellEnd"/>
      <w:r w:rsidRPr="005F15DA">
        <w:rPr>
          <w:rFonts w:ascii="Book Antiqua" w:hAnsi="Book Antiqua"/>
          <w:sz w:val="24"/>
        </w:rPr>
        <w:t xml:space="preserve"> 52, 9999 Seldwyla,</w:t>
      </w:r>
    </w:p>
    <w:p w:rsidR="00B51338" w:rsidRPr="005F15DA" w:rsidRDefault="00B51338" w:rsidP="00B51338">
      <w:pPr>
        <w:tabs>
          <w:tab w:val="right" w:pos="8222"/>
        </w:tabs>
        <w:rPr>
          <w:rFonts w:ascii="Book Antiqua" w:hAnsi="Book Antiqua"/>
          <w:sz w:val="24"/>
        </w:rPr>
      </w:pPr>
    </w:p>
    <w:p w:rsidR="00B51338" w:rsidRPr="005F15DA" w:rsidRDefault="00B51338" w:rsidP="00B51338">
      <w:pPr>
        <w:tabs>
          <w:tab w:val="right" w:pos="8505"/>
        </w:tabs>
        <w:rPr>
          <w:rFonts w:ascii="Book Antiqua" w:hAnsi="Book Antiqua"/>
          <w:sz w:val="24"/>
        </w:rPr>
      </w:pPr>
      <w:r w:rsidRPr="005F15DA">
        <w:rPr>
          <w:rFonts w:ascii="Book Antiqua" w:hAnsi="Book Antiqua"/>
          <w:sz w:val="24"/>
        </w:rPr>
        <w:tab/>
        <w:t>- Dienstbarkeitsnehmer -</w:t>
      </w:r>
    </w:p>
    <w:p w:rsidR="00B51338" w:rsidRPr="005F15DA" w:rsidRDefault="00B51338" w:rsidP="00B51338">
      <w:pPr>
        <w:rPr>
          <w:rFonts w:ascii="Book Antiqua" w:hAnsi="Book Antiqua"/>
          <w:sz w:val="24"/>
        </w:rPr>
      </w:pPr>
    </w:p>
    <w:p w:rsidR="00B51338" w:rsidRPr="005F15DA" w:rsidRDefault="00B51338" w:rsidP="00B51338">
      <w:pPr>
        <w:tabs>
          <w:tab w:val="right" w:pos="8222"/>
        </w:tabs>
        <w:rPr>
          <w:rFonts w:ascii="Book Antiqua" w:hAnsi="Book Antiqua"/>
          <w:sz w:val="24"/>
        </w:rPr>
      </w:pPr>
    </w:p>
    <w:p w:rsidR="00B51338" w:rsidRPr="005F15DA" w:rsidRDefault="00B51338" w:rsidP="00B51338">
      <w:pPr>
        <w:tabs>
          <w:tab w:val="right" w:pos="8222"/>
        </w:tabs>
        <w:jc w:val="center"/>
        <w:rPr>
          <w:rFonts w:ascii="Book Antiqua" w:hAnsi="Book Antiqua"/>
          <w:sz w:val="24"/>
        </w:rPr>
      </w:pPr>
      <w:r w:rsidRPr="005F15DA">
        <w:rPr>
          <w:rFonts w:ascii="Book Antiqua" w:hAnsi="Book Antiqua"/>
          <w:sz w:val="24"/>
          <w:u w:val="single"/>
        </w:rPr>
        <w:t>erklären:</w:t>
      </w:r>
    </w:p>
    <w:p w:rsidR="00B51338" w:rsidRPr="005F15DA" w:rsidRDefault="00B51338" w:rsidP="00B51338">
      <w:pPr>
        <w:tabs>
          <w:tab w:val="right" w:pos="8222"/>
        </w:tabs>
        <w:rPr>
          <w:rFonts w:ascii="Book Antiqua" w:hAnsi="Book Antiqua"/>
          <w:sz w:val="24"/>
        </w:rPr>
      </w:pPr>
    </w:p>
    <w:p w:rsidR="00B51338" w:rsidRPr="005F15DA" w:rsidRDefault="00B51338" w:rsidP="00B51338">
      <w:pPr>
        <w:tabs>
          <w:tab w:val="right" w:pos="8222"/>
        </w:tabs>
        <w:rPr>
          <w:rFonts w:ascii="Book Antiqua" w:hAnsi="Book Antiqua"/>
          <w:sz w:val="24"/>
        </w:rPr>
      </w:pPr>
    </w:p>
    <w:p w:rsidR="00B51338" w:rsidRPr="005F15DA" w:rsidRDefault="00B51338" w:rsidP="00B51338">
      <w:pPr>
        <w:tabs>
          <w:tab w:val="right" w:pos="8222"/>
        </w:tabs>
        <w:rPr>
          <w:rFonts w:ascii="Book Antiqua" w:hAnsi="Book Antiqua"/>
          <w:sz w:val="24"/>
        </w:rPr>
      </w:pPr>
    </w:p>
    <w:p w:rsidR="00B51338" w:rsidRPr="005F15DA" w:rsidRDefault="00B51338" w:rsidP="00CA403B">
      <w:pPr>
        <w:pStyle w:val="berschrift4"/>
        <w:rPr>
          <w:rFonts w:ascii="Book Antiqua" w:hAnsi="Book Antiqua"/>
        </w:rPr>
      </w:pPr>
      <w:r w:rsidRPr="005F15DA">
        <w:rPr>
          <w:rFonts w:ascii="Book Antiqua" w:hAnsi="Book Antiqua"/>
        </w:rPr>
        <w:t>I. Eigentumsverhältnisse</w:t>
      </w:r>
    </w:p>
    <w:p w:rsidR="00B51338" w:rsidRPr="005F15DA" w:rsidRDefault="00CA403B" w:rsidP="00B51338">
      <w:pPr>
        <w:tabs>
          <w:tab w:val="right" w:pos="8222"/>
        </w:tabs>
        <w:spacing w:line="120" w:lineRule="auto"/>
        <w:rPr>
          <w:rFonts w:ascii="Book Antiqua" w:hAnsi="Book Antiqua"/>
          <w:sz w:val="28"/>
        </w:rPr>
      </w:pPr>
      <w:r w:rsidRPr="005F15DA">
        <w:rPr>
          <w:rFonts w:ascii="Book Antiqua" w:hAnsi="Book Antiqua"/>
          <w:sz w:val="28"/>
        </w:rPr>
        <w:t>____________________</w:t>
      </w:r>
    </w:p>
    <w:p w:rsidR="00B51338" w:rsidRPr="005F15DA" w:rsidRDefault="00B51338" w:rsidP="00B51338">
      <w:pPr>
        <w:tabs>
          <w:tab w:val="right" w:pos="8222"/>
        </w:tabs>
        <w:spacing w:before="120"/>
        <w:ind w:hanging="425"/>
        <w:rPr>
          <w:rFonts w:ascii="Book Antiqua" w:hAnsi="Book Antiqua"/>
          <w:sz w:val="24"/>
        </w:rPr>
      </w:pPr>
      <w:r w:rsidRPr="005F15DA">
        <w:rPr>
          <w:rFonts w:ascii="Book Antiqua" w:hAnsi="Book Antiqua"/>
          <w:sz w:val="24"/>
        </w:rPr>
        <w:t>1.</w:t>
      </w:r>
      <w:r w:rsidRPr="005F15DA">
        <w:rPr>
          <w:rFonts w:ascii="Book Antiqua" w:hAnsi="Book Antiqua"/>
          <w:sz w:val="24"/>
        </w:rPr>
        <w:tab/>
        <w:t>Frau Anna Moser Liechti ist Eigentümerin des folgenden Grundstückes:</w:t>
      </w:r>
    </w:p>
    <w:p w:rsidR="00B51338" w:rsidRPr="005F15DA" w:rsidRDefault="00B51338" w:rsidP="00B51338">
      <w:pPr>
        <w:tabs>
          <w:tab w:val="right" w:pos="8222"/>
        </w:tabs>
        <w:spacing w:before="120"/>
        <w:jc w:val="center"/>
        <w:rPr>
          <w:rFonts w:ascii="Book Antiqua" w:hAnsi="Book Antiqua"/>
          <w:b/>
          <w:sz w:val="24"/>
        </w:rPr>
      </w:pPr>
      <w:r w:rsidRPr="005F15DA">
        <w:rPr>
          <w:rFonts w:ascii="Book Antiqua" w:hAnsi="Book Antiqua"/>
          <w:b/>
          <w:sz w:val="24"/>
        </w:rPr>
        <w:lastRenderedPageBreak/>
        <w:t>Seldwyla-Grundbuchblatt Nr. 425</w:t>
      </w:r>
    </w:p>
    <w:p w:rsidR="00B51338" w:rsidRPr="005F15DA" w:rsidRDefault="00B51338" w:rsidP="00B51338">
      <w:pPr>
        <w:tabs>
          <w:tab w:val="right" w:pos="8222"/>
        </w:tabs>
        <w:spacing w:line="120" w:lineRule="auto"/>
        <w:jc w:val="center"/>
        <w:rPr>
          <w:rFonts w:ascii="Book Antiqua" w:hAnsi="Book Antiqua"/>
          <w:sz w:val="24"/>
        </w:rPr>
      </w:pPr>
      <w:r w:rsidRPr="005F15DA">
        <w:rPr>
          <w:rFonts w:ascii="Book Antiqua" w:hAnsi="Book Antiqua"/>
          <w:sz w:val="24"/>
        </w:rPr>
        <w:t>________________________________</w:t>
      </w:r>
    </w:p>
    <w:p w:rsidR="00B51338" w:rsidRPr="005F15DA" w:rsidRDefault="00B51338" w:rsidP="00B51338">
      <w:pPr>
        <w:tabs>
          <w:tab w:val="right" w:pos="8222"/>
        </w:tabs>
        <w:spacing w:before="120"/>
        <w:rPr>
          <w:rFonts w:ascii="Book Antiqua" w:hAnsi="Book Antiqua"/>
          <w:sz w:val="24"/>
        </w:rPr>
      </w:pPr>
      <w:r w:rsidRPr="005F15DA">
        <w:rPr>
          <w:rFonts w:ascii="Book Antiqua" w:hAnsi="Book Antiqua"/>
          <w:sz w:val="24"/>
        </w:rPr>
        <w:t xml:space="preserve">Gebäude </w:t>
      </w:r>
      <w:proofErr w:type="spellStart"/>
      <w:r w:rsidRPr="005F15DA">
        <w:rPr>
          <w:rFonts w:ascii="Book Antiqua" w:hAnsi="Book Antiqua"/>
          <w:sz w:val="24"/>
        </w:rPr>
        <w:t>Kuhweid</w:t>
      </w:r>
      <w:proofErr w:type="spellEnd"/>
      <w:r w:rsidRPr="005F15DA">
        <w:rPr>
          <w:rFonts w:ascii="Book Antiqua" w:hAnsi="Book Antiqua"/>
          <w:sz w:val="24"/>
        </w:rPr>
        <w:t xml:space="preserve"> 50, </w:t>
      </w:r>
      <w:proofErr w:type="spellStart"/>
      <w:r w:rsidRPr="005F15DA">
        <w:rPr>
          <w:rFonts w:ascii="Book Antiqua" w:hAnsi="Book Antiqua"/>
          <w:sz w:val="24"/>
        </w:rPr>
        <w:t>50B</w:t>
      </w:r>
      <w:proofErr w:type="spellEnd"/>
      <w:r w:rsidRPr="005F15DA">
        <w:rPr>
          <w:rFonts w:ascii="Book Antiqua" w:hAnsi="Book Antiqua"/>
          <w:sz w:val="24"/>
        </w:rPr>
        <w:t xml:space="preserve"> und 50A, sowie</w:t>
      </w:r>
    </w:p>
    <w:p w:rsidR="00B51338" w:rsidRPr="005F15DA" w:rsidRDefault="00B51338" w:rsidP="00B51338">
      <w:pPr>
        <w:tabs>
          <w:tab w:val="right" w:pos="8222"/>
        </w:tabs>
        <w:spacing w:after="240"/>
        <w:rPr>
          <w:rFonts w:ascii="Book Antiqua" w:hAnsi="Book Antiqua"/>
          <w:sz w:val="24"/>
        </w:rPr>
      </w:pPr>
      <w:r w:rsidRPr="005F15DA">
        <w:rPr>
          <w:rFonts w:ascii="Book Antiqua" w:hAnsi="Book Antiqua"/>
          <w:sz w:val="24"/>
        </w:rPr>
        <w:t>3'643 m</w:t>
      </w:r>
      <w:r w:rsidRPr="005F15DA">
        <w:rPr>
          <w:rFonts w:ascii="Book Antiqua" w:hAnsi="Book Antiqua"/>
          <w:sz w:val="24"/>
          <w:vertAlign w:val="superscript"/>
        </w:rPr>
        <w:t>2</w:t>
      </w:r>
      <w:r w:rsidRPr="005F15DA">
        <w:rPr>
          <w:rFonts w:ascii="Book Antiqua" w:hAnsi="Book Antiqua"/>
          <w:sz w:val="24"/>
        </w:rPr>
        <w:t xml:space="preserve"> Gebäude, Acker, Wiese, Weide, Gartenanlage, Hofraum, </w:t>
      </w:r>
      <w:proofErr w:type="spellStart"/>
      <w:r w:rsidRPr="005F15DA">
        <w:rPr>
          <w:rFonts w:ascii="Book Antiqua" w:hAnsi="Book Antiqua"/>
          <w:sz w:val="24"/>
        </w:rPr>
        <w:t>Kuhweid</w:t>
      </w:r>
      <w:proofErr w:type="spellEnd"/>
      <w:r w:rsidRPr="005F15DA">
        <w:rPr>
          <w:rFonts w:ascii="Book Antiqua" w:hAnsi="Book Antiqua"/>
          <w:sz w:val="24"/>
        </w:rPr>
        <w:t>, Seldwyla, Plan 2214</w:t>
      </w:r>
    </w:p>
    <w:p w:rsidR="00B51338" w:rsidRPr="005F15DA" w:rsidRDefault="00B51338" w:rsidP="00B51338">
      <w:pPr>
        <w:tabs>
          <w:tab w:val="right" w:pos="8222"/>
        </w:tabs>
        <w:spacing w:after="120"/>
        <w:ind w:hanging="425"/>
        <w:rPr>
          <w:rFonts w:ascii="Book Antiqua" w:hAnsi="Book Antiqua"/>
          <w:sz w:val="24"/>
        </w:rPr>
      </w:pPr>
      <w:r w:rsidRPr="005F15DA">
        <w:rPr>
          <w:rFonts w:ascii="Book Antiqua" w:hAnsi="Book Antiqua"/>
          <w:sz w:val="24"/>
        </w:rPr>
        <w:t>2.</w:t>
      </w:r>
      <w:r w:rsidRPr="005F15DA">
        <w:rPr>
          <w:rFonts w:ascii="Book Antiqua" w:hAnsi="Book Antiqua"/>
          <w:sz w:val="24"/>
        </w:rPr>
        <w:tab/>
        <w:t>Herr Hans Müller ist Eigentümer des folgenden Grundstückes:</w:t>
      </w:r>
    </w:p>
    <w:p w:rsidR="00B51338" w:rsidRPr="005F15DA" w:rsidRDefault="00B51338" w:rsidP="00B51338">
      <w:pPr>
        <w:tabs>
          <w:tab w:val="right" w:pos="8222"/>
        </w:tabs>
        <w:jc w:val="center"/>
        <w:rPr>
          <w:rFonts w:ascii="Book Antiqua" w:hAnsi="Book Antiqua"/>
          <w:b/>
          <w:sz w:val="24"/>
        </w:rPr>
      </w:pPr>
      <w:r w:rsidRPr="005F15DA">
        <w:rPr>
          <w:rFonts w:ascii="Book Antiqua" w:hAnsi="Book Antiqua"/>
          <w:b/>
          <w:sz w:val="24"/>
        </w:rPr>
        <w:t>Seldwyla-Grundbuchblatt Nr. 339</w:t>
      </w:r>
    </w:p>
    <w:p w:rsidR="00B51338" w:rsidRPr="005F15DA" w:rsidRDefault="00B51338" w:rsidP="00B51338">
      <w:pPr>
        <w:tabs>
          <w:tab w:val="right" w:pos="8222"/>
        </w:tabs>
        <w:spacing w:line="120" w:lineRule="auto"/>
        <w:jc w:val="center"/>
        <w:rPr>
          <w:rFonts w:ascii="Book Antiqua" w:hAnsi="Book Antiqua"/>
          <w:sz w:val="24"/>
        </w:rPr>
      </w:pPr>
      <w:r w:rsidRPr="005F15DA">
        <w:rPr>
          <w:rFonts w:ascii="Book Antiqua" w:hAnsi="Book Antiqua"/>
          <w:sz w:val="24"/>
        </w:rPr>
        <w:t>________________________________</w:t>
      </w:r>
    </w:p>
    <w:p w:rsidR="00B51338" w:rsidRPr="005F15DA" w:rsidRDefault="00B51338" w:rsidP="00B51338">
      <w:pPr>
        <w:tabs>
          <w:tab w:val="right" w:pos="8222"/>
        </w:tabs>
        <w:spacing w:before="120"/>
        <w:rPr>
          <w:rFonts w:ascii="Book Antiqua" w:hAnsi="Book Antiqua"/>
          <w:sz w:val="24"/>
        </w:rPr>
      </w:pPr>
      <w:r w:rsidRPr="005F15DA">
        <w:rPr>
          <w:rFonts w:ascii="Book Antiqua" w:hAnsi="Book Antiqua"/>
          <w:sz w:val="24"/>
        </w:rPr>
        <w:t xml:space="preserve">Gebäude </w:t>
      </w:r>
      <w:proofErr w:type="spellStart"/>
      <w:r w:rsidRPr="005F15DA">
        <w:rPr>
          <w:rFonts w:ascii="Book Antiqua" w:hAnsi="Book Antiqua"/>
          <w:sz w:val="24"/>
        </w:rPr>
        <w:t>Kuhweid</w:t>
      </w:r>
      <w:proofErr w:type="spellEnd"/>
      <w:r w:rsidRPr="005F15DA">
        <w:rPr>
          <w:rFonts w:ascii="Book Antiqua" w:hAnsi="Book Antiqua"/>
          <w:sz w:val="24"/>
        </w:rPr>
        <w:t xml:space="preserve"> 12 und 12 A sowie</w:t>
      </w:r>
    </w:p>
    <w:p w:rsidR="00B51338" w:rsidRPr="005F15DA" w:rsidRDefault="00B51338" w:rsidP="00B51338">
      <w:pPr>
        <w:tabs>
          <w:tab w:val="right" w:pos="8222"/>
        </w:tabs>
        <w:rPr>
          <w:rFonts w:ascii="Book Antiqua" w:hAnsi="Book Antiqua"/>
          <w:sz w:val="24"/>
        </w:rPr>
      </w:pPr>
      <w:r w:rsidRPr="005F15DA">
        <w:rPr>
          <w:rFonts w:ascii="Book Antiqua" w:hAnsi="Book Antiqua"/>
          <w:sz w:val="24"/>
        </w:rPr>
        <w:t>14'944 m</w:t>
      </w:r>
      <w:r w:rsidRPr="005F15DA">
        <w:rPr>
          <w:rFonts w:ascii="Book Antiqua" w:hAnsi="Book Antiqua"/>
          <w:sz w:val="24"/>
          <w:vertAlign w:val="superscript"/>
        </w:rPr>
        <w:t>2</w:t>
      </w:r>
      <w:r w:rsidRPr="005F15DA">
        <w:rPr>
          <w:rFonts w:ascii="Book Antiqua" w:hAnsi="Book Antiqua"/>
          <w:sz w:val="24"/>
        </w:rPr>
        <w:t xml:space="preserve"> Gebäude, Acker, Wiese, Weide, Gartenanlage, Hofraum, </w:t>
      </w:r>
      <w:proofErr w:type="spellStart"/>
      <w:r w:rsidRPr="005F15DA">
        <w:rPr>
          <w:rFonts w:ascii="Book Antiqua" w:hAnsi="Book Antiqua"/>
          <w:sz w:val="24"/>
        </w:rPr>
        <w:t>Kuhweid</w:t>
      </w:r>
      <w:proofErr w:type="spellEnd"/>
      <w:r w:rsidRPr="005F15DA">
        <w:rPr>
          <w:rFonts w:ascii="Book Antiqua" w:hAnsi="Book Antiqua"/>
          <w:sz w:val="24"/>
        </w:rPr>
        <w:t>, Sel</w:t>
      </w:r>
      <w:r w:rsidRPr="005F15DA">
        <w:rPr>
          <w:rFonts w:ascii="Book Antiqua" w:hAnsi="Book Antiqua"/>
          <w:sz w:val="24"/>
        </w:rPr>
        <w:t>d</w:t>
      </w:r>
      <w:r w:rsidRPr="005F15DA">
        <w:rPr>
          <w:rFonts w:ascii="Book Antiqua" w:hAnsi="Book Antiqua"/>
          <w:sz w:val="24"/>
        </w:rPr>
        <w:t>wyla, Plan 2214</w:t>
      </w:r>
    </w:p>
    <w:p w:rsidR="00B51338" w:rsidRPr="005F15DA" w:rsidRDefault="00B51338" w:rsidP="00B51338">
      <w:pPr>
        <w:tabs>
          <w:tab w:val="right" w:pos="8222"/>
        </w:tabs>
        <w:rPr>
          <w:rFonts w:ascii="Book Antiqua" w:hAnsi="Book Antiqua"/>
          <w:sz w:val="24"/>
        </w:rPr>
      </w:pPr>
    </w:p>
    <w:p w:rsidR="00B51338" w:rsidRPr="005F15DA" w:rsidRDefault="00B51338" w:rsidP="00B51338">
      <w:pPr>
        <w:tabs>
          <w:tab w:val="right" w:pos="8222"/>
        </w:tabs>
        <w:rPr>
          <w:rFonts w:ascii="Book Antiqua" w:hAnsi="Book Antiqua"/>
          <w:sz w:val="24"/>
        </w:rPr>
      </w:pPr>
    </w:p>
    <w:p w:rsidR="00B51338" w:rsidRPr="005F15DA" w:rsidRDefault="00B51338" w:rsidP="00B51338">
      <w:pPr>
        <w:tabs>
          <w:tab w:val="right" w:pos="8222"/>
        </w:tabs>
        <w:rPr>
          <w:rFonts w:ascii="Book Antiqua" w:hAnsi="Book Antiqua"/>
          <w:sz w:val="24"/>
        </w:rPr>
      </w:pPr>
    </w:p>
    <w:p w:rsidR="00B51338" w:rsidRPr="005F15DA" w:rsidRDefault="00B51338" w:rsidP="00CA403B">
      <w:pPr>
        <w:pStyle w:val="berschrift4"/>
        <w:rPr>
          <w:rFonts w:ascii="Book Antiqua" w:hAnsi="Book Antiqua"/>
        </w:rPr>
      </w:pPr>
      <w:r w:rsidRPr="005F15DA">
        <w:rPr>
          <w:rFonts w:ascii="Book Antiqua" w:hAnsi="Book Antiqua"/>
        </w:rPr>
        <w:t>II. Vorbericht</w:t>
      </w:r>
    </w:p>
    <w:p w:rsidR="00B51338" w:rsidRPr="005F15DA" w:rsidRDefault="00CA403B" w:rsidP="00B51338">
      <w:pPr>
        <w:tabs>
          <w:tab w:val="right" w:pos="8222"/>
        </w:tabs>
        <w:spacing w:line="120" w:lineRule="auto"/>
        <w:rPr>
          <w:rFonts w:ascii="Book Antiqua" w:hAnsi="Book Antiqua"/>
          <w:sz w:val="28"/>
        </w:rPr>
      </w:pPr>
      <w:r w:rsidRPr="005F15DA">
        <w:rPr>
          <w:rFonts w:ascii="Book Antiqua" w:hAnsi="Book Antiqua"/>
          <w:sz w:val="28"/>
        </w:rPr>
        <w:t>___________</w:t>
      </w:r>
    </w:p>
    <w:p w:rsidR="00B51338" w:rsidRPr="005F15DA" w:rsidRDefault="00B51338" w:rsidP="00B51338">
      <w:pPr>
        <w:tabs>
          <w:tab w:val="right" w:pos="8222"/>
        </w:tabs>
        <w:spacing w:before="120"/>
        <w:rPr>
          <w:rFonts w:ascii="Book Antiqua" w:hAnsi="Book Antiqua"/>
          <w:sz w:val="24"/>
        </w:rPr>
      </w:pPr>
      <w:r w:rsidRPr="005F15DA">
        <w:rPr>
          <w:rFonts w:ascii="Book Antiqua" w:hAnsi="Book Antiqua"/>
          <w:sz w:val="24"/>
        </w:rPr>
        <w:t>Herr Hans Müller beabsichtigt auf seinem Grundstück Nr. 339 den Abriss des G</w:t>
      </w:r>
      <w:r w:rsidRPr="005F15DA">
        <w:rPr>
          <w:rFonts w:ascii="Book Antiqua" w:hAnsi="Book Antiqua"/>
          <w:sz w:val="24"/>
        </w:rPr>
        <w:t>e</w:t>
      </w:r>
      <w:r w:rsidRPr="005F15DA">
        <w:rPr>
          <w:rFonts w:ascii="Book Antiqua" w:hAnsi="Book Antiqua"/>
          <w:sz w:val="24"/>
        </w:rPr>
        <w:t>bäudes Nr. 12A und den Neubau eines Wohn- und Ökonomie-Gebäudes. Dieses neu zu erstellende Gebäude ragt auf Grundstück Nr. 425 über. Zur dinglichen Sicherung des neu zu erstellenden Gebäudes wird ein Überbaurecht als Dienstbarkeit begrü</w:t>
      </w:r>
      <w:r w:rsidRPr="005F15DA">
        <w:rPr>
          <w:rFonts w:ascii="Book Antiqua" w:hAnsi="Book Antiqua"/>
          <w:sz w:val="24"/>
        </w:rPr>
        <w:t>n</w:t>
      </w:r>
      <w:r w:rsidRPr="005F15DA">
        <w:rPr>
          <w:rFonts w:ascii="Book Antiqua" w:hAnsi="Book Antiqua"/>
          <w:sz w:val="24"/>
        </w:rPr>
        <w:t>det.</w:t>
      </w:r>
    </w:p>
    <w:p w:rsidR="00B51338" w:rsidRPr="005F15DA" w:rsidRDefault="00B51338" w:rsidP="00B51338">
      <w:pPr>
        <w:tabs>
          <w:tab w:val="right" w:pos="8222"/>
        </w:tabs>
        <w:rPr>
          <w:rFonts w:ascii="Book Antiqua" w:hAnsi="Book Antiqua"/>
          <w:sz w:val="24"/>
        </w:rPr>
      </w:pPr>
    </w:p>
    <w:p w:rsidR="00B51338" w:rsidRPr="005F15DA" w:rsidRDefault="00B51338" w:rsidP="00B51338">
      <w:pPr>
        <w:tabs>
          <w:tab w:val="right" w:pos="8222"/>
        </w:tabs>
        <w:rPr>
          <w:rFonts w:ascii="Book Antiqua" w:hAnsi="Book Antiqua"/>
          <w:sz w:val="24"/>
        </w:rPr>
      </w:pPr>
    </w:p>
    <w:p w:rsidR="00B51338" w:rsidRPr="005F15DA" w:rsidRDefault="00B51338" w:rsidP="00B51338">
      <w:pPr>
        <w:tabs>
          <w:tab w:val="right" w:pos="8222"/>
        </w:tabs>
        <w:rPr>
          <w:rFonts w:ascii="Book Antiqua" w:hAnsi="Book Antiqua"/>
          <w:sz w:val="24"/>
        </w:rPr>
      </w:pPr>
    </w:p>
    <w:p w:rsidR="00B51338" w:rsidRPr="005F15DA" w:rsidRDefault="00B51338" w:rsidP="00CA403B">
      <w:pPr>
        <w:pStyle w:val="berschrift4"/>
        <w:rPr>
          <w:rFonts w:ascii="Book Antiqua" w:hAnsi="Book Antiqua"/>
        </w:rPr>
      </w:pPr>
      <w:r w:rsidRPr="005F15DA">
        <w:rPr>
          <w:rFonts w:ascii="Book Antiqua" w:hAnsi="Book Antiqua"/>
        </w:rPr>
        <w:t>III. Dienstbarkeitserrichtung</w:t>
      </w:r>
    </w:p>
    <w:p w:rsidR="00B51338" w:rsidRPr="005F15DA" w:rsidRDefault="00CA403B" w:rsidP="00B51338">
      <w:pPr>
        <w:tabs>
          <w:tab w:val="right" w:pos="8222"/>
        </w:tabs>
        <w:spacing w:line="120" w:lineRule="auto"/>
        <w:rPr>
          <w:rFonts w:ascii="Book Antiqua" w:hAnsi="Book Antiqua"/>
          <w:sz w:val="28"/>
        </w:rPr>
      </w:pPr>
      <w:r w:rsidRPr="005F15DA">
        <w:rPr>
          <w:rFonts w:ascii="Book Antiqua" w:hAnsi="Book Antiqua"/>
          <w:sz w:val="28"/>
        </w:rPr>
        <w:t>_______________________</w:t>
      </w:r>
    </w:p>
    <w:p w:rsidR="00B51338" w:rsidRPr="005F15DA" w:rsidRDefault="00B51338" w:rsidP="00B51338">
      <w:pPr>
        <w:tabs>
          <w:tab w:val="right" w:pos="8222"/>
        </w:tabs>
        <w:spacing w:before="120"/>
        <w:rPr>
          <w:rFonts w:ascii="Book Antiqua" w:hAnsi="Book Antiqua"/>
          <w:sz w:val="24"/>
        </w:rPr>
      </w:pPr>
      <w:r w:rsidRPr="005F15DA">
        <w:rPr>
          <w:rFonts w:ascii="Book Antiqua" w:hAnsi="Book Antiqua"/>
          <w:sz w:val="24"/>
        </w:rPr>
        <w:t>Frau Anna Moser Liechti für sich und ihre Rechtsnachfolger gewährt dem jeweiligen Eigentümer des Grundstückes Nr. 339 das dingliche Recht, einen Teil des auf Nr. 339 neu zu erstellenden und auf Grundstück Nr. 425 überragenden Gebäudes zu erste</w:t>
      </w:r>
      <w:r w:rsidRPr="005F15DA">
        <w:rPr>
          <w:rFonts w:ascii="Book Antiqua" w:hAnsi="Book Antiqua"/>
          <w:sz w:val="24"/>
        </w:rPr>
        <w:t>l</w:t>
      </w:r>
      <w:r w:rsidRPr="005F15DA">
        <w:rPr>
          <w:rFonts w:ascii="Book Antiqua" w:hAnsi="Book Antiqua"/>
          <w:sz w:val="24"/>
        </w:rPr>
        <w:t>len, zu unterhalten und gegebenenfalls wieder aufzubauen.</w:t>
      </w:r>
    </w:p>
    <w:p w:rsidR="00B51338" w:rsidRPr="005F15DA" w:rsidRDefault="00B51338" w:rsidP="00B51338">
      <w:pPr>
        <w:tabs>
          <w:tab w:val="right" w:pos="8222"/>
        </w:tabs>
        <w:spacing w:before="120"/>
        <w:rPr>
          <w:rFonts w:ascii="Book Antiqua" w:hAnsi="Book Antiqua"/>
          <w:sz w:val="24"/>
        </w:rPr>
      </w:pPr>
      <w:r w:rsidRPr="005F15DA">
        <w:rPr>
          <w:rFonts w:ascii="Book Antiqua" w:hAnsi="Book Antiqua"/>
          <w:sz w:val="24"/>
        </w:rPr>
        <w:t>Bezüglich der genauen Lage des neu zu erstellenden Gebäudes (Überbaurechtes) wird auf den beiliegenden Plan verwiesen, in welchem der auf Nr. 425 überragende G</w:t>
      </w:r>
      <w:r w:rsidRPr="005F15DA">
        <w:rPr>
          <w:rFonts w:ascii="Book Antiqua" w:hAnsi="Book Antiqua"/>
          <w:sz w:val="24"/>
        </w:rPr>
        <w:t>e</w:t>
      </w:r>
      <w:r w:rsidRPr="005F15DA">
        <w:rPr>
          <w:rFonts w:ascii="Book Antiqua" w:hAnsi="Book Antiqua"/>
          <w:sz w:val="24"/>
        </w:rPr>
        <w:t>bäudeteil rot eingezeichnet ist.</w:t>
      </w:r>
    </w:p>
    <w:p w:rsidR="00B51338" w:rsidRPr="005F15DA" w:rsidRDefault="00B51338" w:rsidP="00B51338">
      <w:pPr>
        <w:tabs>
          <w:tab w:val="right" w:pos="8222"/>
        </w:tabs>
        <w:spacing w:before="120"/>
        <w:rPr>
          <w:rFonts w:ascii="Book Antiqua" w:hAnsi="Book Antiqua"/>
          <w:sz w:val="24"/>
        </w:rPr>
      </w:pPr>
      <w:r w:rsidRPr="005F15DA">
        <w:rPr>
          <w:rFonts w:ascii="Book Antiqua" w:hAnsi="Book Antiqua"/>
          <w:sz w:val="24"/>
        </w:rPr>
        <w:t>Die Kosten für Erstellung und Unterhalt des neu zu erstellenden Gebäudes werden vom Berechtigten getragen.</w:t>
      </w:r>
    </w:p>
    <w:p w:rsidR="00B51338" w:rsidRPr="005F15DA" w:rsidRDefault="00B51338" w:rsidP="00B51338">
      <w:pPr>
        <w:tabs>
          <w:tab w:val="right" w:pos="8222"/>
        </w:tabs>
        <w:spacing w:before="120"/>
        <w:rPr>
          <w:rFonts w:ascii="Book Antiqua" w:hAnsi="Book Antiqua"/>
          <w:sz w:val="24"/>
        </w:rPr>
      </w:pPr>
      <w:r w:rsidRPr="005F15DA">
        <w:rPr>
          <w:rFonts w:ascii="Book Antiqua" w:hAnsi="Book Antiqua"/>
          <w:sz w:val="24"/>
        </w:rPr>
        <w:t>Diese Dienstbarkeit wird auf unbestimmte Dauer und ohne Entschädigung eing</w:t>
      </w:r>
      <w:r w:rsidRPr="005F15DA">
        <w:rPr>
          <w:rFonts w:ascii="Book Antiqua" w:hAnsi="Book Antiqua"/>
          <w:sz w:val="24"/>
        </w:rPr>
        <w:t>e</w:t>
      </w:r>
      <w:r w:rsidRPr="005F15DA">
        <w:rPr>
          <w:rFonts w:ascii="Book Antiqua" w:hAnsi="Book Antiqua"/>
          <w:sz w:val="24"/>
        </w:rPr>
        <w:t>räumt.</w:t>
      </w:r>
    </w:p>
    <w:p w:rsidR="00B51338" w:rsidRPr="005F15DA" w:rsidRDefault="00B51338" w:rsidP="00B51338">
      <w:pPr>
        <w:tabs>
          <w:tab w:val="right" w:pos="8222"/>
        </w:tabs>
        <w:spacing w:before="120"/>
        <w:rPr>
          <w:rFonts w:ascii="Book Antiqua" w:hAnsi="Book Antiqua"/>
          <w:sz w:val="24"/>
        </w:rPr>
      </w:pPr>
      <w:r w:rsidRPr="005F15DA">
        <w:rPr>
          <w:rFonts w:ascii="Book Antiqua" w:hAnsi="Book Antiqua"/>
          <w:sz w:val="24"/>
        </w:rPr>
        <w:lastRenderedPageBreak/>
        <w:t>Diese Dienstbarkeit ist unter dem Stichwort „</w:t>
      </w:r>
      <w:r w:rsidRPr="005F15DA">
        <w:rPr>
          <w:rFonts w:ascii="Book Antiqua" w:hAnsi="Book Antiqua"/>
          <w:b/>
          <w:sz w:val="24"/>
        </w:rPr>
        <w:t>Überbaurecht</w:t>
      </w:r>
      <w:r w:rsidRPr="005F15DA">
        <w:rPr>
          <w:rFonts w:ascii="Book Antiqua" w:hAnsi="Book Antiqua"/>
          <w:sz w:val="24"/>
        </w:rPr>
        <w:t>“ im Grundbuch einzutr</w:t>
      </w:r>
      <w:r w:rsidRPr="005F15DA">
        <w:rPr>
          <w:rFonts w:ascii="Book Antiqua" w:hAnsi="Book Antiqua"/>
          <w:sz w:val="24"/>
        </w:rPr>
        <w:t>a</w:t>
      </w:r>
      <w:r w:rsidRPr="005F15DA">
        <w:rPr>
          <w:rFonts w:ascii="Book Antiqua" w:hAnsi="Book Antiqua"/>
          <w:sz w:val="24"/>
        </w:rPr>
        <w:t>gen</w:t>
      </w:r>
    </w:p>
    <w:p w:rsidR="00B51338" w:rsidRPr="005F15DA" w:rsidRDefault="00B51338" w:rsidP="00B51338">
      <w:pPr>
        <w:tabs>
          <w:tab w:val="right" w:pos="8222"/>
        </w:tabs>
        <w:rPr>
          <w:rFonts w:ascii="Book Antiqua" w:hAnsi="Book Antiqua"/>
          <w:sz w:val="24"/>
        </w:rPr>
      </w:pPr>
      <w:r w:rsidRPr="005F15DA">
        <w:rPr>
          <w:rFonts w:ascii="Book Antiqua" w:hAnsi="Book Antiqua"/>
          <w:sz w:val="24"/>
        </w:rPr>
        <w:t>als Last auf Seldwyla-Grundbuchblatt Nr. 425 und</w:t>
      </w:r>
    </w:p>
    <w:p w:rsidR="00B51338" w:rsidRPr="005F15DA" w:rsidRDefault="00B51338" w:rsidP="00B51338">
      <w:pPr>
        <w:tabs>
          <w:tab w:val="right" w:pos="8222"/>
        </w:tabs>
        <w:rPr>
          <w:rFonts w:ascii="Book Antiqua" w:hAnsi="Book Antiqua"/>
          <w:sz w:val="24"/>
        </w:rPr>
      </w:pPr>
      <w:r w:rsidRPr="005F15DA">
        <w:rPr>
          <w:rFonts w:ascii="Book Antiqua" w:hAnsi="Book Antiqua"/>
          <w:sz w:val="24"/>
        </w:rPr>
        <w:t>als Recht auf Seldwyla-Grundbuchblatt Nr. 339.</w:t>
      </w:r>
    </w:p>
    <w:p w:rsidR="00B51338" w:rsidRPr="005F15DA" w:rsidRDefault="00B51338" w:rsidP="00B51338">
      <w:pPr>
        <w:tabs>
          <w:tab w:val="right" w:pos="8222"/>
        </w:tabs>
        <w:rPr>
          <w:rFonts w:ascii="Book Antiqua" w:hAnsi="Book Antiqua"/>
          <w:sz w:val="24"/>
        </w:rPr>
      </w:pPr>
    </w:p>
    <w:p w:rsidR="00B51338" w:rsidRPr="005F15DA" w:rsidRDefault="00B51338" w:rsidP="00B51338">
      <w:pPr>
        <w:tabs>
          <w:tab w:val="right" w:pos="8222"/>
        </w:tabs>
        <w:rPr>
          <w:rFonts w:ascii="Book Antiqua" w:hAnsi="Book Antiqua"/>
          <w:sz w:val="24"/>
        </w:rPr>
      </w:pPr>
    </w:p>
    <w:p w:rsidR="00B51338" w:rsidRPr="005F15DA" w:rsidRDefault="00B51338" w:rsidP="00B51338">
      <w:pPr>
        <w:tabs>
          <w:tab w:val="right" w:pos="8222"/>
        </w:tabs>
        <w:rPr>
          <w:rFonts w:ascii="Book Antiqua" w:hAnsi="Book Antiqua"/>
          <w:sz w:val="24"/>
        </w:rPr>
      </w:pPr>
    </w:p>
    <w:p w:rsidR="00B51338" w:rsidRPr="005F15DA" w:rsidRDefault="00B51338" w:rsidP="00CA403B">
      <w:pPr>
        <w:pStyle w:val="berschrift4"/>
        <w:rPr>
          <w:rFonts w:ascii="Book Antiqua" w:hAnsi="Book Antiqua"/>
        </w:rPr>
      </w:pPr>
      <w:r w:rsidRPr="005F15DA">
        <w:rPr>
          <w:rFonts w:ascii="Book Antiqua" w:hAnsi="Book Antiqua"/>
        </w:rPr>
        <w:t>IV. Schlussbestimmungen</w:t>
      </w:r>
    </w:p>
    <w:p w:rsidR="00B51338" w:rsidRPr="005F15DA" w:rsidRDefault="00CA403B" w:rsidP="00B51338">
      <w:pPr>
        <w:tabs>
          <w:tab w:val="right" w:pos="8222"/>
        </w:tabs>
        <w:spacing w:line="120" w:lineRule="auto"/>
        <w:rPr>
          <w:rFonts w:ascii="Book Antiqua" w:hAnsi="Book Antiqua"/>
          <w:sz w:val="28"/>
        </w:rPr>
      </w:pPr>
      <w:r w:rsidRPr="005F15DA">
        <w:rPr>
          <w:rFonts w:ascii="Book Antiqua" w:hAnsi="Book Antiqua"/>
          <w:sz w:val="28"/>
        </w:rPr>
        <w:t>_____________________</w:t>
      </w:r>
    </w:p>
    <w:p w:rsidR="00B51338" w:rsidRPr="005F15DA" w:rsidRDefault="00B51338" w:rsidP="00B51338">
      <w:pPr>
        <w:tabs>
          <w:tab w:val="right" w:pos="8222"/>
        </w:tabs>
        <w:spacing w:before="120"/>
        <w:ind w:hanging="425"/>
        <w:rPr>
          <w:rFonts w:ascii="Book Antiqua" w:hAnsi="Book Antiqua"/>
          <w:sz w:val="24"/>
        </w:rPr>
      </w:pPr>
      <w:r w:rsidRPr="005F15DA">
        <w:rPr>
          <w:rFonts w:ascii="Book Antiqua" w:hAnsi="Book Antiqua"/>
          <w:sz w:val="24"/>
        </w:rPr>
        <w:t>1.</w:t>
      </w:r>
      <w:r w:rsidRPr="005F15DA">
        <w:rPr>
          <w:rFonts w:ascii="Book Antiqua" w:hAnsi="Book Antiqua"/>
          <w:sz w:val="24"/>
        </w:rPr>
        <w:tab/>
      </w:r>
      <w:r w:rsidRPr="005F15DA">
        <w:rPr>
          <w:rFonts w:ascii="Book Antiqua" w:hAnsi="Book Antiqua"/>
          <w:b/>
          <w:sz w:val="24"/>
        </w:rPr>
        <w:t>Kosten</w:t>
      </w:r>
    </w:p>
    <w:p w:rsidR="00B51338" w:rsidRPr="005F15DA" w:rsidRDefault="00B51338" w:rsidP="00B51338">
      <w:pPr>
        <w:tabs>
          <w:tab w:val="right" w:pos="8222"/>
        </w:tabs>
        <w:spacing w:after="120"/>
        <w:ind w:hanging="425"/>
        <w:rPr>
          <w:rFonts w:ascii="Book Antiqua" w:hAnsi="Book Antiqua"/>
          <w:sz w:val="24"/>
        </w:rPr>
      </w:pPr>
      <w:r w:rsidRPr="005F15DA">
        <w:rPr>
          <w:rFonts w:ascii="Book Antiqua" w:hAnsi="Book Antiqua"/>
          <w:sz w:val="24"/>
        </w:rPr>
        <w:tab/>
        <w:t>Die Kosten dieses Vertrages (Geometer, Grundbuch und Notar) werden von Herrn Hans Müller getragen.</w:t>
      </w:r>
    </w:p>
    <w:p w:rsidR="00B51338" w:rsidRPr="005F15DA" w:rsidRDefault="00B51338" w:rsidP="00B51338">
      <w:pPr>
        <w:tabs>
          <w:tab w:val="right" w:pos="8222"/>
        </w:tabs>
        <w:ind w:hanging="425"/>
        <w:rPr>
          <w:rFonts w:ascii="Book Antiqua" w:hAnsi="Book Antiqua"/>
          <w:sz w:val="24"/>
        </w:rPr>
      </w:pPr>
      <w:r w:rsidRPr="005F15DA">
        <w:rPr>
          <w:rFonts w:ascii="Book Antiqua" w:hAnsi="Book Antiqua"/>
          <w:sz w:val="24"/>
        </w:rPr>
        <w:t>2.</w:t>
      </w:r>
      <w:r w:rsidRPr="005F15DA">
        <w:rPr>
          <w:rFonts w:ascii="Book Antiqua" w:hAnsi="Book Antiqua"/>
          <w:sz w:val="24"/>
        </w:rPr>
        <w:tab/>
      </w:r>
      <w:r w:rsidRPr="005F15DA">
        <w:rPr>
          <w:rFonts w:ascii="Book Antiqua" w:hAnsi="Book Antiqua"/>
          <w:b/>
          <w:sz w:val="24"/>
        </w:rPr>
        <w:t>Eintragungsbewilligung</w:t>
      </w:r>
    </w:p>
    <w:p w:rsidR="00B51338" w:rsidRPr="005F15DA" w:rsidRDefault="00B51338" w:rsidP="00B51338">
      <w:pPr>
        <w:tabs>
          <w:tab w:val="right" w:pos="8222"/>
        </w:tabs>
        <w:ind w:hanging="425"/>
        <w:rPr>
          <w:rFonts w:ascii="Book Antiqua" w:hAnsi="Book Antiqua"/>
          <w:sz w:val="24"/>
        </w:rPr>
      </w:pPr>
      <w:r w:rsidRPr="005F15DA">
        <w:rPr>
          <w:rFonts w:ascii="Book Antiqua" w:hAnsi="Book Antiqua"/>
          <w:sz w:val="24"/>
        </w:rPr>
        <w:tab/>
        <w:t>Die Parteien erteilen ihre Einwilligung, sämtlich sich aus dieser Urkunde ergebenden Einschreibungen im Grundbuch vorzunehmen.</w:t>
      </w:r>
    </w:p>
    <w:p w:rsidR="00B51338" w:rsidRPr="005F15DA" w:rsidRDefault="00B51338" w:rsidP="00B51338">
      <w:pPr>
        <w:tabs>
          <w:tab w:val="right" w:pos="8222"/>
        </w:tabs>
        <w:spacing w:before="120"/>
        <w:ind w:hanging="425"/>
        <w:rPr>
          <w:rFonts w:ascii="Book Antiqua" w:hAnsi="Book Antiqua"/>
          <w:sz w:val="24"/>
        </w:rPr>
      </w:pPr>
      <w:r w:rsidRPr="005F15DA">
        <w:rPr>
          <w:rFonts w:ascii="Book Antiqua" w:hAnsi="Book Antiqua"/>
          <w:sz w:val="24"/>
        </w:rPr>
        <w:t>3.</w:t>
      </w:r>
      <w:r w:rsidRPr="005F15DA">
        <w:rPr>
          <w:rFonts w:ascii="Book Antiqua" w:hAnsi="Book Antiqua"/>
          <w:sz w:val="24"/>
        </w:rPr>
        <w:tab/>
      </w:r>
      <w:r w:rsidRPr="005F15DA">
        <w:rPr>
          <w:rFonts w:ascii="Book Antiqua" w:hAnsi="Book Antiqua"/>
          <w:b/>
          <w:sz w:val="24"/>
        </w:rPr>
        <w:t>Ausfertigungen</w:t>
      </w:r>
    </w:p>
    <w:p w:rsidR="00B51338" w:rsidRPr="005F15DA" w:rsidRDefault="00B51338" w:rsidP="00B51338">
      <w:pPr>
        <w:tabs>
          <w:tab w:val="right" w:pos="8222"/>
        </w:tabs>
        <w:spacing w:after="120"/>
        <w:rPr>
          <w:rFonts w:ascii="Book Antiqua" w:hAnsi="Book Antiqua"/>
          <w:sz w:val="24"/>
        </w:rPr>
      </w:pPr>
      <w:r w:rsidRPr="005F15DA">
        <w:rPr>
          <w:rFonts w:ascii="Book Antiqua" w:hAnsi="Book Antiqua"/>
          <w:sz w:val="24"/>
        </w:rPr>
        <w:t>Diese Urschrift ist für das Kreisgrundbuchamt Waldsee und die Vertragsparteien dreifach auszufertigen.</w:t>
      </w:r>
    </w:p>
    <w:p w:rsidR="00B51338" w:rsidRPr="005F15DA" w:rsidRDefault="00B51338" w:rsidP="00B51338">
      <w:pPr>
        <w:tabs>
          <w:tab w:val="right" w:pos="8222"/>
        </w:tabs>
        <w:rPr>
          <w:rFonts w:ascii="Book Antiqua" w:hAnsi="Book Antiqua"/>
          <w:sz w:val="24"/>
        </w:rPr>
      </w:pPr>
      <w:r w:rsidRPr="005F15DA">
        <w:rPr>
          <w:rFonts w:ascii="Book Antiqua" w:hAnsi="Book Antiqua"/>
          <w:sz w:val="24"/>
        </w:rPr>
        <w:t>Der Notar liest diese Urkunde den ihm persönlich bekannten und handlungsfähigen Urkundsparteien vor und unterzeichnet die Urschrift mit diesen.</w:t>
      </w:r>
    </w:p>
    <w:p w:rsidR="00B51338" w:rsidRPr="005F15DA" w:rsidRDefault="00B51338" w:rsidP="00B51338">
      <w:pPr>
        <w:tabs>
          <w:tab w:val="right" w:pos="8222"/>
        </w:tabs>
        <w:spacing w:before="120" w:after="120"/>
        <w:rPr>
          <w:rFonts w:ascii="Book Antiqua" w:hAnsi="Book Antiqua"/>
          <w:sz w:val="24"/>
        </w:rPr>
      </w:pPr>
      <w:r w:rsidRPr="005F15DA">
        <w:rPr>
          <w:rFonts w:ascii="Book Antiqua" w:hAnsi="Book Antiqua"/>
          <w:sz w:val="24"/>
        </w:rPr>
        <w:t xml:space="preserve">Beurkundet ohne Unterbrechung und in Anwesenheit aller Mitwirkenden im Büro des Notars in Bern am achtzehnten März </w:t>
      </w:r>
      <w:proofErr w:type="spellStart"/>
      <w:r w:rsidRPr="005F15DA">
        <w:rPr>
          <w:rFonts w:ascii="Book Antiqua" w:hAnsi="Book Antiqua"/>
          <w:sz w:val="24"/>
        </w:rPr>
        <w:t>zweitausendundneun</w:t>
      </w:r>
      <w:proofErr w:type="spellEnd"/>
      <w:r w:rsidRPr="005F15DA">
        <w:rPr>
          <w:rFonts w:ascii="Book Antiqua" w:hAnsi="Book Antiqua"/>
          <w:sz w:val="24"/>
        </w:rPr>
        <w:t>.</w:t>
      </w:r>
    </w:p>
    <w:p w:rsidR="00B51338" w:rsidRPr="005F15DA" w:rsidRDefault="00B51338" w:rsidP="00B51338">
      <w:pPr>
        <w:tabs>
          <w:tab w:val="right" w:pos="8222"/>
        </w:tabs>
        <w:jc w:val="center"/>
        <w:rPr>
          <w:rFonts w:ascii="Book Antiqua" w:hAnsi="Book Antiqua"/>
          <w:sz w:val="24"/>
          <w:u w:val="single"/>
        </w:rPr>
      </w:pPr>
      <w:r w:rsidRPr="005F15DA">
        <w:rPr>
          <w:rFonts w:ascii="Book Antiqua" w:hAnsi="Book Antiqua"/>
          <w:sz w:val="24"/>
          <w:u w:val="single"/>
        </w:rPr>
        <w:t>D.d. 18. März 2009</w:t>
      </w:r>
    </w:p>
    <w:p w:rsidR="00B51338" w:rsidRPr="005F15DA" w:rsidRDefault="00B51338" w:rsidP="00B51338">
      <w:pPr>
        <w:tabs>
          <w:tab w:val="left" w:pos="4962"/>
          <w:tab w:val="right" w:pos="8222"/>
        </w:tabs>
        <w:spacing w:before="480"/>
        <w:rPr>
          <w:rFonts w:ascii="Book Antiqua" w:hAnsi="Book Antiqua"/>
          <w:sz w:val="24"/>
        </w:rPr>
      </w:pPr>
      <w:r w:rsidRPr="005F15DA">
        <w:rPr>
          <w:rFonts w:ascii="Book Antiqua" w:hAnsi="Book Antiqua"/>
          <w:sz w:val="24"/>
        </w:rPr>
        <w:t>Frau Anna Moser Liechti:</w:t>
      </w:r>
      <w:r w:rsidRPr="005F15DA">
        <w:rPr>
          <w:rFonts w:ascii="Book Antiqua" w:hAnsi="Book Antiqua"/>
          <w:sz w:val="24"/>
        </w:rPr>
        <w:tab/>
        <w:t>Herr Hans Müller:</w:t>
      </w:r>
    </w:p>
    <w:p w:rsidR="00B51338" w:rsidRPr="005F15DA" w:rsidRDefault="00B51338" w:rsidP="00B51338">
      <w:pPr>
        <w:tabs>
          <w:tab w:val="left" w:pos="5670"/>
          <w:tab w:val="right" w:pos="8222"/>
        </w:tabs>
        <w:rPr>
          <w:rFonts w:ascii="Book Antiqua" w:hAnsi="Book Antiqua"/>
          <w:sz w:val="24"/>
        </w:rPr>
      </w:pPr>
    </w:p>
    <w:p w:rsidR="00B51338" w:rsidRPr="005F15DA" w:rsidRDefault="00B51338" w:rsidP="00B51338">
      <w:pPr>
        <w:tabs>
          <w:tab w:val="left" w:pos="5670"/>
          <w:tab w:val="right" w:pos="8222"/>
        </w:tabs>
        <w:rPr>
          <w:rFonts w:ascii="Book Antiqua" w:hAnsi="Book Antiqua"/>
          <w:sz w:val="24"/>
        </w:rPr>
      </w:pPr>
    </w:p>
    <w:p w:rsidR="00B51338" w:rsidRPr="005F15DA" w:rsidRDefault="00B51338" w:rsidP="00B51338">
      <w:pPr>
        <w:tabs>
          <w:tab w:val="left" w:pos="5670"/>
          <w:tab w:val="right" w:pos="8222"/>
        </w:tabs>
        <w:rPr>
          <w:rFonts w:ascii="Book Antiqua" w:hAnsi="Book Antiqua"/>
          <w:sz w:val="24"/>
        </w:rPr>
      </w:pPr>
      <w:r w:rsidRPr="005F15DA">
        <w:rPr>
          <w:rFonts w:ascii="Book Antiqua" w:hAnsi="Book Antiqua"/>
          <w:sz w:val="24"/>
        </w:rPr>
        <w:t>Der Notar:</w:t>
      </w:r>
    </w:p>
    <w:p w:rsidR="00B51338" w:rsidRPr="005F15DA" w:rsidRDefault="00B51338" w:rsidP="00B51338">
      <w:pPr>
        <w:rPr>
          <w:szCs w:val="22"/>
        </w:rPr>
      </w:pPr>
    </w:p>
    <w:p w:rsidR="00B51338" w:rsidRPr="005F15DA" w:rsidRDefault="00B51338" w:rsidP="00B51338">
      <w:pPr>
        <w:spacing w:after="200"/>
        <w:rPr>
          <w:szCs w:val="22"/>
        </w:rPr>
      </w:pPr>
      <w:r w:rsidRPr="005F15DA">
        <w:rPr>
          <w:szCs w:val="22"/>
        </w:rPr>
        <w:br w:type="page"/>
      </w:r>
    </w:p>
    <w:p w:rsidR="00B51338" w:rsidRPr="005F15DA" w:rsidRDefault="003821FB" w:rsidP="00B51338">
      <w:pPr>
        <w:rPr>
          <w:szCs w:val="22"/>
        </w:rPr>
      </w:pPr>
      <w:r w:rsidRPr="005F15DA">
        <w:rPr>
          <w:noProof/>
          <w:szCs w:val="22"/>
          <w:lang w:eastAsia="de-CH"/>
        </w:rPr>
        <w:lastRenderedPageBreak/>
        <w:drawing>
          <wp:anchor distT="0" distB="0" distL="114300" distR="114300" simplePos="0" relativeHeight="251735040" behindDoc="0" locked="0" layoutInCell="1" allowOverlap="1" wp14:anchorId="6DBDD294" wp14:editId="26446769">
            <wp:simplePos x="0" y="0"/>
            <wp:positionH relativeFrom="column">
              <wp:posOffset>0</wp:posOffset>
            </wp:positionH>
            <wp:positionV relativeFrom="paragraph">
              <wp:posOffset>0</wp:posOffset>
            </wp:positionV>
            <wp:extent cx="5817870" cy="8062595"/>
            <wp:effectExtent l="0" t="0" r="0" b="0"/>
            <wp:wrapTopAndBottom/>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 Überbaurecht.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817870" cy="8062595"/>
                    </a:xfrm>
                    <a:prstGeom prst="rect">
                      <a:avLst/>
                    </a:prstGeom>
                  </pic:spPr>
                </pic:pic>
              </a:graphicData>
            </a:graphic>
          </wp:anchor>
        </w:drawing>
      </w:r>
    </w:p>
    <w:p w:rsidR="00B51338" w:rsidRPr="005F15DA" w:rsidRDefault="00B51338" w:rsidP="00B51338">
      <w:pPr>
        <w:spacing w:after="200"/>
        <w:rPr>
          <w:szCs w:val="22"/>
        </w:rPr>
      </w:pPr>
      <w:r w:rsidRPr="005F15DA">
        <w:rPr>
          <w:szCs w:val="22"/>
        </w:rPr>
        <w:br w:type="page"/>
      </w:r>
    </w:p>
    <w:p w:rsidR="0021446D" w:rsidRPr="005F15DA" w:rsidRDefault="00AC041C" w:rsidP="00AC041C">
      <w:pPr>
        <w:pStyle w:val="berschrift2"/>
      </w:pPr>
      <w:bookmarkStart w:id="206" w:name="_Toc432175726"/>
      <w:r w:rsidRPr="005F15DA">
        <w:lastRenderedPageBreak/>
        <w:t>VII</w:t>
      </w:r>
      <w:r w:rsidR="003821FB" w:rsidRPr="005F15DA">
        <w:t>I</w:t>
      </w:r>
      <w:r w:rsidRPr="005F15DA">
        <w:t>. Gründung GmbH</w:t>
      </w:r>
      <w:bookmarkEnd w:id="206"/>
    </w:p>
    <w:p w:rsidR="00AC041C" w:rsidRPr="005F15DA" w:rsidRDefault="00AC041C" w:rsidP="0021446D">
      <w:pPr>
        <w:rPr>
          <w:szCs w:val="22"/>
        </w:rPr>
      </w:pPr>
    </w:p>
    <w:p w:rsidR="00AC041C" w:rsidRPr="005F15DA" w:rsidRDefault="00AC041C" w:rsidP="00AC041C">
      <w:pPr>
        <w:widowControl w:val="0"/>
        <w:autoSpaceDE w:val="0"/>
        <w:autoSpaceDN w:val="0"/>
        <w:adjustRightInd w:val="0"/>
        <w:rPr>
          <w:rFonts w:ascii="Helvetica" w:hAnsi="Helvetica" w:cs="Helvetica"/>
          <w:b/>
          <w:bCs/>
          <w:sz w:val="12"/>
          <w:szCs w:val="12"/>
        </w:rPr>
      </w:pPr>
      <w:r w:rsidRPr="005F15DA">
        <w:rPr>
          <w:rFonts w:ascii="Helvetica" w:hAnsi="Helvetica" w:cs="Helvetica"/>
          <w:b/>
          <w:bCs/>
          <w:sz w:val="28"/>
          <w:szCs w:val="28"/>
        </w:rPr>
        <w:t>Gründung der Nuber Drogerie GmbH</w:t>
      </w:r>
    </w:p>
    <w:p w:rsidR="00AC041C" w:rsidRPr="005F15DA" w:rsidRDefault="00AC041C" w:rsidP="00AC041C">
      <w:pPr>
        <w:widowControl w:val="0"/>
        <w:autoSpaceDE w:val="0"/>
        <w:autoSpaceDN w:val="0"/>
        <w:adjustRightInd w:val="0"/>
        <w:rPr>
          <w:rFonts w:ascii="Helvetica" w:hAnsi="Helvetica" w:cs="Helvetica"/>
          <w:b/>
          <w:bCs/>
          <w:sz w:val="12"/>
          <w:szCs w:val="12"/>
        </w:rPr>
      </w:pPr>
    </w:p>
    <w:p w:rsidR="00AC041C" w:rsidRPr="005F15DA" w:rsidRDefault="00AC041C" w:rsidP="00AC041C">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A. B., Notar des Kantons Bern, eingetragen im Notariatsregister des Kantons Bern, mit Büro in Bern,</w:t>
      </w: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autoSpaceDE w:val="0"/>
        <w:autoSpaceDN w:val="0"/>
        <w:jc w:val="center"/>
        <w:rPr>
          <w:rFonts w:ascii="Helvetica" w:hAnsi="Helvetica" w:cs="Helvetica"/>
          <w:szCs w:val="22"/>
        </w:rPr>
      </w:pPr>
      <w:r w:rsidRPr="005F15DA">
        <w:rPr>
          <w:rFonts w:ascii="Helvetica" w:hAnsi="Helvetica" w:cs="Helvetica"/>
          <w:i/>
          <w:iCs/>
          <w:szCs w:val="22"/>
        </w:rPr>
        <w:t>beurkundet:</w:t>
      </w:r>
    </w:p>
    <w:p w:rsidR="00AC041C" w:rsidRPr="005F15DA" w:rsidRDefault="00AC041C" w:rsidP="00AC041C">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Herr</w:t>
      </w:r>
    </w:p>
    <w:p w:rsidR="00AC041C" w:rsidRPr="005F15DA" w:rsidRDefault="00AC041C" w:rsidP="00AC041C">
      <w:pPr>
        <w:autoSpaceDE w:val="0"/>
        <w:autoSpaceDN w:val="0"/>
        <w:spacing w:after="120"/>
        <w:jc w:val="center"/>
        <w:rPr>
          <w:rFonts w:ascii="Helvetica" w:hAnsi="Helvetica" w:cs="Helvetica"/>
          <w:szCs w:val="22"/>
        </w:rPr>
      </w:pPr>
      <w:r w:rsidRPr="005F15DA">
        <w:rPr>
          <w:rFonts w:ascii="Helvetica" w:hAnsi="Helvetica" w:cs="Helvetica"/>
          <w:b/>
          <w:bCs/>
          <w:szCs w:val="22"/>
        </w:rPr>
        <w:t>Martin Nuber</w:t>
      </w:r>
    </w:p>
    <w:p w:rsidR="00AC041C" w:rsidRPr="005F15DA" w:rsidRDefault="00AC041C" w:rsidP="00AC041C">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 xml:space="preserve">13.4.1969, von Herzogenbuchsee, </w:t>
      </w:r>
      <w:proofErr w:type="spellStart"/>
      <w:r w:rsidRPr="005F15DA">
        <w:rPr>
          <w:rFonts w:ascii="Helvetica" w:hAnsi="Helvetica" w:cs="Helvetica"/>
          <w:szCs w:val="22"/>
        </w:rPr>
        <w:t>Schläflistrasse</w:t>
      </w:r>
      <w:proofErr w:type="spellEnd"/>
      <w:r w:rsidRPr="005F15DA">
        <w:rPr>
          <w:rFonts w:ascii="Helvetica" w:hAnsi="Helvetica" w:cs="Helvetica"/>
          <w:szCs w:val="22"/>
        </w:rPr>
        <w:t xml:space="preserve"> 48, 3013 Bern,</w:t>
      </w:r>
    </w:p>
    <w:p w:rsidR="00AC041C" w:rsidRPr="005F15DA" w:rsidRDefault="00AC041C" w:rsidP="00AC041C">
      <w:pPr>
        <w:autoSpaceDE w:val="0"/>
        <w:autoSpaceDN w:val="0"/>
        <w:jc w:val="right"/>
        <w:rPr>
          <w:rFonts w:ascii="Helvetica" w:hAnsi="Helvetica"/>
        </w:rPr>
      </w:pPr>
      <w:r w:rsidRPr="005F15DA">
        <w:rPr>
          <w:rFonts w:ascii="Helvetica" w:hAnsi="Helvetica"/>
          <w:i/>
          <w:iCs/>
        </w:rPr>
        <w:t>Gründer</w:t>
      </w:r>
    </w:p>
    <w:p w:rsidR="00AC041C" w:rsidRPr="005F15DA" w:rsidRDefault="00AC041C" w:rsidP="00AC041C">
      <w:pPr>
        <w:autoSpaceDE w:val="0"/>
        <w:autoSpaceDN w:val="0"/>
        <w:jc w:val="center"/>
        <w:rPr>
          <w:rFonts w:ascii="Helvetica" w:hAnsi="Helvetica" w:cs="Helvetica"/>
          <w:szCs w:val="22"/>
        </w:rPr>
      </w:pPr>
      <w:r w:rsidRPr="005F15DA">
        <w:rPr>
          <w:rFonts w:ascii="Helvetica" w:hAnsi="Helvetica" w:cs="Helvetica"/>
          <w:i/>
          <w:iCs/>
          <w:szCs w:val="22"/>
        </w:rPr>
        <w:t>erklärt:</w:t>
      </w: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b/>
          <w:bCs/>
          <w:szCs w:val="22"/>
        </w:rPr>
      </w:pPr>
      <w:r w:rsidRPr="005F15DA">
        <w:rPr>
          <w:rFonts w:ascii="Helvetica" w:hAnsi="Helvetica" w:cs="Helvetica"/>
          <w:b/>
          <w:bCs/>
          <w:szCs w:val="22"/>
        </w:rPr>
        <w:t>I. Errichtung einer Gesellschaft mit beschränkter Haftung</w:t>
      </w:r>
    </w:p>
    <w:p w:rsidR="00AC041C" w:rsidRPr="005F15DA" w:rsidRDefault="00AC041C" w:rsidP="00AC041C">
      <w:pPr>
        <w:widowControl w:val="0"/>
        <w:autoSpaceDE w:val="0"/>
        <w:autoSpaceDN w:val="0"/>
        <w:adjustRightInd w:val="0"/>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Ich gründe eine Gesellschaft mit beschränkter Haftung mit Sitz in Bern. Die Firma lautet:</w:t>
      </w:r>
    </w:p>
    <w:p w:rsidR="00AC041C" w:rsidRPr="005F15DA" w:rsidRDefault="00AC041C" w:rsidP="00AC041C">
      <w:pPr>
        <w:autoSpaceDE w:val="0"/>
        <w:autoSpaceDN w:val="0"/>
        <w:jc w:val="center"/>
        <w:rPr>
          <w:rFonts w:ascii="Helvetica" w:hAnsi="Helvetica" w:cs="Helvetica"/>
          <w:szCs w:val="22"/>
        </w:rPr>
      </w:pPr>
      <w:r w:rsidRPr="005F15DA">
        <w:rPr>
          <w:rFonts w:ascii="Helvetica" w:hAnsi="Helvetica" w:cs="Helvetica"/>
          <w:b/>
          <w:bCs/>
          <w:szCs w:val="22"/>
        </w:rPr>
        <w:t>Nuber Drogerie GmbH</w:t>
      </w: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b/>
          <w:bCs/>
          <w:szCs w:val="22"/>
        </w:rPr>
      </w:pPr>
      <w:r w:rsidRPr="005F15DA">
        <w:rPr>
          <w:rFonts w:ascii="Helvetica" w:hAnsi="Helvetica" w:cs="Helvetica"/>
          <w:b/>
          <w:bCs/>
          <w:szCs w:val="22"/>
        </w:rPr>
        <w:t>II. Festsetzung der Statuten</w:t>
      </w:r>
    </w:p>
    <w:p w:rsidR="00AC041C" w:rsidRPr="005F15DA" w:rsidRDefault="00AC041C" w:rsidP="00AC041C">
      <w:pPr>
        <w:widowControl w:val="0"/>
        <w:autoSpaceDE w:val="0"/>
        <w:autoSpaceDN w:val="0"/>
        <w:adjustRightInd w:val="0"/>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Ich lege die Statuten mit dem Wortlaut fest, wie er im beiliegenden Exemplar enthalten ist.</w:t>
      </w: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b/>
          <w:bCs/>
          <w:szCs w:val="22"/>
        </w:rPr>
      </w:pPr>
      <w:r w:rsidRPr="005F15DA">
        <w:rPr>
          <w:rFonts w:ascii="Helvetica" w:hAnsi="Helvetica" w:cs="Helvetica"/>
          <w:b/>
          <w:bCs/>
          <w:szCs w:val="22"/>
        </w:rPr>
        <w:t>III. Zeichnung, Sacheinlage/Sachübernahme und Feststellungen</w:t>
      </w:r>
    </w:p>
    <w:p w:rsidR="00AC041C" w:rsidRPr="005F15DA" w:rsidRDefault="00AC041C" w:rsidP="00AC041C">
      <w:pPr>
        <w:widowControl w:val="0"/>
        <w:autoSpaceDE w:val="0"/>
        <w:autoSpaceDN w:val="0"/>
        <w:adjustRightInd w:val="0"/>
        <w:rPr>
          <w:rFonts w:ascii="Helvetica" w:hAnsi="Helvetica" w:cs="Helvetica"/>
          <w:sz w:val="6"/>
          <w:szCs w:val="6"/>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t>1. Zeichnung der Stammanteile</w:t>
      </w:r>
    </w:p>
    <w:p w:rsidR="00AC041C" w:rsidRPr="005F15DA" w:rsidRDefault="00AC041C" w:rsidP="00AC041C">
      <w:pPr>
        <w:widowControl w:val="0"/>
        <w:autoSpaceDE w:val="0"/>
        <w:autoSpaceDN w:val="0"/>
        <w:adjustRightInd w:val="0"/>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ind w:left="270" w:hanging="270"/>
        <w:rPr>
          <w:rFonts w:ascii="Helvetica" w:hAnsi="Helvetica" w:cs="Helvetica"/>
          <w:szCs w:val="22"/>
        </w:rPr>
      </w:pPr>
      <w:r w:rsidRPr="005F15DA">
        <w:rPr>
          <w:rFonts w:ascii="Helvetica" w:hAnsi="Helvetica" w:cs="Helvetica"/>
          <w:szCs w:val="22"/>
        </w:rPr>
        <w:t>a.</w:t>
      </w:r>
      <w:r w:rsidRPr="005F15DA">
        <w:rPr>
          <w:rFonts w:ascii="Helvetica" w:hAnsi="Helvetica" w:cs="Helvetica"/>
          <w:szCs w:val="22"/>
        </w:rPr>
        <w:tab/>
        <w:t xml:space="preserve">Ich zeichne alle 300 Stammanteile der Gesellschaft zum Nennwert von je CHF 100.-, </w:t>
      </w:r>
      <w:proofErr w:type="gramStart"/>
      <w:r w:rsidRPr="005F15DA">
        <w:rPr>
          <w:rFonts w:ascii="Helvetica" w:hAnsi="Helvetica" w:cs="Helvetica"/>
          <w:szCs w:val="22"/>
        </w:rPr>
        <w:t>total</w:t>
      </w:r>
      <w:proofErr w:type="gramEnd"/>
      <w:r w:rsidRPr="005F15DA">
        <w:rPr>
          <w:rFonts w:ascii="Helvetica" w:hAnsi="Helvetica" w:cs="Helvetica"/>
          <w:szCs w:val="22"/>
        </w:rPr>
        <w:t xml:space="preserve"> CHF 30'000.-.</w:t>
      </w:r>
    </w:p>
    <w:p w:rsidR="00AC041C" w:rsidRPr="005F15DA" w:rsidRDefault="00AC041C" w:rsidP="00AC041C">
      <w:pPr>
        <w:widowControl w:val="0"/>
        <w:autoSpaceDE w:val="0"/>
        <w:autoSpaceDN w:val="0"/>
        <w:adjustRightInd w:val="0"/>
        <w:spacing w:line="360" w:lineRule="auto"/>
        <w:ind w:left="270" w:hanging="270"/>
        <w:rPr>
          <w:rFonts w:ascii="Helvetica" w:hAnsi="Helvetica" w:cs="Helvetica"/>
          <w:szCs w:val="22"/>
        </w:rPr>
      </w:pPr>
      <w:r w:rsidRPr="005F15DA">
        <w:rPr>
          <w:rFonts w:ascii="Helvetica" w:hAnsi="Helvetica" w:cs="Helvetica"/>
          <w:szCs w:val="22"/>
        </w:rPr>
        <w:t>b.</w:t>
      </w:r>
      <w:r w:rsidRPr="005F15DA">
        <w:rPr>
          <w:rFonts w:ascii="Helvetica" w:hAnsi="Helvetica" w:cs="Helvetica"/>
          <w:szCs w:val="22"/>
        </w:rPr>
        <w:tab/>
        <w:t xml:space="preserve">Die Stammanteile werden zu einem Preis von je CHF 100.-, </w:t>
      </w:r>
      <w:proofErr w:type="gramStart"/>
      <w:r w:rsidRPr="005F15DA">
        <w:rPr>
          <w:rFonts w:ascii="Helvetica" w:hAnsi="Helvetica" w:cs="Helvetica"/>
          <w:szCs w:val="22"/>
        </w:rPr>
        <w:t>total</w:t>
      </w:r>
      <w:proofErr w:type="gramEnd"/>
      <w:r w:rsidRPr="005F15DA">
        <w:rPr>
          <w:rFonts w:ascii="Helvetica" w:hAnsi="Helvetica" w:cs="Helvetica"/>
          <w:szCs w:val="22"/>
        </w:rPr>
        <w:t xml:space="preserve"> CHF 30'000.- (</w:t>
      </w:r>
      <w:proofErr w:type="spellStart"/>
      <w:r w:rsidRPr="005F15DA">
        <w:rPr>
          <w:rFonts w:ascii="Helvetica" w:hAnsi="Helvetica" w:cs="Helvetica"/>
          <w:szCs w:val="22"/>
        </w:rPr>
        <w:t>dreissi</w:t>
      </w:r>
      <w:r w:rsidRPr="005F15DA">
        <w:rPr>
          <w:rFonts w:ascii="Helvetica" w:hAnsi="Helvetica" w:cs="Helvetica"/>
          <w:szCs w:val="22"/>
        </w:rPr>
        <w:t>g</w:t>
      </w:r>
      <w:r w:rsidRPr="005F15DA">
        <w:rPr>
          <w:rFonts w:ascii="Helvetica" w:hAnsi="Helvetica" w:cs="Helvetica"/>
          <w:szCs w:val="22"/>
        </w:rPr>
        <w:t>tausend</w:t>
      </w:r>
      <w:proofErr w:type="spellEnd"/>
      <w:r w:rsidRPr="005F15DA">
        <w:rPr>
          <w:rFonts w:ascii="Helvetica" w:hAnsi="Helvetica" w:cs="Helvetica"/>
          <w:szCs w:val="22"/>
        </w:rPr>
        <w:t xml:space="preserve"> Schweizer Franken), ausgegeben.</w:t>
      </w:r>
    </w:p>
    <w:p w:rsidR="00AC041C" w:rsidRPr="005F15DA" w:rsidRDefault="00AC041C" w:rsidP="00AC041C">
      <w:pPr>
        <w:widowControl w:val="0"/>
        <w:autoSpaceDE w:val="0"/>
        <w:autoSpaceDN w:val="0"/>
        <w:adjustRightInd w:val="0"/>
        <w:spacing w:line="360" w:lineRule="auto"/>
        <w:ind w:left="270" w:hanging="270"/>
        <w:rPr>
          <w:rFonts w:ascii="Helvetica" w:hAnsi="Helvetica" w:cs="Helvetica"/>
          <w:szCs w:val="22"/>
        </w:rPr>
      </w:pPr>
      <w:r w:rsidRPr="005F15DA">
        <w:rPr>
          <w:rFonts w:ascii="Helvetica" w:hAnsi="Helvetica" w:cs="Helvetica"/>
          <w:szCs w:val="22"/>
        </w:rPr>
        <w:t>c.</w:t>
      </w:r>
      <w:r w:rsidRPr="005F15DA">
        <w:rPr>
          <w:rFonts w:ascii="Helvetica" w:hAnsi="Helvetica" w:cs="Helvetica"/>
          <w:szCs w:val="22"/>
        </w:rPr>
        <w:tab/>
        <w:t>Die Statuten enthalten keine Bestimmungen gemäss Art. 777a Abs. 2 OR.</w:t>
      </w: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t>2. Sacheinlage und Sachübernahme</w:t>
      </w:r>
      <w:r w:rsidRPr="005F15DA">
        <w:rPr>
          <w:rFonts w:ascii="Helvetica" w:hAnsi="Helvetica" w:cs="Helvetica"/>
          <w:b/>
          <w:bCs/>
          <w:szCs w:val="22"/>
        </w:rPr>
        <w:br/>
        <w:t>(Vermögensübertragung nach Art. 69 FusG)</w:t>
      </w:r>
    </w:p>
    <w:p w:rsidR="00AC041C" w:rsidRPr="005F15DA" w:rsidRDefault="00AC041C" w:rsidP="00AC041C">
      <w:pPr>
        <w:widowControl w:val="0"/>
        <w:autoSpaceDE w:val="0"/>
        <w:autoSpaceDN w:val="0"/>
        <w:adjustRightInd w:val="0"/>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ind w:left="270" w:hanging="270"/>
        <w:rPr>
          <w:rFonts w:ascii="Helvetica" w:hAnsi="Helvetica" w:cs="Helvetica"/>
          <w:szCs w:val="22"/>
        </w:rPr>
      </w:pPr>
      <w:r w:rsidRPr="005F15DA">
        <w:rPr>
          <w:rFonts w:ascii="Helvetica" w:hAnsi="Helvetica" w:cs="Helvetica"/>
          <w:szCs w:val="22"/>
        </w:rPr>
        <w:t>a.</w:t>
      </w:r>
      <w:r w:rsidRPr="005F15DA">
        <w:rPr>
          <w:rFonts w:ascii="Helvetica" w:hAnsi="Helvetica" w:cs="Helvetica"/>
          <w:szCs w:val="22"/>
        </w:rPr>
        <w:tab/>
        <w:t>Durch Einbringen der Aktiven und Passiven des im Handelsregister eingetragenen Einze</w:t>
      </w:r>
      <w:r w:rsidRPr="005F15DA">
        <w:rPr>
          <w:rFonts w:ascii="Helvetica" w:hAnsi="Helvetica" w:cs="Helvetica"/>
          <w:szCs w:val="22"/>
        </w:rPr>
        <w:t>l</w:t>
      </w:r>
      <w:r w:rsidRPr="005F15DA">
        <w:rPr>
          <w:rFonts w:ascii="Helvetica" w:hAnsi="Helvetica" w:cs="Helvetica"/>
          <w:szCs w:val="22"/>
        </w:rPr>
        <w:t>unternehmens «Drogerie Martin Nuber» mit Sitz in Bern, wird -- gestützt auf den vorliege</w:t>
      </w:r>
      <w:r w:rsidRPr="005F15DA">
        <w:rPr>
          <w:rFonts w:ascii="Helvetica" w:hAnsi="Helvetica" w:cs="Helvetica"/>
          <w:szCs w:val="22"/>
        </w:rPr>
        <w:t>n</w:t>
      </w:r>
      <w:r w:rsidRPr="005F15DA">
        <w:rPr>
          <w:rFonts w:ascii="Helvetica" w:hAnsi="Helvetica" w:cs="Helvetica"/>
          <w:szCs w:val="22"/>
        </w:rPr>
        <w:t xml:space="preserve">den, von mir am heutigen Tag unterzeichneten Sacheinlage- und Sachübernahmevertrag -- eine Einlage von CHF 30'000.- geleistet und dem Sacheinleger eine Forderung von CHF </w:t>
      </w:r>
      <w:r w:rsidRPr="005F15DA">
        <w:rPr>
          <w:rFonts w:ascii="Helvetica" w:hAnsi="Helvetica" w:cs="Helvetica"/>
          <w:szCs w:val="22"/>
        </w:rPr>
        <w:lastRenderedPageBreak/>
        <w:t xml:space="preserve">15'300.- in den Büchern der Gesellschaft gutgeschrieben. </w:t>
      </w:r>
    </w:p>
    <w:p w:rsidR="00AC041C" w:rsidRPr="005F15DA" w:rsidRDefault="00AC041C" w:rsidP="00AC041C">
      <w:pPr>
        <w:widowControl w:val="0"/>
        <w:autoSpaceDE w:val="0"/>
        <w:autoSpaceDN w:val="0"/>
        <w:adjustRightInd w:val="0"/>
        <w:spacing w:line="360" w:lineRule="auto"/>
        <w:ind w:left="270" w:hanging="270"/>
        <w:rPr>
          <w:rFonts w:ascii="Helvetica" w:hAnsi="Helvetica" w:cs="Helvetica"/>
          <w:szCs w:val="22"/>
        </w:rPr>
      </w:pPr>
      <w:r w:rsidRPr="005F15DA">
        <w:rPr>
          <w:rFonts w:ascii="Helvetica" w:hAnsi="Helvetica" w:cs="Helvetica"/>
          <w:szCs w:val="22"/>
        </w:rPr>
        <w:t>b.</w:t>
      </w:r>
      <w:r w:rsidRPr="005F15DA">
        <w:rPr>
          <w:rFonts w:ascii="Helvetica" w:hAnsi="Helvetica" w:cs="Helvetica"/>
          <w:szCs w:val="22"/>
        </w:rPr>
        <w:tab/>
        <w:t>Gemäss den Bestimmungen dieses Vertrags kann die Gesellschaft nach ihrer Eintragung im Handelsregister sofort als Eigentümerin über alle in der Übernahmebilanz und im Inve</w:t>
      </w:r>
      <w:r w:rsidRPr="005F15DA">
        <w:rPr>
          <w:rFonts w:ascii="Helvetica" w:hAnsi="Helvetica" w:cs="Helvetica"/>
          <w:szCs w:val="22"/>
        </w:rPr>
        <w:t>n</w:t>
      </w:r>
      <w:r w:rsidRPr="005F15DA">
        <w:rPr>
          <w:rFonts w:ascii="Helvetica" w:hAnsi="Helvetica" w:cs="Helvetica"/>
          <w:szCs w:val="22"/>
        </w:rPr>
        <w:t>tar vom 31. Dezember 2007 aufgeführten Aktiven verfügen und sie erhält einen bedi</w:t>
      </w:r>
      <w:r w:rsidRPr="005F15DA">
        <w:rPr>
          <w:rFonts w:ascii="Helvetica" w:hAnsi="Helvetica" w:cs="Helvetica"/>
          <w:szCs w:val="22"/>
        </w:rPr>
        <w:t>n</w:t>
      </w:r>
      <w:r w:rsidRPr="005F15DA">
        <w:rPr>
          <w:rFonts w:ascii="Helvetica" w:hAnsi="Helvetica" w:cs="Helvetica"/>
          <w:szCs w:val="22"/>
        </w:rPr>
        <w:t>gungslosen Anspruch auf Eintragung im Grundbuch.</w:t>
      </w:r>
    </w:p>
    <w:p w:rsidR="00AC041C" w:rsidRPr="005F15DA" w:rsidRDefault="00AC041C" w:rsidP="00AC041C">
      <w:pPr>
        <w:widowControl w:val="0"/>
        <w:autoSpaceDE w:val="0"/>
        <w:autoSpaceDN w:val="0"/>
        <w:adjustRightInd w:val="0"/>
        <w:spacing w:line="360" w:lineRule="auto"/>
        <w:ind w:left="270" w:hanging="270"/>
        <w:rPr>
          <w:rFonts w:ascii="Helvetica" w:hAnsi="Helvetica" w:cs="Helvetica"/>
          <w:szCs w:val="22"/>
        </w:rPr>
      </w:pPr>
      <w:r w:rsidRPr="005F15DA">
        <w:rPr>
          <w:rFonts w:ascii="Helvetica" w:hAnsi="Helvetica" w:cs="Helvetica"/>
          <w:szCs w:val="22"/>
        </w:rPr>
        <w:t>c.</w:t>
      </w:r>
      <w:r w:rsidRPr="005F15DA">
        <w:rPr>
          <w:rFonts w:ascii="Helvetica" w:hAnsi="Helvetica" w:cs="Helvetica"/>
          <w:szCs w:val="22"/>
        </w:rPr>
        <w:tab/>
        <w:t xml:space="preserve">Der von mir am heutigen Tag unterzeichnete Gründungsbericht zur Sacheinlage und Sachübernahme sowie die von der </w:t>
      </w:r>
      <w:proofErr w:type="spellStart"/>
      <w:r w:rsidRPr="005F15DA">
        <w:rPr>
          <w:rFonts w:ascii="Helvetica" w:hAnsi="Helvetica" w:cs="Helvetica"/>
          <w:szCs w:val="22"/>
        </w:rPr>
        <w:t>Adomina</w:t>
      </w:r>
      <w:proofErr w:type="spellEnd"/>
      <w:r w:rsidRPr="005F15DA">
        <w:rPr>
          <w:rFonts w:ascii="Helvetica" w:hAnsi="Helvetica" w:cs="Helvetica"/>
          <w:szCs w:val="22"/>
        </w:rPr>
        <w:t xml:space="preserve"> Treuhand AG, in Interlaken, als zugelassene Revisorin, am heutigen Tag abgegebene Prüfungsbestätigung zum Gründungsbericht li</w:t>
      </w:r>
      <w:r w:rsidRPr="005F15DA">
        <w:rPr>
          <w:rFonts w:ascii="Helvetica" w:hAnsi="Helvetica" w:cs="Helvetica"/>
          <w:szCs w:val="22"/>
        </w:rPr>
        <w:t>e</w:t>
      </w:r>
      <w:r w:rsidRPr="005F15DA">
        <w:rPr>
          <w:rFonts w:ascii="Helvetica" w:hAnsi="Helvetica" w:cs="Helvetica"/>
          <w:szCs w:val="22"/>
        </w:rPr>
        <w:t>gen vor.</w:t>
      </w: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t>3. Feststellungen</w:t>
      </w:r>
    </w:p>
    <w:p w:rsidR="00AC041C" w:rsidRPr="005F15DA" w:rsidRDefault="00AC041C" w:rsidP="00AC041C">
      <w:pPr>
        <w:widowControl w:val="0"/>
        <w:autoSpaceDE w:val="0"/>
        <w:autoSpaceDN w:val="0"/>
        <w:adjustRightInd w:val="0"/>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Ich stelle fest:</w:t>
      </w:r>
    </w:p>
    <w:p w:rsidR="00AC041C" w:rsidRPr="005F15DA" w:rsidRDefault="00AC041C" w:rsidP="00AC041C">
      <w:pPr>
        <w:widowControl w:val="0"/>
        <w:autoSpaceDE w:val="0"/>
        <w:autoSpaceDN w:val="0"/>
        <w:adjustRightInd w:val="0"/>
        <w:spacing w:line="360" w:lineRule="auto"/>
        <w:ind w:left="270" w:hanging="270"/>
        <w:rPr>
          <w:rFonts w:ascii="Helvetica" w:hAnsi="Helvetica" w:cs="Helvetica"/>
          <w:szCs w:val="22"/>
        </w:rPr>
      </w:pPr>
      <w:r w:rsidRPr="005F15DA">
        <w:rPr>
          <w:rFonts w:ascii="Helvetica" w:hAnsi="Helvetica" w:cs="Helvetica"/>
          <w:szCs w:val="22"/>
        </w:rPr>
        <w:t>a.</w:t>
      </w:r>
      <w:r w:rsidRPr="005F15DA">
        <w:rPr>
          <w:rFonts w:ascii="Helvetica" w:hAnsi="Helvetica" w:cs="Helvetica"/>
          <w:szCs w:val="22"/>
        </w:rPr>
        <w:tab/>
        <w:t>Alle 300 Stammanteile der Gesellschaft zum Nennwert von je CHF 100.- sind gültig g</w:t>
      </w:r>
      <w:r w:rsidRPr="005F15DA">
        <w:rPr>
          <w:rFonts w:ascii="Helvetica" w:hAnsi="Helvetica" w:cs="Helvetica"/>
          <w:szCs w:val="22"/>
        </w:rPr>
        <w:t>e</w:t>
      </w:r>
      <w:r w:rsidRPr="005F15DA">
        <w:rPr>
          <w:rFonts w:ascii="Helvetica" w:hAnsi="Helvetica" w:cs="Helvetica"/>
          <w:szCs w:val="22"/>
        </w:rPr>
        <w:t>zeichnet.</w:t>
      </w:r>
    </w:p>
    <w:p w:rsidR="00AC041C" w:rsidRPr="005F15DA" w:rsidRDefault="00AC041C" w:rsidP="00AC041C">
      <w:pPr>
        <w:widowControl w:val="0"/>
        <w:autoSpaceDE w:val="0"/>
        <w:autoSpaceDN w:val="0"/>
        <w:adjustRightInd w:val="0"/>
        <w:spacing w:line="360" w:lineRule="auto"/>
        <w:ind w:left="270" w:hanging="270"/>
        <w:rPr>
          <w:rFonts w:ascii="Helvetica" w:hAnsi="Helvetica" w:cs="Helvetica"/>
          <w:szCs w:val="22"/>
        </w:rPr>
      </w:pPr>
      <w:r w:rsidRPr="005F15DA">
        <w:rPr>
          <w:rFonts w:ascii="Helvetica" w:hAnsi="Helvetica" w:cs="Helvetica"/>
          <w:szCs w:val="22"/>
        </w:rPr>
        <w:t>b.</w:t>
      </w:r>
      <w:r w:rsidRPr="005F15DA">
        <w:rPr>
          <w:rFonts w:ascii="Helvetica" w:hAnsi="Helvetica" w:cs="Helvetica"/>
          <w:szCs w:val="22"/>
        </w:rPr>
        <w:tab/>
        <w:t>Die versprochene Einlage von CHF 30'000.- entspricht dem gesamten Ausgabebetrag.</w:t>
      </w:r>
    </w:p>
    <w:p w:rsidR="00AC041C" w:rsidRPr="005F15DA" w:rsidRDefault="00AC041C" w:rsidP="00AC041C">
      <w:pPr>
        <w:widowControl w:val="0"/>
        <w:autoSpaceDE w:val="0"/>
        <w:autoSpaceDN w:val="0"/>
        <w:adjustRightInd w:val="0"/>
        <w:spacing w:line="360" w:lineRule="auto"/>
        <w:ind w:left="270" w:hanging="270"/>
        <w:rPr>
          <w:rFonts w:ascii="Helvetica" w:hAnsi="Helvetica" w:cs="Helvetica"/>
          <w:szCs w:val="22"/>
        </w:rPr>
      </w:pPr>
      <w:r w:rsidRPr="005F15DA">
        <w:rPr>
          <w:rFonts w:ascii="Helvetica" w:hAnsi="Helvetica" w:cs="Helvetica"/>
          <w:szCs w:val="22"/>
        </w:rPr>
        <w:t>c.</w:t>
      </w:r>
      <w:r w:rsidRPr="005F15DA">
        <w:rPr>
          <w:rFonts w:ascii="Helvetica" w:hAnsi="Helvetica" w:cs="Helvetica"/>
          <w:szCs w:val="22"/>
        </w:rPr>
        <w:tab/>
        <w:t>Damit sind die gesetzlichen und statutarischen Anforderungen an die Leistung der Einl</w:t>
      </w:r>
      <w:r w:rsidRPr="005F15DA">
        <w:rPr>
          <w:rFonts w:ascii="Helvetica" w:hAnsi="Helvetica" w:cs="Helvetica"/>
          <w:szCs w:val="22"/>
        </w:rPr>
        <w:t>a</w:t>
      </w:r>
      <w:r w:rsidRPr="005F15DA">
        <w:rPr>
          <w:rFonts w:ascii="Helvetica" w:hAnsi="Helvetica" w:cs="Helvetica"/>
          <w:szCs w:val="22"/>
        </w:rPr>
        <w:t>gen erfüllt.</w:t>
      </w:r>
    </w:p>
    <w:p w:rsidR="00AC041C" w:rsidRPr="005F15DA" w:rsidRDefault="00AC041C" w:rsidP="00AC041C">
      <w:pPr>
        <w:widowControl w:val="0"/>
        <w:autoSpaceDE w:val="0"/>
        <w:autoSpaceDN w:val="0"/>
        <w:adjustRightInd w:val="0"/>
        <w:spacing w:line="360" w:lineRule="auto"/>
        <w:ind w:left="270" w:hanging="270"/>
        <w:rPr>
          <w:rFonts w:ascii="Helvetica" w:hAnsi="Helvetica" w:cs="Helvetica"/>
          <w:szCs w:val="22"/>
        </w:rPr>
      </w:pPr>
      <w:r w:rsidRPr="005F15DA">
        <w:rPr>
          <w:rFonts w:ascii="Helvetica" w:hAnsi="Helvetica" w:cs="Helvetica"/>
          <w:szCs w:val="22"/>
        </w:rPr>
        <w:t>d.</w:t>
      </w:r>
      <w:r w:rsidRPr="005F15DA">
        <w:rPr>
          <w:rFonts w:ascii="Helvetica" w:hAnsi="Helvetica" w:cs="Helvetica"/>
          <w:szCs w:val="22"/>
        </w:rPr>
        <w:tab/>
        <w:t>Es bestehen keine statutarischen Nachschuss- oder Nebenleistungspflichten.</w:t>
      </w: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b/>
          <w:bCs/>
          <w:szCs w:val="22"/>
        </w:rPr>
      </w:pPr>
      <w:r w:rsidRPr="005F15DA">
        <w:rPr>
          <w:rFonts w:ascii="Helvetica" w:hAnsi="Helvetica" w:cs="Helvetica"/>
          <w:b/>
          <w:bCs/>
          <w:szCs w:val="22"/>
        </w:rPr>
        <w:t>IV. Organe</w:t>
      </w:r>
    </w:p>
    <w:p w:rsidR="00AC041C" w:rsidRPr="005F15DA" w:rsidRDefault="00AC041C" w:rsidP="00AC041C">
      <w:pPr>
        <w:widowControl w:val="0"/>
        <w:autoSpaceDE w:val="0"/>
        <w:autoSpaceDN w:val="0"/>
        <w:adjustRightInd w:val="0"/>
        <w:rPr>
          <w:rFonts w:ascii="Helvetica" w:hAnsi="Helvetica" w:cs="Helvetica"/>
          <w:sz w:val="6"/>
          <w:szCs w:val="6"/>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t>1. Geschäftsführung und Vertretung</w:t>
      </w:r>
    </w:p>
    <w:p w:rsidR="00AC041C" w:rsidRPr="005F15DA" w:rsidRDefault="00AC041C" w:rsidP="00AC041C">
      <w:pPr>
        <w:widowControl w:val="0"/>
        <w:autoSpaceDE w:val="0"/>
        <w:autoSpaceDN w:val="0"/>
        <w:adjustRightInd w:val="0"/>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 xml:space="preserve">Ich stelle fest, dass die Statuten der Gesellschaft keine vom Gesetz </w:t>
      </w:r>
      <w:proofErr w:type="gramStart"/>
      <w:r w:rsidRPr="005F15DA">
        <w:rPr>
          <w:rFonts w:ascii="Helvetica" w:hAnsi="Helvetica" w:cs="Helvetica"/>
          <w:szCs w:val="22"/>
        </w:rPr>
        <w:t>abweichende</w:t>
      </w:r>
      <w:proofErr w:type="gramEnd"/>
      <w:r w:rsidRPr="005F15DA">
        <w:rPr>
          <w:rFonts w:ascii="Helvetica" w:hAnsi="Helvetica" w:cs="Helvetica"/>
          <w:szCs w:val="22"/>
        </w:rPr>
        <w:t xml:space="preserve"> Besti</w:t>
      </w:r>
      <w:r w:rsidRPr="005F15DA">
        <w:rPr>
          <w:rFonts w:ascii="Helvetica" w:hAnsi="Helvetica" w:cs="Helvetica"/>
          <w:szCs w:val="22"/>
        </w:rPr>
        <w:t>m</w:t>
      </w:r>
      <w:r w:rsidRPr="005F15DA">
        <w:rPr>
          <w:rFonts w:ascii="Helvetica" w:hAnsi="Helvetica" w:cs="Helvetica"/>
          <w:szCs w:val="22"/>
        </w:rPr>
        <w:t>mungen zur Geschäftsführung und zur Vertretung enthalten.</w:t>
      </w:r>
    </w:p>
    <w:p w:rsidR="00AC041C" w:rsidRPr="005F15DA" w:rsidRDefault="00AC041C" w:rsidP="00AC041C">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Gemäss Art. 809 Abs. 1 OR bin ich Geschäftsführer. Gemäss Art. 814 Abs. 1 OR vertrete ich die Gesellschaft mit Einzelunterschrift.</w:t>
      </w: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t>2. Revision</w:t>
      </w:r>
    </w:p>
    <w:p w:rsidR="00AC041C" w:rsidRPr="005F15DA" w:rsidRDefault="00AC041C" w:rsidP="00AC041C">
      <w:pPr>
        <w:widowControl w:val="0"/>
        <w:autoSpaceDE w:val="0"/>
        <w:autoSpaceDN w:val="0"/>
        <w:adjustRightInd w:val="0"/>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Ich stelle fest, dass für diese neu gegründete Gesellschaft die Voraussetzungen für eine o</w:t>
      </w:r>
      <w:r w:rsidRPr="005F15DA">
        <w:rPr>
          <w:rFonts w:ascii="Helvetica" w:hAnsi="Helvetica" w:cs="Helvetica"/>
          <w:szCs w:val="22"/>
        </w:rPr>
        <w:t>r</w:t>
      </w:r>
      <w:r w:rsidRPr="005F15DA">
        <w:rPr>
          <w:rFonts w:ascii="Helvetica" w:hAnsi="Helvetica" w:cs="Helvetica"/>
          <w:szCs w:val="22"/>
        </w:rPr>
        <w:t>dentliche Revision im Sinne von Art. 727 OR nicht gegeben sein werden und dass weder die eingebrachte «Drogerie Martin Nuber»  mehr als zehn Vollzeitstellen im Jahresdurchschnitt hatte noch die Drogerie Nuber GmbH nach ihrer Gründung mehr als zehn Vollzeitstellen h</w:t>
      </w:r>
      <w:r w:rsidRPr="005F15DA">
        <w:rPr>
          <w:rFonts w:ascii="Helvetica" w:hAnsi="Helvetica" w:cs="Helvetica"/>
          <w:szCs w:val="22"/>
        </w:rPr>
        <w:t>a</w:t>
      </w:r>
      <w:r w:rsidRPr="005F15DA">
        <w:rPr>
          <w:rFonts w:ascii="Helvetica" w:hAnsi="Helvetica" w:cs="Helvetica"/>
          <w:szCs w:val="22"/>
        </w:rPr>
        <w:t xml:space="preserve">ben wird. </w:t>
      </w:r>
    </w:p>
    <w:p w:rsidR="00AC041C" w:rsidRPr="005F15DA" w:rsidRDefault="00AC041C" w:rsidP="00AC041C">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Ich verzichte für die Nuber Drogerie GmbH auf die eingeschränkte Revision und stimme als Gesellschafter diesem Verzicht zu.</w:t>
      </w: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b/>
          <w:bCs/>
          <w:szCs w:val="22"/>
        </w:rPr>
      </w:pPr>
      <w:r w:rsidRPr="005F15DA">
        <w:rPr>
          <w:rFonts w:ascii="Helvetica" w:hAnsi="Helvetica" w:cs="Helvetica"/>
          <w:b/>
          <w:bCs/>
          <w:szCs w:val="22"/>
        </w:rPr>
        <w:t>V. Schlussbestimmungen</w:t>
      </w:r>
    </w:p>
    <w:p w:rsidR="00AC041C" w:rsidRPr="005F15DA" w:rsidRDefault="00AC041C" w:rsidP="00AC041C">
      <w:pPr>
        <w:widowControl w:val="0"/>
        <w:autoSpaceDE w:val="0"/>
        <w:autoSpaceDN w:val="0"/>
        <w:adjustRightInd w:val="0"/>
        <w:rPr>
          <w:rFonts w:ascii="Helvetica" w:hAnsi="Helvetica" w:cs="Helvetica"/>
          <w:sz w:val="6"/>
          <w:szCs w:val="6"/>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t>1. Belege und Beilagen</w:t>
      </w:r>
    </w:p>
    <w:p w:rsidR="00AC041C" w:rsidRPr="005F15DA" w:rsidRDefault="00AC041C" w:rsidP="00AC041C">
      <w:pPr>
        <w:widowControl w:val="0"/>
        <w:autoSpaceDE w:val="0"/>
        <w:autoSpaceDN w:val="0"/>
        <w:adjustRightInd w:val="0"/>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Der Notar stellt fest, dass die nachfolgenden Belege ihm und dem Gründer vorgelegen haben, welche mit der Urschrift im Original aufbewahrt werden:</w:t>
      </w:r>
    </w:p>
    <w:p w:rsidR="00AC041C" w:rsidRPr="005F15DA" w:rsidRDefault="00AC041C" w:rsidP="00AC041C">
      <w:pPr>
        <w:widowControl w:val="0"/>
        <w:autoSpaceDE w:val="0"/>
        <w:autoSpaceDN w:val="0"/>
        <w:adjustRightInd w:val="0"/>
        <w:spacing w:line="360" w:lineRule="auto"/>
        <w:ind w:left="270" w:hanging="270"/>
        <w:rPr>
          <w:rFonts w:ascii="Helvetica" w:hAnsi="Helvetica" w:cs="Helvetica"/>
          <w:szCs w:val="22"/>
        </w:rPr>
      </w:pPr>
      <w:r w:rsidRPr="005F15DA">
        <w:rPr>
          <w:rFonts w:ascii="Helvetica" w:hAnsi="Helvetica" w:cs="Helvetica"/>
          <w:szCs w:val="22"/>
        </w:rPr>
        <w:t>a.</w:t>
      </w:r>
      <w:r w:rsidRPr="005F15DA">
        <w:rPr>
          <w:rFonts w:ascii="Helvetica" w:hAnsi="Helvetica" w:cs="Helvetica"/>
          <w:szCs w:val="22"/>
        </w:rPr>
        <w:tab/>
        <w:t>Als Beilage Nr. 1: die vom Gründer festgesetzten Statuten;</w:t>
      </w:r>
    </w:p>
    <w:p w:rsidR="00AC041C" w:rsidRPr="005F15DA" w:rsidRDefault="00AC041C" w:rsidP="00AC041C">
      <w:pPr>
        <w:widowControl w:val="0"/>
        <w:autoSpaceDE w:val="0"/>
        <w:autoSpaceDN w:val="0"/>
        <w:adjustRightInd w:val="0"/>
        <w:spacing w:line="360" w:lineRule="auto"/>
        <w:ind w:left="270" w:hanging="270"/>
        <w:rPr>
          <w:rFonts w:ascii="Helvetica" w:hAnsi="Helvetica" w:cs="Helvetica"/>
          <w:szCs w:val="22"/>
        </w:rPr>
      </w:pPr>
      <w:r w:rsidRPr="005F15DA">
        <w:rPr>
          <w:rFonts w:ascii="Helvetica" w:hAnsi="Helvetica" w:cs="Helvetica"/>
          <w:szCs w:val="22"/>
        </w:rPr>
        <w:t>b.</w:t>
      </w:r>
      <w:r w:rsidRPr="005F15DA">
        <w:rPr>
          <w:rFonts w:ascii="Helvetica" w:hAnsi="Helvetica" w:cs="Helvetica"/>
          <w:szCs w:val="22"/>
        </w:rPr>
        <w:tab/>
        <w:t>als Beilage Nr. 2: der Sacheinlage- und Sachübernahmevertrag vom 15. Februar 2008;</w:t>
      </w:r>
    </w:p>
    <w:p w:rsidR="00AC041C" w:rsidRPr="005F15DA" w:rsidRDefault="00AC041C" w:rsidP="00AC041C">
      <w:pPr>
        <w:widowControl w:val="0"/>
        <w:autoSpaceDE w:val="0"/>
        <w:autoSpaceDN w:val="0"/>
        <w:adjustRightInd w:val="0"/>
        <w:spacing w:line="360" w:lineRule="auto"/>
        <w:ind w:left="270" w:hanging="270"/>
        <w:rPr>
          <w:rFonts w:ascii="Helvetica" w:hAnsi="Helvetica" w:cs="Helvetica"/>
          <w:szCs w:val="22"/>
        </w:rPr>
      </w:pPr>
      <w:r w:rsidRPr="005F15DA">
        <w:rPr>
          <w:rFonts w:ascii="Helvetica" w:hAnsi="Helvetica" w:cs="Helvetica"/>
          <w:szCs w:val="22"/>
        </w:rPr>
        <w:t>c.</w:t>
      </w:r>
      <w:r w:rsidRPr="005F15DA">
        <w:rPr>
          <w:rFonts w:ascii="Helvetica" w:hAnsi="Helvetica" w:cs="Helvetica"/>
          <w:szCs w:val="22"/>
        </w:rPr>
        <w:tab/>
        <w:t>als Beilage Nr. 3: der Gründungsbericht vom 15. Februar 2008;</w:t>
      </w:r>
    </w:p>
    <w:p w:rsidR="00AC041C" w:rsidRPr="005F15DA" w:rsidRDefault="00AC041C" w:rsidP="00AC041C">
      <w:pPr>
        <w:widowControl w:val="0"/>
        <w:autoSpaceDE w:val="0"/>
        <w:autoSpaceDN w:val="0"/>
        <w:adjustRightInd w:val="0"/>
        <w:spacing w:line="360" w:lineRule="auto"/>
        <w:ind w:left="270" w:hanging="270"/>
        <w:rPr>
          <w:rFonts w:ascii="Helvetica" w:hAnsi="Helvetica" w:cs="Helvetica"/>
          <w:szCs w:val="22"/>
        </w:rPr>
      </w:pPr>
      <w:r w:rsidRPr="005F15DA">
        <w:rPr>
          <w:rFonts w:ascii="Helvetica" w:hAnsi="Helvetica" w:cs="Helvetica"/>
          <w:szCs w:val="22"/>
        </w:rPr>
        <w:t>d.</w:t>
      </w:r>
      <w:r w:rsidRPr="005F15DA">
        <w:rPr>
          <w:rFonts w:ascii="Helvetica" w:hAnsi="Helvetica" w:cs="Helvetica"/>
          <w:szCs w:val="22"/>
        </w:rPr>
        <w:tab/>
        <w:t>als Beilage Nr. 4: die Prüfungsbestätigung vom 15. Februar 2008.</w:t>
      </w: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rPr>
          <w:rFonts w:ascii="Helvetica" w:hAnsi="Helvetica" w:cs="Helvetica"/>
          <w:sz w:val="12"/>
          <w:szCs w:val="12"/>
        </w:rPr>
      </w:pPr>
    </w:p>
    <w:p w:rsidR="00AC041C" w:rsidRPr="005F15DA" w:rsidRDefault="00AC041C" w:rsidP="00AC041C">
      <w:pPr>
        <w:widowControl w:val="0"/>
        <w:autoSpaceDE w:val="0"/>
        <w:autoSpaceDN w:val="0"/>
        <w:adjustRightInd w:val="0"/>
        <w:ind w:left="270" w:hanging="270"/>
        <w:rPr>
          <w:rFonts w:ascii="Helvetica" w:hAnsi="Helvetica" w:cs="Helvetica"/>
          <w:b/>
          <w:bCs/>
          <w:szCs w:val="22"/>
        </w:rPr>
      </w:pPr>
      <w:r w:rsidRPr="005F15DA">
        <w:rPr>
          <w:rFonts w:ascii="Helvetica" w:hAnsi="Helvetica" w:cs="Helvetica"/>
          <w:b/>
          <w:bCs/>
          <w:szCs w:val="22"/>
        </w:rPr>
        <w:t>2. Ausfertigungen</w:t>
      </w:r>
    </w:p>
    <w:p w:rsidR="00AC041C" w:rsidRPr="005F15DA" w:rsidRDefault="00AC041C" w:rsidP="00AC041C">
      <w:pPr>
        <w:widowControl w:val="0"/>
        <w:autoSpaceDE w:val="0"/>
        <w:autoSpaceDN w:val="0"/>
        <w:adjustRightInd w:val="0"/>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 xml:space="preserve">Diese Urschrift ist für das Handelsregisteramt des Kantons Bern und für die Gesellschaft </w:t>
      </w:r>
      <w:r w:rsidRPr="005F15DA">
        <w:rPr>
          <w:rFonts w:ascii="Helvetica" w:hAnsi="Helvetica" w:cs="Helvetica"/>
          <w:i/>
          <w:iCs/>
          <w:szCs w:val="22"/>
        </w:rPr>
        <w:t>zweifach</w:t>
      </w:r>
      <w:r w:rsidRPr="005F15DA">
        <w:rPr>
          <w:rFonts w:ascii="Helvetica" w:hAnsi="Helvetica" w:cs="Helvetica"/>
          <w:szCs w:val="22"/>
        </w:rPr>
        <w:t xml:space="preserve"> auszufertigen. </w:t>
      </w:r>
    </w:p>
    <w:p w:rsidR="00AC041C" w:rsidRPr="005F15DA" w:rsidRDefault="00AC041C" w:rsidP="00AC041C">
      <w:pPr>
        <w:widowControl w:val="0"/>
        <w:autoSpaceDE w:val="0"/>
        <w:autoSpaceDN w:val="0"/>
        <w:adjustRightInd w:val="0"/>
        <w:spacing w:line="360" w:lineRule="auto"/>
        <w:rPr>
          <w:rFonts w:ascii="Helvetica" w:hAnsi="Helvetica" w:cs="Helvetica"/>
          <w:szCs w:val="22"/>
        </w:rPr>
      </w:pPr>
      <w:r w:rsidRPr="005F15DA">
        <w:rPr>
          <w:rFonts w:ascii="Helvetica" w:hAnsi="Helvetica" w:cs="Helvetica"/>
          <w:i/>
          <w:iCs/>
          <w:szCs w:val="22"/>
        </w:rPr>
        <w:t>Schlussverbal für Willenserklärungen</w:t>
      </w: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autoSpaceDE w:val="0"/>
        <w:autoSpaceDN w:val="0"/>
        <w:jc w:val="center"/>
        <w:rPr>
          <w:rFonts w:ascii="Helvetica" w:hAnsi="Helvetica" w:cs="Helvetica"/>
          <w:szCs w:val="22"/>
        </w:rPr>
      </w:pPr>
      <w:r w:rsidRPr="005F15DA">
        <w:rPr>
          <w:rFonts w:ascii="Helvetica" w:hAnsi="Helvetica" w:cs="Helvetica"/>
          <w:i/>
          <w:iCs/>
          <w:szCs w:val="22"/>
        </w:rPr>
        <w:t>15. Februar 2008</w:t>
      </w:r>
    </w:p>
    <w:tbl>
      <w:tblPr>
        <w:tblW w:w="0" w:type="auto"/>
        <w:tblLayout w:type="fixed"/>
        <w:tblCellMar>
          <w:left w:w="0" w:type="dxa"/>
          <w:right w:w="0" w:type="dxa"/>
        </w:tblCellMar>
        <w:tblLook w:val="0000" w:firstRow="0" w:lastRow="0" w:firstColumn="0" w:lastColumn="0" w:noHBand="0" w:noVBand="0"/>
      </w:tblPr>
      <w:tblGrid>
        <w:gridCol w:w="2560"/>
        <w:gridCol w:w="4440"/>
      </w:tblGrid>
      <w:tr w:rsidR="00AC041C" w:rsidRPr="005F15DA" w:rsidTr="00B51338">
        <w:tc>
          <w:tcPr>
            <w:tcW w:w="2560" w:type="dxa"/>
            <w:tcBorders>
              <w:top w:val="nil"/>
              <w:left w:val="nil"/>
              <w:bottom w:val="nil"/>
              <w:right w:val="nil"/>
            </w:tcBorders>
          </w:tcPr>
          <w:p w:rsidR="00AC041C" w:rsidRPr="005F15DA" w:rsidRDefault="00AC041C" w:rsidP="00B51338">
            <w:pPr>
              <w:widowControl w:val="0"/>
              <w:autoSpaceDE w:val="0"/>
              <w:autoSpaceDN w:val="0"/>
              <w:adjustRightInd w:val="0"/>
              <w:rPr>
                <w:rFonts w:ascii="Helvetica" w:hAnsi="Helvetica" w:cs="Helvetica"/>
                <w:szCs w:val="22"/>
              </w:rPr>
            </w:pPr>
            <w:r w:rsidRPr="005F15DA">
              <w:rPr>
                <w:rFonts w:ascii="Helvetica" w:hAnsi="Helvetica" w:cs="Helvetica"/>
                <w:szCs w:val="22"/>
              </w:rPr>
              <w:t xml:space="preserve">Der Gründer: </w:t>
            </w:r>
          </w:p>
        </w:tc>
        <w:tc>
          <w:tcPr>
            <w:tcW w:w="4440" w:type="dxa"/>
            <w:tcBorders>
              <w:top w:val="nil"/>
              <w:left w:val="nil"/>
              <w:bottom w:val="nil"/>
              <w:right w:val="nil"/>
            </w:tcBorders>
          </w:tcPr>
          <w:p w:rsidR="00AC041C" w:rsidRPr="005F15DA" w:rsidRDefault="00AC041C" w:rsidP="00B51338">
            <w:pPr>
              <w:widowControl w:val="0"/>
              <w:tabs>
                <w:tab w:val="left" w:pos="1573"/>
              </w:tabs>
              <w:autoSpaceDE w:val="0"/>
              <w:autoSpaceDN w:val="0"/>
              <w:adjustRightInd w:val="0"/>
              <w:ind w:left="1573" w:hanging="1573"/>
              <w:rPr>
                <w:rFonts w:ascii="Helvetica" w:hAnsi="Helvetica" w:cs="Helvetica"/>
                <w:szCs w:val="22"/>
              </w:rPr>
            </w:pPr>
            <w:r w:rsidRPr="005F15DA">
              <w:rPr>
                <w:rFonts w:ascii="Helvetica" w:hAnsi="Helvetica" w:cs="Helvetica"/>
                <w:szCs w:val="22"/>
              </w:rPr>
              <w:tab/>
              <w:t xml:space="preserve">Der Notar: </w:t>
            </w:r>
          </w:p>
        </w:tc>
      </w:tr>
    </w:tbl>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 w:val="6"/>
          <w:szCs w:val="6"/>
        </w:rPr>
      </w:pPr>
    </w:p>
    <w:p w:rsidR="00AC041C" w:rsidRPr="005F15DA" w:rsidRDefault="00AC041C" w:rsidP="00AC041C">
      <w:pPr>
        <w:widowControl w:val="0"/>
        <w:autoSpaceDE w:val="0"/>
        <w:autoSpaceDN w:val="0"/>
        <w:adjustRightInd w:val="0"/>
        <w:spacing w:line="360" w:lineRule="auto"/>
        <w:rPr>
          <w:rFonts w:ascii="Helvetica" w:hAnsi="Helvetica" w:cs="Helvetica"/>
          <w:szCs w:val="22"/>
        </w:rPr>
      </w:pPr>
      <w:r w:rsidRPr="005F15DA">
        <w:rPr>
          <w:rFonts w:ascii="Helvetica" w:hAnsi="Helvetica" w:cs="Helvetica"/>
          <w:szCs w:val="22"/>
        </w:rPr>
        <w:t>MUSA Nr. 751.2</w:t>
      </w:r>
    </w:p>
    <w:p w:rsidR="00AC041C" w:rsidRPr="005F15DA" w:rsidRDefault="00AC041C" w:rsidP="0021446D">
      <w:pPr>
        <w:rPr>
          <w:szCs w:val="22"/>
        </w:rPr>
      </w:pPr>
    </w:p>
    <w:p w:rsidR="0021446D" w:rsidRPr="005F15DA" w:rsidRDefault="0021446D" w:rsidP="0021446D">
      <w:pPr>
        <w:rPr>
          <w:szCs w:val="22"/>
        </w:rPr>
      </w:pPr>
    </w:p>
    <w:p w:rsidR="0021446D" w:rsidRPr="005F15DA" w:rsidRDefault="0021446D" w:rsidP="0021446D">
      <w:pPr>
        <w:spacing w:after="200"/>
        <w:rPr>
          <w:szCs w:val="22"/>
        </w:rPr>
      </w:pPr>
      <w:r w:rsidRPr="005F15DA">
        <w:rPr>
          <w:szCs w:val="22"/>
        </w:rPr>
        <w:br w:type="page"/>
      </w:r>
    </w:p>
    <w:p w:rsidR="00AC041C" w:rsidRPr="005F15DA" w:rsidRDefault="003821FB" w:rsidP="004C7474">
      <w:pPr>
        <w:pStyle w:val="berschrift2"/>
      </w:pPr>
      <w:bookmarkStart w:id="207" w:name="_Toc432175727"/>
      <w:r w:rsidRPr="005F15DA">
        <w:lastRenderedPageBreak/>
        <w:t>IX</w:t>
      </w:r>
      <w:r w:rsidR="00AC041C" w:rsidRPr="005F15DA">
        <w:t xml:space="preserve">. </w:t>
      </w:r>
      <w:r w:rsidR="004C7474" w:rsidRPr="005F15DA">
        <w:t>Grundbuchauszug</w:t>
      </w:r>
      <w:bookmarkEnd w:id="207"/>
    </w:p>
    <w:tbl>
      <w:tblPr>
        <w:tblW w:w="5000" w:type="pct"/>
        <w:tblCellSpacing w:w="7" w:type="dxa"/>
        <w:tblCellMar>
          <w:top w:w="15" w:type="dxa"/>
          <w:left w:w="15" w:type="dxa"/>
          <w:bottom w:w="15" w:type="dxa"/>
          <w:right w:w="15" w:type="dxa"/>
        </w:tblCellMar>
        <w:tblLook w:val="0000" w:firstRow="0" w:lastRow="0" w:firstColumn="0" w:lastColumn="0" w:noHBand="0" w:noVBand="0"/>
      </w:tblPr>
      <w:tblGrid>
        <w:gridCol w:w="9220"/>
      </w:tblGrid>
      <w:tr w:rsidR="004C7474" w:rsidRPr="005F15DA" w:rsidTr="00B51338">
        <w:trPr>
          <w:tblCellSpacing w:w="7" w:type="dxa"/>
        </w:trPr>
        <w:tc>
          <w:tcPr>
            <w:tcW w:w="5000" w:type="pct"/>
            <w:shd w:val="clear" w:color="auto" w:fill="FEEF85"/>
            <w:vAlign w:val="center"/>
          </w:tcPr>
          <w:p w:rsidR="004C7474" w:rsidRPr="005F15DA" w:rsidRDefault="004C7474" w:rsidP="00B51338">
            <w:pPr>
              <w:rPr>
                <w:rFonts w:cs="Arial"/>
                <w:sz w:val="18"/>
                <w:szCs w:val="18"/>
              </w:rPr>
            </w:pPr>
            <w:r w:rsidRPr="005F15DA">
              <w:rPr>
                <w:rFonts w:cs="Arial"/>
                <w:b/>
                <w:bCs/>
                <w:sz w:val="18"/>
                <w:szCs w:val="18"/>
              </w:rPr>
              <w:t>Diese Daten haben keine rechtsgültige Wirkung!</w:t>
            </w:r>
            <w:r w:rsidRPr="005F15DA">
              <w:rPr>
                <w:rFonts w:cs="Arial"/>
                <w:sz w:val="18"/>
                <w:szCs w:val="18"/>
              </w:rPr>
              <w:t xml:space="preserve"> </w:t>
            </w:r>
          </w:p>
        </w:tc>
      </w:tr>
    </w:tbl>
    <w:p w:rsidR="004C7474" w:rsidRPr="005F15DA" w:rsidRDefault="004C7474" w:rsidP="004C7474">
      <w:pPr>
        <w:rPr>
          <w:rFonts w:cs="Arial"/>
          <w:vanish/>
          <w:sz w:val="18"/>
          <w:szCs w:val="18"/>
        </w:rPr>
      </w:pPr>
    </w:p>
    <w:tbl>
      <w:tblPr>
        <w:tblW w:w="5000" w:type="pct"/>
        <w:tblCellSpacing w:w="7" w:type="dxa"/>
        <w:tblCellMar>
          <w:left w:w="0" w:type="dxa"/>
          <w:right w:w="0" w:type="dxa"/>
        </w:tblCellMar>
        <w:tblLook w:val="0000" w:firstRow="0" w:lastRow="0" w:firstColumn="0" w:lastColumn="0" w:noHBand="0" w:noVBand="0"/>
      </w:tblPr>
      <w:tblGrid>
        <w:gridCol w:w="9190"/>
      </w:tblGrid>
      <w:tr w:rsidR="004C7474" w:rsidRPr="005F15DA" w:rsidTr="00B51338">
        <w:trPr>
          <w:tblCellSpacing w:w="7" w:type="dxa"/>
        </w:trPr>
        <w:tc>
          <w:tcPr>
            <w:tcW w:w="0" w:type="auto"/>
            <w:tcBorders>
              <w:top w:val="single" w:sz="6" w:space="0" w:color="808080"/>
              <w:left w:val="nil"/>
              <w:bottom w:val="nil"/>
              <w:right w:val="nil"/>
            </w:tcBorders>
            <w:shd w:val="clear" w:color="auto" w:fill="DEDEDE"/>
            <w:vAlign w:val="center"/>
          </w:tcPr>
          <w:p w:rsidR="004C7474" w:rsidRPr="005F15DA" w:rsidRDefault="004C7474" w:rsidP="00B51338">
            <w:pPr>
              <w:rPr>
                <w:rFonts w:cs="Arial"/>
                <w:b/>
                <w:bCs/>
                <w:sz w:val="32"/>
                <w:szCs w:val="32"/>
              </w:rPr>
            </w:pPr>
            <w:r w:rsidRPr="005F15DA">
              <w:rPr>
                <w:rFonts w:cs="Arial"/>
                <w:b/>
                <w:bCs/>
                <w:sz w:val="32"/>
                <w:szCs w:val="32"/>
              </w:rPr>
              <w:t>Anzeige aller Grundbuchdaten</w:t>
            </w:r>
          </w:p>
        </w:tc>
      </w:tr>
    </w:tbl>
    <w:p w:rsidR="004C7474" w:rsidRPr="005F15DA" w:rsidRDefault="004C7474" w:rsidP="004C7474">
      <w:pPr>
        <w:rPr>
          <w:rFonts w:cs="Arial"/>
          <w:vanish/>
          <w:sz w:val="18"/>
          <w:szCs w:val="18"/>
        </w:rPr>
      </w:pPr>
    </w:p>
    <w:tbl>
      <w:tblPr>
        <w:tblW w:w="5000" w:type="pct"/>
        <w:tblCellSpacing w:w="7" w:type="dxa"/>
        <w:tblCellMar>
          <w:left w:w="0" w:type="dxa"/>
          <w:right w:w="0" w:type="dxa"/>
        </w:tblCellMar>
        <w:tblLook w:val="0000" w:firstRow="0" w:lastRow="0" w:firstColumn="0" w:lastColumn="0" w:noHBand="0" w:noVBand="0"/>
      </w:tblPr>
      <w:tblGrid>
        <w:gridCol w:w="1851"/>
        <w:gridCol w:w="7339"/>
      </w:tblGrid>
      <w:tr w:rsidR="004C7474" w:rsidRPr="005F15DA" w:rsidTr="00B51338">
        <w:trPr>
          <w:tblCellSpacing w:w="7" w:type="dxa"/>
        </w:trPr>
        <w:tc>
          <w:tcPr>
            <w:tcW w:w="1000" w:type="pct"/>
            <w:shd w:val="clear" w:color="auto" w:fill="DEDEDE"/>
            <w:noWrap/>
            <w:vAlign w:val="center"/>
          </w:tcPr>
          <w:p w:rsidR="004C7474" w:rsidRPr="005F15DA" w:rsidRDefault="004C7474" w:rsidP="00B51338">
            <w:pPr>
              <w:jc w:val="right"/>
              <w:rPr>
                <w:rFonts w:cs="Arial"/>
                <w:sz w:val="18"/>
                <w:szCs w:val="18"/>
              </w:rPr>
            </w:pPr>
            <w:r w:rsidRPr="005F15DA">
              <w:rPr>
                <w:rFonts w:cs="Arial"/>
                <w:sz w:val="18"/>
                <w:szCs w:val="18"/>
              </w:rPr>
              <w:t>Grundstück:</w:t>
            </w:r>
          </w:p>
        </w:tc>
        <w:tc>
          <w:tcPr>
            <w:tcW w:w="4000" w:type="pct"/>
            <w:shd w:val="clear" w:color="auto" w:fill="EAEAEA"/>
            <w:vAlign w:val="center"/>
          </w:tcPr>
          <w:p w:rsidR="004C7474" w:rsidRPr="005F15DA" w:rsidRDefault="004C7474" w:rsidP="00B51338">
            <w:pPr>
              <w:rPr>
                <w:rFonts w:cs="Arial"/>
                <w:sz w:val="18"/>
                <w:szCs w:val="18"/>
              </w:rPr>
            </w:pPr>
            <w:r w:rsidRPr="005F15DA">
              <w:rPr>
                <w:rFonts w:cs="Arial"/>
                <w:b/>
                <w:bCs/>
                <w:szCs w:val="22"/>
              </w:rPr>
              <w:t>Liegenschaft Seldwyla/2115</w:t>
            </w:r>
          </w:p>
        </w:tc>
      </w:tr>
      <w:tr w:rsidR="004C7474" w:rsidRPr="005F15DA" w:rsidTr="00B51338">
        <w:trPr>
          <w:tblCellSpacing w:w="7" w:type="dxa"/>
        </w:trPr>
        <w:tc>
          <w:tcPr>
            <w:tcW w:w="1000" w:type="pct"/>
            <w:shd w:val="clear" w:color="auto" w:fill="DEDEDE"/>
            <w:noWrap/>
            <w:vAlign w:val="center"/>
          </w:tcPr>
          <w:p w:rsidR="004C7474" w:rsidRPr="005F15DA" w:rsidRDefault="004C7474" w:rsidP="00B51338">
            <w:pPr>
              <w:jc w:val="right"/>
              <w:rPr>
                <w:rFonts w:cs="Arial"/>
                <w:sz w:val="18"/>
                <w:szCs w:val="18"/>
              </w:rPr>
            </w:pPr>
            <w:r w:rsidRPr="005F15DA">
              <w:rPr>
                <w:rFonts w:cs="Arial"/>
                <w:sz w:val="18"/>
                <w:szCs w:val="18"/>
              </w:rPr>
              <w:t>Grundbuchamt:</w:t>
            </w:r>
          </w:p>
        </w:tc>
        <w:tc>
          <w:tcPr>
            <w:tcW w:w="4000" w:type="pct"/>
            <w:shd w:val="clear" w:color="auto" w:fill="EAEAEA"/>
            <w:vAlign w:val="center"/>
          </w:tcPr>
          <w:p w:rsidR="004C7474" w:rsidRPr="005F15DA" w:rsidRDefault="009165D0" w:rsidP="00B51338">
            <w:pPr>
              <w:rPr>
                <w:rFonts w:cs="Arial"/>
                <w:sz w:val="18"/>
                <w:szCs w:val="18"/>
              </w:rPr>
            </w:pPr>
            <w:r>
              <w:rPr>
                <w:rFonts w:cs="Arial"/>
                <w:sz w:val="18"/>
                <w:szCs w:val="18"/>
              </w:rPr>
              <w:t>Grundbuchamt Bern-Mittelland</w:t>
            </w:r>
          </w:p>
        </w:tc>
      </w:tr>
      <w:tr w:rsidR="004C7474" w:rsidRPr="005F15DA" w:rsidTr="00B51338">
        <w:trPr>
          <w:tblCellSpacing w:w="7" w:type="dxa"/>
        </w:trPr>
        <w:tc>
          <w:tcPr>
            <w:tcW w:w="1000" w:type="pct"/>
            <w:shd w:val="clear" w:color="auto" w:fill="DEDEDE"/>
            <w:noWrap/>
            <w:vAlign w:val="center"/>
          </w:tcPr>
          <w:p w:rsidR="004C7474" w:rsidRPr="005F15DA" w:rsidRDefault="004C7474" w:rsidP="00B51338">
            <w:pPr>
              <w:jc w:val="right"/>
              <w:rPr>
                <w:rFonts w:cs="Arial"/>
                <w:sz w:val="18"/>
                <w:szCs w:val="18"/>
              </w:rPr>
            </w:pPr>
            <w:r w:rsidRPr="005F15DA">
              <w:rPr>
                <w:rFonts w:cs="Arial"/>
                <w:sz w:val="18"/>
                <w:szCs w:val="18"/>
              </w:rPr>
              <w:t>Grundbuchtyp:</w:t>
            </w:r>
          </w:p>
        </w:tc>
        <w:tc>
          <w:tcPr>
            <w:tcW w:w="4000" w:type="pct"/>
            <w:shd w:val="clear" w:color="auto" w:fill="EAEAEA"/>
            <w:vAlign w:val="center"/>
          </w:tcPr>
          <w:p w:rsidR="004C7474" w:rsidRPr="005F15DA" w:rsidRDefault="004C7474" w:rsidP="00B51338">
            <w:pPr>
              <w:rPr>
                <w:rFonts w:cs="Arial"/>
                <w:sz w:val="18"/>
                <w:szCs w:val="18"/>
              </w:rPr>
            </w:pPr>
            <w:r w:rsidRPr="005F15DA">
              <w:rPr>
                <w:rFonts w:cs="Arial"/>
                <w:sz w:val="18"/>
                <w:szCs w:val="18"/>
              </w:rPr>
              <w:t>Eidgenössisch</w:t>
            </w:r>
          </w:p>
        </w:tc>
      </w:tr>
      <w:tr w:rsidR="004C7474" w:rsidRPr="005F15DA" w:rsidTr="00B51338">
        <w:trPr>
          <w:tblCellSpacing w:w="7" w:type="dxa"/>
        </w:trPr>
        <w:tc>
          <w:tcPr>
            <w:tcW w:w="1000" w:type="pct"/>
            <w:shd w:val="clear" w:color="auto" w:fill="DEDEDE"/>
            <w:noWrap/>
            <w:vAlign w:val="center"/>
          </w:tcPr>
          <w:p w:rsidR="004C7474" w:rsidRPr="005F15DA" w:rsidRDefault="004C7474" w:rsidP="00B51338">
            <w:pPr>
              <w:jc w:val="right"/>
              <w:rPr>
                <w:rFonts w:cs="Arial"/>
                <w:sz w:val="18"/>
                <w:szCs w:val="18"/>
              </w:rPr>
            </w:pPr>
            <w:r w:rsidRPr="005F15DA">
              <w:rPr>
                <w:rFonts w:cs="Arial"/>
                <w:sz w:val="18"/>
                <w:szCs w:val="18"/>
              </w:rPr>
              <w:t>Vermessungstyp:</w:t>
            </w:r>
          </w:p>
        </w:tc>
        <w:tc>
          <w:tcPr>
            <w:tcW w:w="4000" w:type="pct"/>
            <w:shd w:val="clear" w:color="auto" w:fill="EAEAEA"/>
            <w:vAlign w:val="center"/>
          </w:tcPr>
          <w:p w:rsidR="004C7474" w:rsidRPr="005F15DA" w:rsidRDefault="004C7474" w:rsidP="00B51338">
            <w:pPr>
              <w:rPr>
                <w:rFonts w:cs="Arial"/>
                <w:sz w:val="18"/>
                <w:szCs w:val="18"/>
              </w:rPr>
            </w:pPr>
            <w:r w:rsidRPr="005F15DA">
              <w:rPr>
                <w:rFonts w:cs="Arial"/>
                <w:sz w:val="18"/>
                <w:szCs w:val="18"/>
              </w:rPr>
              <w:t>Kantonal</w:t>
            </w:r>
          </w:p>
        </w:tc>
      </w:tr>
    </w:tbl>
    <w:p w:rsidR="004C7474" w:rsidRPr="005F15DA" w:rsidRDefault="004C7474" w:rsidP="004C7474">
      <w:pPr>
        <w:rPr>
          <w:rFonts w:cs="Arial"/>
          <w:vanish/>
          <w:sz w:val="18"/>
          <w:szCs w:val="18"/>
        </w:rPr>
      </w:pPr>
    </w:p>
    <w:tbl>
      <w:tblPr>
        <w:tblW w:w="5000" w:type="pct"/>
        <w:tblCellSpacing w:w="7" w:type="dxa"/>
        <w:tblCellMar>
          <w:left w:w="0" w:type="dxa"/>
          <w:right w:w="0" w:type="dxa"/>
        </w:tblCellMar>
        <w:tblLook w:val="0000" w:firstRow="0" w:lastRow="0" w:firstColumn="0" w:lastColumn="0" w:noHBand="0" w:noVBand="0"/>
      </w:tblPr>
      <w:tblGrid>
        <w:gridCol w:w="9190"/>
      </w:tblGrid>
      <w:tr w:rsidR="004C7474" w:rsidRPr="005F15DA" w:rsidTr="00B51338">
        <w:trPr>
          <w:tblCellSpacing w:w="7" w:type="dxa"/>
        </w:trPr>
        <w:tc>
          <w:tcPr>
            <w:tcW w:w="0" w:type="auto"/>
            <w:tcBorders>
              <w:top w:val="single" w:sz="6" w:space="0" w:color="808080"/>
              <w:left w:val="nil"/>
              <w:bottom w:val="nil"/>
              <w:right w:val="nil"/>
            </w:tcBorders>
            <w:shd w:val="clear" w:color="auto" w:fill="DEDEDE"/>
            <w:vAlign w:val="center"/>
          </w:tcPr>
          <w:p w:rsidR="004C7474" w:rsidRPr="005F15DA" w:rsidRDefault="004C7474" w:rsidP="00B51338">
            <w:pPr>
              <w:rPr>
                <w:rFonts w:cs="Arial"/>
                <w:b/>
                <w:bCs/>
              </w:rPr>
            </w:pPr>
            <w:r w:rsidRPr="005F15DA">
              <w:rPr>
                <w:rFonts w:cs="Arial"/>
                <w:b/>
                <w:bCs/>
              </w:rPr>
              <w:t>Grundstückbeschreibung</w:t>
            </w:r>
          </w:p>
        </w:tc>
      </w:tr>
    </w:tbl>
    <w:p w:rsidR="004C7474" w:rsidRPr="005F15DA" w:rsidRDefault="004C7474" w:rsidP="004C7474">
      <w:pPr>
        <w:rPr>
          <w:rFonts w:cs="Arial"/>
          <w:vanish/>
          <w:sz w:val="18"/>
          <w:szCs w:val="18"/>
        </w:rPr>
      </w:pPr>
    </w:p>
    <w:tbl>
      <w:tblPr>
        <w:tblW w:w="5000" w:type="pct"/>
        <w:tblCellSpacing w:w="7" w:type="dxa"/>
        <w:tblCellMar>
          <w:left w:w="0" w:type="dxa"/>
          <w:right w:w="0" w:type="dxa"/>
        </w:tblCellMar>
        <w:tblLook w:val="0000" w:firstRow="0" w:lastRow="0" w:firstColumn="0" w:lastColumn="0" w:noHBand="0" w:noVBand="0"/>
      </w:tblPr>
      <w:tblGrid>
        <w:gridCol w:w="3033"/>
        <w:gridCol w:w="6157"/>
      </w:tblGrid>
      <w:tr w:rsidR="004C7474" w:rsidRPr="005F15DA" w:rsidTr="00B51338">
        <w:trPr>
          <w:tblCellSpacing w:w="7" w:type="dxa"/>
        </w:trPr>
        <w:tc>
          <w:tcPr>
            <w:tcW w:w="1000" w:type="pct"/>
            <w:shd w:val="clear" w:color="auto" w:fill="DEDEDE"/>
            <w:noWrap/>
          </w:tcPr>
          <w:p w:rsidR="004C7474" w:rsidRPr="005F15DA" w:rsidRDefault="004C7474" w:rsidP="00B51338">
            <w:pPr>
              <w:jc w:val="right"/>
              <w:rPr>
                <w:rFonts w:cs="Arial"/>
                <w:sz w:val="18"/>
                <w:szCs w:val="18"/>
              </w:rPr>
            </w:pPr>
            <w:r w:rsidRPr="005F15DA">
              <w:rPr>
                <w:rFonts w:cs="Arial"/>
                <w:sz w:val="18"/>
                <w:szCs w:val="18"/>
              </w:rPr>
              <w:t>Gemeinde:</w:t>
            </w:r>
          </w:p>
        </w:tc>
        <w:tc>
          <w:tcPr>
            <w:tcW w:w="4000" w:type="pct"/>
            <w:shd w:val="clear" w:color="auto" w:fill="EAEAEA"/>
            <w:vAlign w:val="center"/>
          </w:tcPr>
          <w:p w:rsidR="004C7474" w:rsidRPr="005F15DA" w:rsidRDefault="004C7474" w:rsidP="00B51338">
            <w:pPr>
              <w:rPr>
                <w:rFonts w:cs="Arial"/>
                <w:sz w:val="18"/>
                <w:szCs w:val="18"/>
              </w:rPr>
            </w:pPr>
            <w:r w:rsidRPr="005F15DA">
              <w:rPr>
                <w:rFonts w:cs="Arial"/>
                <w:sz w:val="18"/>
                <w:szCs w:val="18"/>
              </w:rPr>
              <w:t>628 Seldwyla</w:t>
            </w:r>
          </w:p>
        </w:tc>
      </w:tr>
      <w:tr w:rsidR="004C7474" w:rsidRPr="005F15DA" w:rsidTr="00B51338">
        <w:trPr>
          <w:tblCellSpacing w:w="7" w:type="dxa"/>
        </w:trPr>
        <w:tc>
          <w:tcPr>
            <w:tcW w:w="1000" w:type="pct"/>
            <w:shd w:val="clear" w:color="auto" w:fill="DEDEDE"/>
            <w:noWrap/>
          </w:tcPr>
          <w:p w:rsidR="004C7474" w:rsidRPr="005F15DA" w:rsidRDefault="004C7474" w:rsidP="00B51338">
            <w:pPr>
              <w:jc w:val="right"/>
              <w:rPr>
                <w:rFonts w:cs="Arial"/>
                <w:sz w:val="18"/>
                <w:szCs w:val="18"/>
              </w:rPr>
            </w:pPr>
            <w:r w:rsidRPr="005F15DA">
              <w:rPr>
                <w:rFonts w:cs="Arial"/>
                <w:sz w:val="18"/>
                <w:szCs w:val="18"/>
              </w:rPr>
              <w:t>Grundstück-Nr.:</w:t>
            </w:r>
          </w:p>
        </w:tc>
        <w:tc>
          <w:tcPr>
            <w:tcW w:w="4000" w:type="pct"/>
            <w:shd w:val="clear" w:color="auto" w:fill="EAEAEA"/>
            <w:vAlign w:val="center"/>
          </w:tcPr>
          <w:p w:rsidR="004C7474" w:rsidRPr="005F15DA" w:rsidRDefault="004C7474" w:rsidP="00B51338">
            <w:pPr>
              <w:rPr>
                <w:rFonts w:cs="Arial"/>
                <w:sz w:val="18"/>
                <w:szCs w:val="18"/>
              </w:rPr>
            </w:pPr>
            <w:r w:rsidRPr="005F15DA">
              <w:rPr>
                <w:rFonts w:cs="Arial"/>
                <w:sz w:val="18"/>
                <w:szCs w:val="18"/>
              </w:rPr>
              <w:t>2115</w:t>
            </w:r>
          </w:p>
        </w:tc>
      </w:tr>
      <w:tr w:rsidR="004C7474" w:rsidRPr="005F15DA" w:rsidTr="00B51338">
        <w:trPr>
          <w:tblCellSpacing w:w="7" w:type="dxa"/>
        </w:trPr>
        <w:tc>
          <w:tcPr>
            <w:tcW w:w="1000" w:type="pct"/>
            <w:shd w:val="clear" w:color="auto" w:fill="DEDEDE"/>
            <w:noWrap/>
          </w:tcPr>
          <w:p w:rsidR="004C7474" w:rsidRPr="005F15DA" w:rsidRDefault="004C7474" w:rsidP="00B51338">
            <w:pPr>
              <w:jc w:val="right"/>
              <w:rPr>
                <w:rFonts w:cs="Arial"/>
                <w:sz w:val="18"/>
                <w:szCs w:val="18"/>
              </w:rPr>
            </w:pPr>
            <w:r w:rsidRPr="005F15DA">
              <w:rPr>
                <w:rFonts w:cs="Arial"/>
                <w:sz w:val="18"/>
                <w:szCs w:val="18"/>
              </w:rPr>
              <w:t>Adresse(n):</w:t>
            </w:r>
          </w:p>
        </w:tc>
        <w:tc>
          <w:tcPr>
            <w:tcW w:w="4000" w:type="pct"/>
            <w:shd w:val="clear" w:color="auto" w:fill="EAEAEA"/>
            <w:vAlign w:val="center"/>
          </w:tcPr>
          <w:p w:rsidR="004C7474" w:rsidRPr="005F15DA" w:rsidRDefault="004C7474" w:rsidP="00B51338">
            <w:pPr>
              <w:rPr>
                <w:rFonts w:cs="Arial"/>
                <w:sz w:val="18"/>
                <w:szCs w:val="18"/>
              </w:rPr>
            </w:pPr>
            <w:proofErr w:type="spellStart"/>
            <w:r w:rsidRPr="005F15DA">
              <w:rPr>
                <w:rFonts w:cs="Arial"/>
                <w:sz w:val="18"/>
                <w:szCs w:val="18"/>
              </w:rPr>
              <w:t>Flühmatt</w:t>
            </w:r>
            <w:proofErr w:type="spellEnd"/>
            <w:r w:rsidRPr="005F15DA">
              <w:rPr>
                <w:rFonts w:cs="Arial"/>
                <w:sz w:val="18"/>
                <w:szCs w:val="18"/>
              </w:rPr>
              <w:t xml:space="preserve"> </w:t>
            </w:r>
            <w:r w:rsidRPr="005F15DA">
              <w:rPr>
                <w:rFonts w:cs="Arial"/>
                <w:sz w:val="18"/>
                <w:szCs w:val="18"/>
              </w:rPr>
              <w:br/>
              <w:t xml:space="preserve">Ringstrasse </w:t>
            </w:r>
          </w:p>
        </w:tc>
      </w:tr>
      <w:tr w:rsidR="004C7474" w:rsidRPr="005F15DA" w:rsidTr="00B51338">
        <w:trPr>
          <w:tblCellSpacing w:w="7" w:type="dxa"/>
        </w:trPr>
        <w:tc>
          <w:tcPr>
            <w:tcW w:w="1000" w:type="pct"/>
            <w:shd w:val="clear" w:color="auto" w:fill="DEDEDE"/>
            <w:noWrap/>
          </w:tcPr>
          <w:p w:rsidR="004C7474" w:rsidRPr="005F15DA" w:rsidRDefault="004C7474" w:rsidP="00B51338">
            <w:pPr>
              <w:jc w:val="right"/>
              <w:rPr>
                <w:rFonts w:cs="Arial"/>
                <w:sz w:val="18"/>
                <w:szCs w:val="18"/>
              </w:rPr>
            </w:pPr>
            <w:r w:rsidRPr="005F15DA">
              <w:rPr>
                <w:rFonts w:cs="Arial"/>
                <w:sz w:val="18"/>
                <w:szCs w:val="18"/>
              </w:rPr>
              <w:t>Plan-Nr.:</w:t>
            </w:r>
          </w:p>
        </w:tc>
        <w:tc>
          <w:tcPr>
            <w:tcW w:w="4000" w:type="pct"/>
            <w:shd w:val="clear" w:color="auto" w:fill="EAEAEA"/>
            <w:vAlign w:val="center"/>
          </w:tcPr>
          <w:p w:rsidR="004C7474" w:rsidRPr="005F15DA" w:rsidRDefault="004C7474" w:rsidP="00B51338">
            <w:pPr>
              <w:rPr>
                <w:rFonts w:cs="Arial"/>
                <w:sz w:val="18"/>
                <w:szCs w:val="18"/>
              </w:rPr>
            </w:pPr>
            <w:r w:rsidRPr="005F15DA">
              <w:rPr>
                <w:rFonts w:cs="Arial"/>
                <w:sz w:val="18"/>
                <w:szCs w:val="18"/>
              </w:rPr>
              <w:t xml:space="preserve">4534 </w:t>
            </w:r>
          </w:p>
        </w:tc>
      </w:tr>
      <w:tr w:rsidR="004C7474" w:rsidRPr="005F15DA" w:rsidTr="00B51338">
        <w:trPr>
          <w:tblCellSpacing w:w="7" w:type="dxa"/>
        </w:trPr>
        <w:tc>
          <w:tcPr>
            <w:tcW w:w="1000" w:type="pct"/>
            <w:shd w:val="clear" w:color="auto" w:fill="DEDEDE"/>
            <w:noWrap/>
          </w:tcPr>
          <w:p w:rsidR="004C7474" w:rsidRPr="005F15DA" w:rsidRDefault="004C7474" w:rsidP="00B51338">
            <w:pPr>
              <w:jc w:val="right"/>
              <w:rPr>
                <w:rFonts w:cs="Arial"/>
                <w:sz w:val="18"/>
                <w:szCs w:val="18"/>
              </w:rPr>
            </w:pPr>
            <w:r w:rsidRPr="005F15DA">
              <w:rPr>
                <w:rFonts w:cs="Arial"/>
                <w:sz w:val="18"/>
                <w:szCs w:val="18"/>
              </w:rPr>
              <w:t>Parzellen-Nr.:</w:t>
            </w:r>
          </w:p>
        </w:tc>
        <w:tc>
          <w:tcPr>
            <w:tcW w:w="4000" w:type="pct"/>
            <w:shd w:val="clear" w:color="auto" w:fill="EAEAEA"/>
            <w:vAlign w:val="center"/>
          </w:tcPr>
          <w:p w:rsidR="004C7474" w:rsidRPr="005F15DA" w:rsidRDefault="004C7474" w:rsidP="00B51338">
            <w:pPr>
              <w:rPr>
                <w:rFonts w:cs="Arial"/>
                <w:sz w:val="18"/>
                <w:szCs w:val="18"/>
              </w:rPr>
            </w:pPr>
            <w:r w:rsidRPr="005F15DA">
              <w:rPr>
                <w:rFonts w:cs="Arial"/>
                <w:sz w:val="18"/>
                <w:szCs w:val="18"/>
              </w:rPr>
              <w:t> </w:t>
            </w:r>
          </w:p>
        </w:tc>
      </w:tr>
      <w:tr w:rsidR="004C7474" w:rsidRPr="005F15DA" w:rsidTr="00B51338">
        <w:trPr>
          <w:tblCellSpacing w:w="7" w:type="dxa"/>
        </w:trPr>
        <w:tc>
          <w:tcPr>
            <w:tcW w:w="1000" w:type="pct"/>
            <w:shd w:val="clear" w:color="auto" w:fill="DEDEDE"/>
            <w:noWrap/>
          </w:tcPr>
          <w:p w:rsidR="004C7474" w:rsidRPr="005F15DA" w:rsidRDefault="004C7474" w:rsidP="00B51338">
            <w:pPr>
              <w:jc w:val="right"/>
              <w:rPr>
                <w:rFonts w:cs="Arial"/>
                <w:sz w:val="18"/>
                <w:szCs w:val="18"/>
              </w:rPr>
            </w:pPr>
            <w:r w:rsidRPr="005F15DA">
              <w:rPr>
                <w:rFonts w:cs="Arial"/>
                <w:sz w:val="18"/>
                <w:szCs w:val="18"/>
              </w:rPr>
              <w:t>Fläche:</w:t>
            </w:r>
          </w:p>
        </w:tc>
        <w:tc>
          <w:tcPr>
            <w:tcW w:w="4000" w:type="pct"/>
            <w:shd w:val="clear" w:color="auto" w:fill="EAEAEA"/>
            <w:vAlign w:val="center"/>
          </w:tcPr>
          <w:p w:rsidR="004C7474" w:rsidRPr="005F15DA" w:rsidRDefault="004C7474" w:rsidP="00B51338">
            <w:pPr>
              <w:rPr>
                <w:rFonts w:cs="Arial"/>
                <w:sz w:val="18"/>
                <w:szCs w:val="18"/>
              </w:rPr>
            </w:pPr>
            <w:proofErr w:type="spellStart"/>
            <w:r w:rsidRPr="005F15DA">
              <w:rPr>
                <w:rFonts w:cs="Arial"/>
                <w:sz w:val="18"/>
                <w:szCs w:val="18"/>
              </w:rPr>
              <w:t>11'542m2</w:t>
            </w:r>
            <w:proofErr w:type="spellEnd"/>
            <w:r w:rsidRPr="005F15DA">
              <w:rPr>
                <w:rFonts w:cs="Arial"/>
                <w:sz w:val="18"/>
                <w:szCs w:val="18"/>
              </w:rPr>
              <w:t xml:space="preserve">, aus Koordinaten berechnete Fläche </w:t>
            </w:r>
          </w:p>
        </w:tc>
      </w:tr>
      <w:tr w:rsidR="004C7474" w:rsidRPr="005F15DA" w:rsidTr="00B51338">
        <w:trPr>
          <w:tblCellSpacing w:w="7" w:type="dxa"/>
        </w:trPr>
        <w:tc>
          <w:tcPr>
            <w:tcW w:w="1000" w:type="pct"/>
            <w:shd w:val="clear" w:color="auto" w:fill="DEDEDE"/>
            <w:noWrap/>
          </w:tcPr>
          <w:p w:rsidR="004C7474" w:rsidRPr="005F15DA" w:rsidRDefault="004C7474" w:rsidP="00B51338">
            <w:pPr>
              <w:jc w:val="right"/>
              <w:rPr>
                <w:rFonts w:cs="Arial"/>
                <w:sz w:val="18"/>
                <w:szCs w:val="18"/>
              </w:rPr>
            </w:pPr>
            <w:r w:rsidRPr="005F15DA">
              <w:rPr>
                <w:rFonts w:cs="Arial"/>
                <w:sz w:val="18"/>
                <w:szCs w:val="18"/>
              </w:rPr>
              <w:t>Mutation:</w:t>
            </w:r>
          </w:p>
        </w:tc>
        <w:tc>
          <w:tcPr>
            <w:tcW w:w="4000" w:type="pct"/>
            <w:shd w:val="clear" w:color="auto" w:fill="EAEAEA"/>
            <w:vAlign w:val="center"/>
          </w:tcPr>
          <w:p w:rsidR="004C7474" w:rsidRPr="005F15DA" w:rsidRDefault="004C7474" w:rsidP="00B51338">
            <w:pPr>
              <w:rPr>
                <w:rFonts w:cs="Arial"/>
                <w:sz w:val="18"/>
                <w:szCs w:val="18"/>
              </w:rPr>
            </w:pPr>
            <w:r w:rsidRPr="005F15DA">
              <w:rPr>
                <w:rFonts w:cs="Arial"/>
                <w:sz w:val="18"/>
                <w:szCs w:val="18"/>
              </w:rPr>
              <w:t> </w:t>
            </w:r>
          </w:p>
        </w:tc>
      </w:tr>
      <w:tr w:rsidR="004C7474" w:rsidRPr="005F15DA" w:rsidTr="00B51338">
        <w:trPr>
          <w:tblCellSpacing w:w="7" w:type="dxa"/>
        </w:trPr>
        <w:tc>
          <w:tcPr>
            <w:tcW w:w="1000" w:type="pct"/>
            <w:shd w:val="clear" w:color="auto" w:fill="DEDEDE"/>
            <w:noWrap/>
          </w:tcPr>
          <w:p w:rsidR="004C7474" w:rsidRPr="005F15DA" w:rsidRDefault="004C7474" w:rsidP="00B51338">
            <w:pPr>
              <w:jc w:val="right"/>
              <w:rPr>
                <w:rFonts w:cs="Arial"/>
                <w:sz w:val="18"/>
                <w:szCs w:val="18"/>
              </w:rPr>
            </w:pPr>
            <w:r w:rsidRPr="005F15DA">
              <w:rPr>
                <w:rFonts w:cs="Arial"/>
                <w:sz w:val="18"/>
                <w:szCs w:val="18"/>
              </w:rPr>
              <w:t>Kulturart:</w:t>
            </w:r>
          </w:p>
        </w:tc>
        <w:tc>
          <w:tcPr>
            <w:tcW w:w="4000" w:type="pct"/>
            <w:shd w:val="clear" w:color="auto" w:fill="EAEAEA"/>
            <w:vAlign w:val="center"/>
          </w:tcPr>
          <w:p w:rsidR="004C7474" w:rsidRPr="005F15DA" w:rsidRDefault="004C7474" w:rsidP="00B51338">
            <w:pPr>
              <w:rPr>
                <w:rFonts w:cs="Arial"/>
                <w:sz w:val="18"/>
                <w:szCs w:val="18"/>
              </w:rPr>
            </w:pPr>
            <w:r w:rsidRPr="005F15DA">
              <w:rPr>
                <w:rFonts w:cs="Arial"/>
                <w:sz w:val="18"/>
                <w:szCs w:val="18"/>
              </w:rPr>
              <w:t xml:space="preserve">Acker, Wiese, Weide, </w:t>
            </w:r>
            <w:proofErr w:type="spellStart"/>
            <w:r w:rsidRPr="005F15DA">
              <w:rPr>
                <w:rFonts w:cs="Arial"/>
                <w:sz w:val="18"/>
                <w:szCs w:val="18"/>
              </w:rPr>
              <w:t>11’542m2</w:t>
            </w:r>
            <w:proofErr w:type="spellEnd"/>
            <w:r w:rsidRPr="005F15DA">
              <w:rPr>
                <w:rFonts w:cs="Arial"/>
                <w:sz w:val="18"/>
                <w:szCs w:val="18"/>
              </w:rPr>
              <w:t xml:space="preserve"> </w:t>
            </w:r>
          </w:p>
        </w:tc>
      </w:tr>
      <w:tr w:rsidR="004C7474" w:rsidRPr="005F15DA" w:rsidTr="00B51338">
        <w:trPr>
          <w:tblCellSpacing w:w="7" w:type="dxa"/>
        </w:trPr>
        <w:tc>
          <w:tcPr>
            <w:tcW w:w="1000" w:type="pct"/>
            <w:shd w:val="clear" w:color="auto" w:fill="DEDEDE"/>
            <w:noWrap/>
          </w:tcPr>
          <w:p w:rsidR="004C7474" w:rsidRPr="005F15DA" w:rsidRDefault="004C7474" w:rsidP="00B51338">
            <w:pPr>
              <w:jc w:val="right"/>
              <w:rPr>
                <w:rFonts w:cs="Arial"/>
                <w:sz w:val="18"/>
                <w:szCs w:val="18"/>
              </w:rPr>
            </w:pPr>
            <w:r w:rsidRPr="005F15DA">
              <w:rPr>
                <w:rFonts w:cs="Arial"/>
                <w:sz w:val="18"/>
                <w:szCs w:val="18"/>
              </w:rPr>
              <w:t>Gebäude:</w:t>
            </w:r>
          </w:p>
        </w:tc>
        <w:tc>
          <w:tcPr>
            <w:tcW w:w="4000" w:type="pct"/>
            <w:shd w:val="clear" w:color="auto" w:fill="EAEAEA"/>
            <w:vAlign w:val="center"/>
          </w:tcPr>
          <w:p w:rsidR="004C7474" w:rsidRPr="005F15DA" w:rsidRDefault="004C7474" w:rsidP="00B51338">
            <w:pPr>
              <w:rPr>
                <w:rFonts w:cs="Arial"/>
                <w:sz w:val="18"/>
                <w:szCs w:val="18"/>
              </w:rPr>
            </w:pPr>
          </w:p>
        </w:tc>
      </w:tr>
      <w:tr w:rsidR="004C7474" w:rsidRPr="005F15DA" w:rsidTr="00B51338">
        <w:trPr>
          <w:tblCellSpacing w:w="7" w:type="dxa"/>
        </w:trPr>
        <w:tc>
          <w:tcPr>
            <w:tcW w:w="1000" w:type="pct"/>
            <w:shd w:val="clear" w:color="auto" w:fill="DEDEDE"/>
            <w:noWrap/>
          </w:tcPr>
          <w:p w:rsidR="004C7474" w:rsidRPr="005F15DA" w:rsidRDefault="004C7474" w:rsidP="00B51338">
            <w:pPr>
              <w:jc w:val="right"/>
              <w:rPr>
                <w:rFonts w:cs="Arial"/>
                <w:sz w:val="18"/>
                <w:szCs w:val="18"/>
              </w:rPr>
            </w:pPr>
            <w:r w:rsidRPr="005F15DA">
              <w:rPr>
                <w:rFonts w:cs="Arial"/>
                <w:sz w:val="18"/>
                <w:szCs w:val="18"/>
              </w:rPr>
              <w:t>Dominierte Grundstücke:</w:t>
            </w:r>
          </w:p>
        </w:tc>
        <w:tc>
          <w:tcPr>
            <w:tcW w:w="4000" w:type="pct"/>
            <w:shd w:val="clear" w:color="auto" w:fill="EAEAEA"/>
            <w:vAlign w:val="center"/>
          </w:tcPr>
          <w:p w:rsidR="004C7474" w:rsidRPr="005F15DA" w:rsidRDefault="004C7474" w:rsidP="00B51338">
            <w:pPr>
              <w:rPr>
                <w:rFonts w:cs="Arial"/>
                <w:sz w:val="18"/>
                <w:szCs w:val="18"/>
              </w:rPr>
            </w:pPr>
            <w:r w:rsidRPr="005F15DA">
              <w:rPr>
                <w:rFonts w:cs="Arial"/>
                <w:sz w:val="18"/>
                <w:szCs w:val="18"/>
              </w:rPr>
              <w:t> </w:t>
            </w:r>
          </w:p>
        </w:tc>
      </w:tr>
      <w:tr w:rsidR="004C7474" w:rsidRPr="005F15DA" w:rsidTr="00B51338">
        <w:trPr>
          <w:tblCellSpacing w:w="7" w:type="dxa"/>
        </w:trPr>
        <w:tc>
          <w:tcPr>
            <w:tcW w:w="1000" w:type="pct"/>
            <w:shd w:val="clear" w:color="auto" w:fill="DEDEDE"/>
            <w:noWrap/>
          </w:tcPr>
          <w:p w:rsidR="004C7474" w:rsidRPr="005F15DA" w:rsidRDefault="004C7474" w:rsidP="00B51338">
            <w:pPr>
              <w:jc w:val="right"/>
              <w:rPr>
                <w:rFonts w:cs="Arial"/>
                <w:sz w:val="18"/>
                <w:szCs w:val="18"/>
              </w:rPr>
            </w:pPr>
            <w:r w:rsidRPr="005F15DA">
              <w:rPr>
                <w:rFonts w:cs="Arial"/>
                <w:sz w:val="18"/>
                <w:szCs w:val="18"/>
              </w:rPr>
              <w:t>Anmerkungen aus amtl. Vermessung:</w:t>
            </w:r>
          </w:p>
        </w:tc>
        <w:tc>
          <w:tcPr>
            <w:tcW w:w="4000" w:type="pct"/>
            <w:shd w:val="clear" w:color="auto" w:fill="EAEAEA"/>
            <w:vAlign w:val="center"/>
          </w:tcPr>
          <w:p w:rsidR="004C7474" w:rsidRPr="005F15DA" w:rsidRDefault="004C7474" w:rsidP="00B51338">
            <w:pPr>
              <w:rPr>
                <w:rFonts w:cs="Arial"/>
                <w:sz w:val="18"/>
                <w:szCs w:val="18"/>
              </w:rPr>
            </w:pPr>
            <w:r w:rsidRPr="005F15DA">
              <w:rPr>
                <w:rFonts w:cs="Arial"/>
                <w:sz w:val="18"/>
                <w:szCs w:val="18"/>
              </w:rPr>
              <w:t> </w:t>
            </w:r>
          </w:p>
        </w:tc>
      </w:tr>
      <w:tr w:rsidR="004C7474" w:rsidRPr="005F15DA" w:rsidTr="00B51338">
        <w:trPr>
          <w:tblCellSpacing w:w="7" w:type="dxa"/>
        </w:trPr>
        <w:tc>
          <w:tcPr>
            <w:tcW w:w="1000" w:type="pct"/>
            <w:shd w:val="clear" w:color="auto" w:fill="DEDEDE"/>
            <w:noWrap/>
          </w:tcPr>
          <w:p w:rsidR="004C7474" w:rsidRPr="005F15DA" w:rsidRDefault="004C7474" w:rsidP="00B51338">
            <w:pPr>
              <w:jc w:val="right"/>
              <w:rPr>
                <w:rFonts w:cs="Arial"/>
                <w:sz w:val="18"/>
                <w:szCs w:val="18"/>
              </w:rPr>
            </w:pPr>
            <w:r w:rsidRPr="005F15DA">
              <w:rPr>
                <w:rFonts w:cs="Arial"/>
                <w:sz w:val="18"/>
                <w:szCs w:val="18"/>
              </w:rPr>
              <w:t>Amtlicher Wert:</w:t>
            </w:r>
          </w:p>
        </w:tc>
        <w:tc>
          <w:tcPr>
            <w:tcW w:w="4000" w:type="pct"/>
            <w:shd w:val="clear" w:color="auto" w:fill="EAEAEA"/>
            <w:vAlign w:val="center"/>
          </w:tcPr>
          <w:p w:rsidR="004C7474" w:rsidRPr="005F15DA" w:rsidRDefault="004C7474" w:rsidP="00B51338">
            <w:pPr>
              <w:rPr>
                <w:rFonts w:cs="Arial"/>
                <w:sz w:val="18"/>
                <w:szCs w:val="18"/>
              </w:rPr>
            </w:pPr>
            <w:r w:rsidRPr="005F15DA">
              <w:rPr>
                <w:rFonts w:cs="Arial"/>
                <w:sz w:val="18"/>
                <w:szCs w:val="18"/>
              </w:rPr>
              <w:t>Fr. 312'100.00 (gültig)</w:t>
            </w:r>
          </w:p>
        </w:tc>
      </w:tr>
      <w:tr w:rsidR="004C7474" w:rsidRPr="005F15DA" w:rsidTr="00B51338">
        <w:trPr>
          <w:tblCellSpacing w:w="7" w:type="dxa"/>
        </w:trPr>
        <w:tc>
          <w:tcPr>
            <w:tcW w:w="1000" w:type="pct"/>
            <w:shd w:val="clear" w:color="auto" w:fill="DEDEDE"/>
            <w:noWrap/>
          </w:tcPr>
          <w:p w:rsidR="004C7474" w:rsidRPr="005F15DA" w:rsidRDefault="004C7474" w:rsidP="00B51338">
            <w:pPr>
              <w:jc w:val="right"/>
              <w:rPr>
                <w:rFonts w:cs="Arial"/>
                <w:sz w:val="18"/>
                <w:szCs w:val="18"/>
              </w:rPr>
            </w:pPr>
            <w:r w:rsidRPr="005F15DA">
              <w:rPr>
                <w:rFonts w:cs="Arial"/>
                <w:sz w:val="18"/>
                <w:szCs w:val="18"/>
              </w:rPr>
              <w:t>Ertragswert:</w:t>
            </w:r>
          </w:p>
        </w:tc>
        <w:tc>
          <w:tcPr>
            <w:tcW w:w="4000" w:type="pct"/>
            <w:shd w:val="clear" w:color="auto" w:fill="EAEAEA"/>
            <w:vAlign w:val="center"/>
          </w:tcPr>
          <w:p w:rsidR="004C7474" w:rsidRPr="005F15DA" w:rsidRDefault="004C7474" w:rsidP="00B51338">
            <w:pPr>
              <w:rPr>
                <w:rFonts w:cs="Arial"/>
                <w:sz w:val="18"/>
                <w:szCs w:val="18"/>
              </w:rPr>
            </w:pPr>
          </w:p>
        </w:tc>
      </w:tr>
      <w:tr w:rsidR="004C7474" w:rsidRPr="005F15DA" w:rsidTr="00B51338">
        <w:trPr>
          <w:tblCellSpacing w:w="7" w:type="dxa"/>
        </w:trPr>
        <w:tc>
          <w:tcPr>
            <w:tcW w:w="1000" w:type="pct"/>
            <w:shd w:val="clear" w:color="auto" w:fill="DEDEDE"/>
            <w:noWrap/>
          </w:tcPr>
          <w:p w:rsidR="004C7474" w:rsidRPr="005F15DA" w:rsidRDefault="004C7474" w:rsidP="00B51338">
            <w:pPr>
              <w:jc w:val="right"/>
              <w:rPr>
                <w:rFonts w:cs="Arial"/>
                <w:sz w:val="18"/>
                <w:szCs w:val="18"/>
              </w:rPr>
            </w:pPr>
            <w:r w:rsidRPr="005F15DA">
              <w:rPr>
                <w:rFonts w:cs="Arial"/>
                <w:sz w:val="18"/>
                <w:szCs w:val="18"/>
              </w:rPr>
              <w:t>Bemerkungen:</w:t>
            </w:r>
          </w:p>
        </w:tc>
        <w:tc>
          <w:tcPr>
            <w:tcW w:w="4000" w:type="pct"/>
            <w:shd w:val="clear" w:color="auto" w:fill="EAEAEA"/>
            <w:vAlign w:val="center"/>
          </w:tcPr>
          <w:p w:rsidR="004C7474" w:rsidRPr="005F15DA" w:rsidRDefault="004C7474" w:rsidP="00B51338">
            <w:pPr>
              <w:rPr>
                <w:rFonts w:cs="Arial"/>
                <w:sz w:val="18"/>
                <w:szCs w:val="18"/>
              </w:rPr>
            </w:pPr>
            <w:r w:rsidRPr="005F15DA">
              <w:rPr>
                <w:rFonts w:cs="Arial"/>
                <w:sz w:val="18"/>
                <w:szCs w:val="18"/>
              </w:rPr>
              <w:t> </w:t>
            </w:r>
          </w:p>
        </w:tc>
      </w:tr>
    </w:tbl>
    <w:p w:rsidR="004C7474" w:rsidRPr="005F15DA" w:rsidRDefault="004C7474" w:rsidP="004C7474">
      <w:pPr>
        <w:rPr>
          <w:rFonts w:cs="Arial"/>
          <w:vanish/>
          <w:sz w:val="18"/>
          <w:szCs w:val="18"/>
        </w:rPr>
      </w:pPr>
    </w:p>
    <w:tbl>
      <w:tblPr>
        <w:tblW w:w="5000" w:type="pct"/>
        <w:tblCellSpacing w:w="7" w:type="dxa"/>
        <w:tblCellMar>
          <w:left w:w="0" w:type="dxa"/>
          <w:right w:w="0" w:type="dxa"/>
        </w:tblCellMar>
        <w:tblLook w:val="0000" w:firstRow="0" w:lastRow="0" w:firstColumn="0" w:lastColumn="0" w:noHBand="0" w:noVBand="0"/>
      </w:tblPr>
      <w:tblGrid>
        <w:gridCol w:w="9190"/>
      </w:tblGrid>
      <w:tr w:rsidR="004C7474" w:rsidRPr="005F15DA" w:rsidTr="00B51338">
        <w:trPr>
          <w:tblCellSpacing w:w="7" w:type="dxa"/>
        </w:trPr>
        <w:tc>
          <w:tcPr>
            <w:tcW w:w="0" w:type="auto"/>
            <w:tcBorders>
              <w:top w:val="single" w:sz="6" w:space="0" w:color="808080"/>
              <w:left w:val="nil"/>
              <w:bottom w:val="nil"/>
              <w:right w:val="nil"/>
            </w:tcBorders>
            <w:shd w:val="clear" w:color="auto" w:fill="DEDEDE"/>
            <w:vAlign w:val="center"/>
          </w:tcPr>
          <w:p w:rsidR="004C7474" w:rsidRPr="005F15DA" w:rsidRDefault="004C7474" w:rsidP="00B51338">
            <w:pPr>
              <w:rPr>
                <w:rFonts w:cs="Arial"/>
                <w:b/>
                <w:bCs/>
              </w:rPr>
            </w:pPr>
            <w:r w:rsidRPr="005F15DA">
              <w:rPr>
                <w:rFonts w:cs="Arial"/>
                <w:b/>
                <w:bCs/>
              </w:rPr>
              <w:t>Eigentum</w:t>
            </w:r>
          </w:p>
        </w:tc>
      </w:tr>
    </w:tbl>
    <w:p w:rsidR="004C7474" w:rsidRPr="005F15DA" w:rsidRDefault="004C7474" w:rsidP="004C7474">
      <w:pPr>
        <w:rPr>
          <w:rFonts w:cs="Arial"/>
          <w:vanish/>
          <w:sz w:val="18"/>
          <w:szCs w:val="18"/>
        </w:rPr>
      </w:pPr>
    </w:p>
    <w:tbl>
      <w:tblPr>
        <w:tblW w:w="5000" w:type="pct"/>
        <w:tblCellSpacing w:w="7" w:type="dxa"/>
        <w:tblCellMar>
          <w:left w:w="0" w:type="dxa"/>
          <w:right w:w="0" w:type="dxa"/>
        </w:tblCellMar>
        <w:tblLook w:val="0000" w:firstRow="0" w:lastRow="0" w:firstColumn="0" w:lastColumn="0" w:noHBand="0" w:noVBand="0"/>
      </w:tblPr>
      <w:tblGrid>
        <w:gridCol w:w="3518"/>
        <w:gridCol w:w="5672"/>
      </w:tblGrid>
      <w:tr w:rsidR="004C7474" w:rsidRPr="005F15DA" w:rsidTr="00B51338">
        <w:trPr>
          <w:tblCellSpacing w:w="7" w:type="dxa"/>
        </w:trPr>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xml:space="preserve">Alleineigentum </w:t>
            </w:r>
          </w:p>
        </w:tc>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w:t>
            </w:r>
          </w:p>
        </w:tc>
      </w:tr>
      <w:tr w:rsidR="004C7474" w:rsidRPr="005F15DA" w:rsidTr="00B51338">
        <w:trPr>
          <w:tblCellSpacing w:w="7" w:type="dxa"/>
        </w:trPr>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xml:space="preserve">  Grossbau GU GmbH </w:t>
            </w:r>
          </w:p>
        </w:tc>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14.10.2005/978/0, amtl. Verwertung</w:t>
            </w:r>
          </w:p>
        </w:tc>
      </w:tr>
    </w:tbl>
    <w:p w:rsidR="004C7474" w:rsidRPr="005F15DA" w:rsidRDefault="004C7474" w:rsidP="004C7474">
      <w:pPr>
        <w:rPr>
          <w:rFonts w:cs="Arial"/>
          <w:vanish/>
          <w:sz w:val="18"/>
          <w:szCs w:val="18"/>
        </w:rPr>
      </w:pPr>
    </w:p>
    <w:tbl>
      <w:tblPr>
        <w:tblW w:w="5000" w:type="pct"/>
        <w:tblCellSpacing w:w="7" w:type="dxa"/>
        <w:tblCellMar>
          <w:left w:w="0" w:type="dxa"/>
          <w:right w:w="0" w:type="dxa"/>
        </w:tblCellMar>
        <w:tblLook w:val="0000" w:firstRow="0" w:lastRow="0" w:firstColumn="0" w:lastColumn="0" w:noHBand="0" w:noVBand="0"/>
      </w:tblPr>
      <w:tblGrid>
        <w:gridCol w:w="9190"/>
      </w:tblGrid>
      <w:tr w:rsidR="004C7474" w:rsidRPr="005F15DA" w:rsidTr="00B51338">
        <w:trPr>
          <w:tblCellSpacing w:w="7" w:type="dxa"/>
        </w:trPr>
        <w:tc>
          <w:tcPr>
            <w:tcW w:w="0" w:type="auto"/>
            <w:tcBorders>
              <w:top w:val="single" w:sz="6" w:space="0" w:color="808080"/>
              <w:left w:val="nil"/>
              <w:bottom w:val="nil"/>
              <w:right w:val="nil"/>
            </w:tcBorders>
            <w:shd w:val="clear" w:color="auto" w:fill="DEDEDE"/>
            <w:vAlign w:val="center"/>
          </w:tcPr>
          <w:p w:rsidR="004C7474" w:rsidRPr="005F15DA" w:rsidRDefault="004C7474" w:rsidP="00B51338">
            <w:pPr>
              <w:rPr>
                <w:rFonts w:cs="Arial"/>
                <w:b/>
                <w:bCs/>
              </w:rPr>
            </w:pPr>
            <w:r w:rsidRPr="005F15DA">
              <w:rPr>
                <w:rFonts w:cs="Arial"/>
                <w:b/>
                <w:bCs/>
              </w:rPr>
              <w:t>Dienstbarkeiten</w:t>
            </w:r>
          </w:p>
        </w:tc>
      </w:tr>
    </w:tbl>
    <w:p w:rsidR="004C7474" w:rsidRPr="005F15DA" w:rsidRDefault="004C7474" w:rsidP="004C7474">
      <w:pPr>
        <w:rPr>
          <w:rFonts w:cs="Arial"/>
          <w:vanish/>
          <w:sz w:val="18"/>
          <w:szCs w:val="18"/>
        </w:rPr>
      </w:pPr>
    </w:p>
    <w:tbl>
      <w:tblPr>
        <w:tblW w:w="5000" w:type="pct"/>
        <w:tblCellSpacing w:w="7" w:type="dxa"/>
        <w:tblCellMar>
          <w:left w:w="0" w:type="dxa"/>
          <w:right w:w="0" w:type="dxa"/>
        </w:tblCellMar>
        <w:tblLook w:val="0000" w:firstRow="0" w:lastRow="0" w:firstColumn="0" w:lastColumn="0" w:noHBand="0" w:noVBand="0"/>
      </w:tblPr>
      <w:tblGrid>
        <w:gridCol w:w="3051"/>
        <w:gridCol w:w="216"/>
        <w:gridCol w:w="5823"/>
        <w:gridCol w:w="100"/>
      </w:tblGrid>
      <w:tr w:rsidR="004C7474" w:rsidRPr="005F15DA" w:rsidTr="00B51338">
        <w:trPr>
          <w:tblCellSpacing w:w="7" w:type="dxa"/>
        </w:trPr>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07.12.1857 42/515</w:t>
            </w:r>
          </w:p>
        </w:tc>
        <w:tc>
          <w:tcPr>
            <w:tcW w:w="0" w:type="auto"/>
            <w:shd w:val="clear" w:color="auto" w:fill="EAEAEA"/>
            <w:vAlign w:val="center"/>
          </w:tcPr>
          <w:p w:rsidR="004C7474" w:rsidRPr="005F15DA" w:rsidRDefault="004C7474" w:rsidP="00B51338">
            <w:pPr>
              <w:jc w:val="center"/>
              <w:rPr>
                <w:rFonts w:cs="Arial"/>
                <w:sz w:val="18"/>
                <w:szCs w:val="18"/>
              </w:rPr>
            </w:pPr>
            <w:r w:rsidRPr="005F15DA">
              <w:rPr>
                <w:rFonts w:cs="Arial"/>
                <w:sz w:val="18"/>
                <w:szCs w:val="18"/>
              </w:rPr>
              <w:t>R</w:t>
            </w:r>
          </w:p>
        </w:tc>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xml:space="preserve">, Fahrwegrecht, ID.2002/006057 </w:t>
            </w:r>
          </w:p>
        </w:tc>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w:t>
            </w:r>
          </w:p>
        </w:tc>
      </w:tr>
      <w:tr w:rsidR="004C7474" w:rsidRPr="005F15DA" w:rsidTr="00B51338">
        <w:trPr>
          <w:tblCellSpacing w:w="7" w:type="dxa"/>
        </w:trPr>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w:t>
            </w:r>
          </w:p>
        </w:tc>
        <w:tc>
          <w:tcPr>
            <w:tcW w:w="0" w:type="auto"/>
            <w:shd w:val="clear" w:color="auto" w:fill="EAEAEA"/>
            <w:vAlign w:val="center"/>
          </w:tcPr>
          <w:p w:rsidR="004C7474" w:rsidRPr="005F15DA" w:rsidRDefault="004C7474" w:rsidP="00B51338">
            <w:pPr>
              <w:jc w:val="center"/>
              <w:rPr>
                <w:rFonts w:cs="Arial"/>
                <w:sz w:val="18"/>
                <w:szCs w:val="18"/>
              </w:rPr>
            </w:pPr>
            <w:r w:rsidRPr="005F15DA">
              <w:rPr>
                <w:rFonts w:cs="Arial"/>
                <w:sz w:val="18"/>
                <w:szCs w:val="18"/>
              </w:rPr>
              <w:t> </w:t>
            </w:r>
          </w:p>
        </w:tc>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xml:space="preserve">  z.L. Seldwyla/757 </w:t>
            </w:r>
          </w:p>
        </w:tc>
        <w:tc>
          <w:tcPr>
            <w:tcW w:w="0" w:type="auto"/>
            <w:shd w:val="clear" w:color="auto" w:fill="EAEAEA"/>
            <w:vAlign w:val="center"/>
          </w:tcPr>
          <w:p w:rsidR="004C7474" w:rsidRPr="005F15DA" w:rsidRDefault="004C7474" w:rsidP="00B51338">
            <w:pPr>
              <w:rPr>
                <w:rFonts w:cs="Arial"/>
                <w:sz w:val="18"/>
                <w:szCs w:val="18"/>
              </w:rPr>
            </w:pPr>
          </w:p>
        </w:tc>
      </w:tr>
      <w:tr w:rsidR="004C7474" w:rsidRPr="005F15DA" w:rsidTr="00B51338">
        <w:trPr>
          <w:tblCellSpacing w:w="7" w:type="dxa"/>
        </w:trPr>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07.12.1857 42/515</w:t>
            </w:r>
          </w:p>
        </w:tc>
        <w:tc>
          <w:tcPr>
            <w:tcW w:w="0" w:type="auto"/>
            <w:shd w:val="clear" w:color="auto" w:fill="EAEAEA"/>
            <w:vAlign w:val="center"/>
          </w:tcPr>
          <w:p w:rsidR="004C7474" w:rsidRPr="005F15DA" w:rsidRDefault="004C7474" w:rsidP="00B51338">
            <w:pPr>
              <w:jc w:val="center"/>
              <w:rPr>
                <w:rFonts w:cs="Arial"/>
                <w:sz w:val="18"/>
                <w:szCs w:val="18"/>
              </w:rPr>
            </w:pPr>
            <w:r w:rsidRPr="005F15DA">
              <w:rPr>
                <w:rFonts w:cs="Arial"/>
                <w:sz w:val="18"/>
                <w:szCs w:val="18"/>
              </w:rPr>
              <w:t>R</w:t>
            </w:r>
          </w:p>
        </w:tc>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xml:space="preserve">, Fahrwegrecht, ID.2001/010046 </w:t>
            </w:r>
          </w:p>
        </w:tc>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w:t>
            </w:r>
          </w:p>
        </w:tc>
      </w:tr>
      <w:tr w:rsidR="004C7474" w:rsidRPr="005F15DA" w:rsidTr="00B51338">
        <w:trPr>
          <w:tblCellSpacing w:w="7" w:type="dxa"/>
        </w:trPr>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w:t>
            </w:r>
          </w:p>
        </w:tc>
        <w:tc>
          <w:tcPr>
            <w:tcW w:w="0" w:type="auto"/>
            <w:shd w:val="clear" w:color="auto" w:fill="EAEAEA"/>
            <w:vAlign w:val="center"/>
          </w:tcPr>
          <w:p w:rsidR="004C7474" w:rsidRPr="005F15DA" w:rsidRDefault="004C7474" w:rsidP="00B51338">
            <w:pPr>
              <w:jc w:val="center"/>
              <w:rPr>
                <w:rFonts w:cs="Arial"/>
                <w:sz w:val="18"/>
                <w:szCs w:val="18"/>
              </w:rPr>
            </w:pPr>
            <w:r w:rsidRPr="005F15DA">
              <w:rPr>
                <w:rFonts w:cs="Arial"/>
                <w:sz w:val="18"/>
                <w:szCs w:val="18"/>
              </w:rPr>
              <w:t> </w:t>
            </w:r>
          </w:p>
        </w:tc>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xml:space="preserve">  z.L. Seldwyla/389 </w:t>
            </w:r>
          </w:p>
        </w:tc>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w:t>
            </w:r>
          </w:p>
        </w:tc>
      </w:tr>
      <w:tr w:rsidR="004C7474" w:rsidRPr="005F15DA" w:rsidTr="00B51338">
        <w:trPr>
          <w:tblCellSpacing w:w="7" w:type="dxa"/>
        </w:trPr>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07.12.1857 42/515</w:t>
            </w:r>
          </w:p>
        </w:tc>
        <w:tc>
          <w:tcPr>
            <w:tcW w:w="0" w:type="auto"/>
            <w:shd w:val="clear" w:color="auto" w:fill="EAEAEA"/>
            <w:vAlign w:val="center"/>
          </w:tcPr>
          <w:p w:rsidR="004C7474" w:rsidRPr="005F15DA" w:rsidRDefault="004C7474" w:rsidP="00B51338">
            <w:pPr>
              <w:jc w:val="center"/>
              <w:rPr>
                <w:rFonts w:cs="Arial"/>
                <w:sz w:val="18"/>
                <w:szCs w:val="18"/>
              </w:rPr>
            </w:pPr>
            <w:r w:rsidRPr="005F15DA">
              <w:rPr>
                <w:rFonts w:cs="Arial"/>
                <w:sz w:val="18"/>
                <w:szCs w:val="18"/>
              </w:rPr>
              <w:t>R</w:t>
            </w:r>
          </w:p>
        </w:tc>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xml:space="preserve">, Fahrwegrecht, ID.2001/010664 </w:t>
            </w:r>
          </w:p>
        </w:tc>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w:t>
            </w:r>
          </w:p>
        </w:tc>
      </w:tr>
      <w:tr w:rsidR="004C7474" w:rsidRPr="005F15DA" w:rsidTr="00B51338">
        <w:trPr>
          <w:tblCellSpacing w:w="7" w:type="dxa"/>
        </w:trPr>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w:t>
            </w:r>
          </w:p>
        </w:tc>
        <w:tc>
          <w:tcPr>
            <w:tcW w:w="0" w:type="auto"/>
            <w:shd w:val="clear" w:color="auto" w:fill="EAEAEA"/>
            <w:vAlign w:val="center"/>
          </w:tcPr>
          <w:p w:rsidR="004C7474" w:rsidRPr="005F15DA" w:rsidRDefault="004C7474" w:rsidP="00B51338">
            <w:pPr>
              <w:jc w:val="center"/>
              <w:rPr>
                <w:rFonts w:cs="Arial"/>
                <w:sz w:val="18"/>
                <w:szCs w:val="18"/>
              </w:rPr>
            </w:pPr>
            <w:r w:rsidRPr="005F15DA">
              <w:rPr>
                <w:rFonts w:cs="Arial"/>
                <w:sz w:val="18"/>
                <w:szCs w:val="18"/>
              </w:rPr>
              <w:t> </w:t>
            </w:r>
          </w:p>
        </w:tc>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xml:space="preserve">  z.L. Seldwyla/616 </w:t>
            </w:r>
          </w:p>
        </w:tc>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w:t>
            </w:r>
          </w:p>
        </w:tc>
      </w:tr>
      <w:tr w:rsidR="004C7474" w:rsidRPr="005F15DA" w:rsidTr="00B51338">
        <w:trPr>
          <w:tblCellSpacing w:w="7" w:type="dxa"/>
        </w:trPr>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07.12.1857 42/515</w:t>
            </w:r>
          </w:p>
        </w:tc>
        <w:tc>
          <w:tcPr>
            <w:tcW w:w="0" w:type="auto"/>
            <w:shd w:val="clear" w:color="auto" w:fill="EAEAEA"/>
            <w:vAlign w:val="center"/>
          </w:tcPr>
          <w:p w:rsidR="004C7474" w:rsidRPr="005F15DA" w:rsidRDefault="004C7474" w:rsidP="00B51338">
            <w:pPr>
              <w:jc w:val="center"/>
              <w:rPr>
                <w:rFonts w:cs="Arial"/>
                <w:sz w:val="18"/>
                <w:szCs w:val="18"/>
              </w:rPr>
            </w:pPr>
            <w:r w:rsidRPr="005F15DA">
              <w:rPr>
                <w:rFonts w:cs="Arial"/>
                <w:sz w:val="18"/>
                <w:szCs w:val="18"/>
              </w:rPr>
              <w:t>R</w:t>
            </w:r>
          </w:p>
        </w:tc>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xml:space="preserve">, Fahrwegrecht, ID.2001/010740 </w:t>
            </w:r>
          </w:p>
        </w:tc>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w:t>
            </w:r>
          </w:p>
        </w:tc>
      </w:tr>
      <w:tr w:rsidR="004C7474" w:rsidRPr="005F15DA" w:rsidTr="00B51338">
        <w:trPr>
          <w:tblCellSpacing w:w="7" w:type="dxa"/>
        </w:trPr>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w:t>
            </w:r>
          </w:p>
        </w:tc>
        <w:tc>
          <w:tcPr>
            <w:tcW w:w="0" w:type="auto"/>
            <w:shd w:val="clear" w:color="auto" w:fill="EAEAEA"/>
            <w:vAlign w:val="center"/>
          </w:tcPr>
          <w:p w:rsidR="004C7474" w:rsidRPr="005F15DA" w:rsidRDefault="004C7474" w:rsidP="00B51338">
            <w:pPr>
              <w:jc w:val="center"/>
              <w:rPr>
                <w:rFonts w:cs="Arial"/>
                <w:sz w:val="18"/>
                <w:szCs w:val="18"/>
              </w:rPr>
            </w:pPr>
            <w:r w:rsidRPr="005F15DA">
              <w:rPr>
                <w:rFonts w:cs="Arial"/>
                <w:sz w:val="18"/>
                <w:szCs w:val="18"/>
              </w:rPr>
              <w:t> </w:t>
            </w:r>
          </w:p>
        </w:tc>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xml:space="preserve">  z.L. Seldwyla/660 </w:t>
            </w:r>
          </w:p>
        </w:tc>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w:t>
            </w:r>
          </w:p>
        </w:tc>
      </w:tr>
      <w:tr w:rsidR="004C7474" w:rsidRPr="005F15DA" w:rsidTr="00B51338">
        <w:trPr>
          <w:tblCellSpacing w:w="7" w:type="dxa"/>
        </w:trPr>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15.07.1912 1912/6204/0</w:t>
            </w:r>
          </w:p>
        </w:tc>
        <w:tc>
          <w:tcPr>
            <w:tcW w:w="0" w:type="auto"/>
            <w:shd w:val="clear" w:color="auto" w:fill="EAEAEA"/>
            <w:vAlign w:val="center"/>
          </w:tcPr>
          <w:p w:rsidR="004C7474" w:rsidRPr="005F15DA" w:rsidRDefault="004C7474" w:rsidP="00B51338">
            <w:pPr>
              <w:jc w:val="center"/>
              <w:rPr>
                <w:rFonts w:cs="Arial"/>
                <w:sz w:val="18"/>
                <w:szCs w:val="18"/>
              </w:rPr>
            </w:pPr>
            <w:r w:rsidRPr="005F15DA">
              <w:rPr>
                <w:rFonts w:cs="Arial"/>
                <w:sz w:val="18"/>
                <w:szCs w:val="18"/>
              </w:rPr>
              <w:t>L</w:t>
            </w:r>
          </w:p>
        </w:tc>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xml:space="preserve">Oeffentl. Fussweg, ID.2002/006058 </w:t>
            </w:r>
          </w:p>
        </w:tc>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w:t>
            </w:r>
          </w:p>
        </w:tc>
      </w:tr>
      <w:tr w:rsidR="004C7474" w:rsidRPr="005F15DA" w:rsidTr="00B51338">
        <w:trPr>
          <w:tblCellSpacing w:w="7" w:type="dxa"/>
        </w:trPr>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w:t>
            </w:r>
          </w:p>
        </w:tc>
        <w:tc>
          <w:tcPr>
            <w:tcW w:w="0" w:type="auto"/>
            <w:shd w:val="clear" w:color="auto" w:fill="EAEAEA"/>
            <w:vAlign w:val="center"/>
          </w:tcPr>
          <w:p w:rsidR="004C7474" w:rsidRPr="005F15DA" w:rsidRDefault="004C7474" w:rsidP="00B51338">
            <w:pPr>
              <w:jc w:val="center"/>
              <w:rPr>
                <w:rFonts w:cs="Arial"/>
                <w:sz w:val="18"/>
                <w:szCs w:val="18"/>
              </w:rPr>
            </w:pPr>
            <w:r w:rsidRPr="005F15DA">
              <w:rPr>
                <w:rFonts w:cs="Arial"/>
                <w:sz w:val="18"/>
                <w:szCs w:val="18"/>
              </w:rPr>
              <w:t> </w:t>
            </w:r>
          </w:p>
        </w:tc>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xml:space="preserve">  z.G. Einwohnergemeinde Seldwyla </w:t>
            </w:r>
          </w:p>
        </w:tc>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w:t>
            </w:r>
          </w:p>
        </w:tc>
      </w:tr>
      <w:tr w:rsidR="004C7474" w:rsidRPr="005F15DA" w:rsidTr="00B51338">
        <w:trPr>
          <w:tblCellSpacing w:w="7" w:type="dxa"/>
        </w:trPr>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15.07.1912 1912/6212</w:t>
            </w:r>
          </w:p>
        </w:tc>
        <w:tc>
          <w:tcPr>
            <w:tcW w:w="0" w:type="auto"/>
            <w:shd w:val="clear" w:color="auto" w:fill="EAEAEA"/>
            <w:vAlign w:val="center"/>
          </w:tcPr>
          <w:p w:rsidR="004C7474" w:rsidRPr="005F15DA" w:rsidRDefault="004C7474" w:rsidP="00B51338">
            <w:pPr>
              <w:jc w:val="center"/>
              <w:rPr>
                <w:rFonts w:cs="Arial"/>
                <w:sz w:val="18"/>
                <w:szCs w:val="18"/>
              </w:rPr>
            </w:pPr>
            <w:r w:rsidRPr="005F15DA">
              <w:rPr>
                <w:rFonts w:cs="Arial"/>
                <w:sz w:val="18"/>
                <w:szCs w:val="18"/>
              </w:rPr>
              <w:t>R</w:t>
            </w:r>
          </w:p>
        </w:tc>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xml:space="preserve">, Abwasserdurchleitungsrecht, ID.2001/009395 </w:t>
            </w:r>
          </w:p>
        </w:tc>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w:t>
            </w:r>
          </w:p>
        </w:tc>
      </w:tr>
      <w:tr w:rsidR="004C7474" w:rsidRPr="005F15DA" w:rsidTr="00B51338">
        <w:trPr>
          <w:tblCellSpacing w:w="7" w:type="dxa"/>
        </w:trPr>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w:t>
            </w:r>
          </w:p>
        </w:tc>
        <w:tc>
          <w:tcPr>
            <w:tcW w:w="0" w:type="auto"/>
            <w:shd w:val="clear" w:color="auto" w:fill="EAEAEA"/>
            <w:vAlign w:val="center"/>
          </w:tcPr>
          <w:p w:rsidR="004C7474" w:rsidRPr="005F15DA" w:rsidRDefault="004C7474" w:rsidP="00B51338">
            <w:pPr>
              <w:jc w:val="center"/>
              <w:rPr>
                <w:rFonts w:cs="Arial"/>
                <w:sz w:val="18"/>
                <w:szCs w:val="18"/>
              </w:rPr>
            </w:pPr>
            <w:r w:rsidRPr="005F15DA">
              <w:rPr>
                <w:rFonts w:cs="Arial"/>
                <w:sz w:val="18"/>
                <w:szCs w:val="18"/>
              </w:rPr>
              <w:t> </w:t>
            </w:r>
          </w:p>
        </w:tc>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xml:space="preserve">  z.L. Seldwyla/660 </w:t>
            </w:r>
          </w:p>
        </w:tc>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w:t>
            </w:r>
          </w:p>
        </w:tc>
      </w:tr>
      <w:tr w:rsidR="004C7474" w:rsidRPr="005F15DA" w:rsidTr="00B51338">
        <w:trPr>
          <w:tblCellSpacing w:w="7" w:type="dxa"/>
        </w:trPr>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15.07.1912 1912/6212</w:t>
            </w:r>
          </w:p>
        </w:tc>
        <w:tc>
          <w:tcPr>
            <w:tcW w:w="0" w:type="auto"/>
            <w:shd w:val="clear" w:color="auto" w:fill="EAEAEA"/>
            <w:vAlign w:val="center"/>
          </w:tcPr>
          <w:p w:rsidR="004C7474" w:rsidRPr="005F15DA" w:rsidRDefault="004C7474" w:rsidP="00B51338">
            <w:pPr>
              <w:jc w:val="center"/>
              <w:rPr>
                <w:rFonts w:cs="Arial"/>
                <w:sz w:val="18"/>
                <w:szCs w:val="18"/>
              </w:rPr>
            </w:pPr>
            <w:r w:rsidRPr="005F15DA">
              <w:rPr>
                <w:rFonts w:cs="Arial"/>
                <w:sz w:val="18"/>
                <w:szCs w:val="18"/>
              </w:rPr>
              <w:t>R</w:t>
            </w:r>
          </w:p>
        </w:tc>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xml:space="preserve">, Abwasserdurchleitungsrecht, ID.2001/009922 </w:t>
            </w:r>
          </w:p>
        </w:tc>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w:t>
            </w:r>
          </w:p>
        </w:tc>
      </w:tr>
      <w:tr w:rsidR="004C7474" w:rsidRPr="005F15DA" w:rsidTr="00B51338">
        <w:trPr>
          <w:tblCellSpacing w:w="7" w:type="dxa"/>
        </w:trPr>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w:t>
            </w:r>
          </w:p>
        </w:tc>
        <w:tc>
          <w:tcPr>
            <w:tcW w:w="0" w:type="auto"/>
            <w:shd w:val="clear" w:color="auto" w:fill="EAEAEA"/>
            <w:vAlign w:val="center"/>
          </w:tcPr>
          <w:p w:rsidR="004C7474" w:rsidRPr="005F15DA" w:rsidRDefault="004C7474" w:rsidP="00B51338">
            <w:pPr>
              <w:jc w:val="center"/>
              <w:rPr>
                <w:rFonts w:cs="Arial"/>
                <w:sz w:val="18"/>
                <w:szCs w:val="18"/>
              </w:rPr>
            </w:pPr>
            <w:r w:rsidRPr="005F15DA">
              <w:rPr>
                <w:rFonts w:cs="Arial"/>
                <w:sz w:val="18"/>
                <w:szCs w:val="18"/>
              </w:rPr>
              <w:t> </w:t>
            </w:r>
          </w:p>
        </w:tc>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xml:space="preserve">  z.L. Seldwyla/757 </w:t>
            </w:r>
          </w:p>
        </w:tc>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w:t>
            </w:r>
          </w:p>
        </w:tc>
      </w:tr>
      <w:tr w:rsidR="004C7474" w:rsidRPr="005F15DA" w:rsidTr="00B51338">
        <w:trPr>
          <w:tblCellSpacing w:w="7" w:type="dxa"/>
        </w:trPr>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15.07.1912 1912/6212</w:t>
            </w:r>
          </w:p>
        </w:tc>
        <w:tc>
          <w:tcPr>
            <w:tcW w:w="0" w:type="auto"/>
            <w:shd w:val="clear" w:color="auto" w:fill="EAEAEA"/>
            <w:vAlign w:val="center"/>
          </w:tcPr>
          <w:p w:rsidR="004C7474" w:rsidRPr="005F15DA" w:rsidRDefault="004C7474" w:rsidP="00B51338">
            <w:pPr>
              <w:jc w:val="center"/>
              <w:rPr>
                <w:rFonts w:cs="Arial"/>
                <w:sz w:val="18"/>
                <w:szCs w:val="18"/>
              </w:rPr>
            </w:pPr>
            <w:r w:rsidRPr="005F15DA">
              <w:rPr>
                <w:rFonts w:cs="Arial"/>
                <w:sz w:val="18"/>
                <w:szCs w:val="18"/>
              </w:rPr>
              <w:t>R</w:t>
            </w:r>
          </w:p>
        </w:tc>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xml:space="preserve">, Abwasserdurchleitungsrecht, ID.2001/010749 </w:t>
            </w:r>
          </w:p>
        </w:tc>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w:t>
            </w:r>
          </w:p>
        </w:tc>
      </w:tr>
      <w:tr w:rsidR="004C7474" w:rsidRPr="005F15DA" w:rsidTr="00B51338">
        <w:trPr>
          <w:tblCellSpacing w:w="7" w:type="dxa"/>
        </w:trPr>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w:t>
            </w:r>
          </w:p>
        </w:tc>
        <w:tc>
          <w:tcPr>
            <w:tcW w:w="0" w:type="auto"/>
            <w:shd w:val="clear" w:color="auto" w:fill="EAEAEA"/>
            <w:vAlign w:val="center"/>
          </w:tcPr>
          <w:p w:rsidR="004C7474" w:rsidRPr="005F15DA" w:rsidRDefault="004C7474" w:rsidP="00B51338">
            <w:pPr>
              <w:jc w:val="center"/>
              <w:rPr>
                <w:rFonts w:cs="Arial"/>
                <w:sz w:val="18"/>
                <w:szCs w:val="18"/>
              </w:rPr>
            </w:pPr>
            <w:r w:rsidRPr="005F15DA">
              <w:rPr>
                <w:rFonts w:cs="Arial"/>
                <w:sz w:val="18"/>
                <w:szCs w:val="18"/>
              </w:rPr>
              <w:t> </w:t>
            </w:r>
          </w:p>
        </w:tc>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xml:space="preserve">  z.L. Seldwyla/389 </w:t>
            </w:r>
          </w:p>
        </w:tc>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w:t>
            </w:r>
          </w:p>
        </w:tc>
      </w:tr>
    </w:tbl>
    <w:p w:rsidR="00587774" w:rsidRDefault="00587774">
      <w:r>
        <w:br w:type="page"/>
      </w:r>
    </w:p>
    <w:tbl>
      <w:tblPr>
        <w:tblW w:w="5000" w:type="pct"/>
        <w:tblCellSpacing w:w="7" w:type="dxa"/>
        <w:tblCellMar>
          <w:left w:w="0" w:type="dxa"/>
          <w:right w:w="0" w:type="dxa"/>
        </w:tblCellMar>
        <w:tblLook w:val="0000" w:firstRow="0" w:lastRow="0" w:firstColumn="0" w:lastColumn="0" w:noHBand="0" w:noVBand="0"/>
      </w:tblPr>
      <w:tblGrid>
        <w:gridCol w:w="3061"/>
        <w:gridCol w:w="216"/>
        <w:gridCol w:w="5790"/>
        <w:gridCol w:w="123"/>
      </w:tblGrid>
      <w:tr w:rsidR="004C7474" w:rsidRPr="005F15DA" w:rsidTr="00B51338">
        <w:trPr>
          <w:tblCellSpacing w:w="7" w:type="dxa"/>
        </w:trPr>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lastRenderedPageBreak/>
              <w:t>06.03.1975 V/4538</w:t>
            </w:r>
          </w:p>
        </w:tc>
        <w:tc>
          <w:tcPr>
            <w:tcW w:w="0" w:type="auto"/>
            <w:shd w:val="clear" w:color="auto" w:fill="EAEAEA"/>
            <w:vAlign w:val="center"/>
          </w:tcPr>
          <w:p w:rsidR="004C7474" w:rsidRPr="005F15DA" w:rsidRDefault="004C7474" w:rsidP="00B51338">
            <w:pPr>
              <w:jc w:val="center"/>
              <w:rPr>
                <w:rFonts w:cs="Arial"/>
                <w:sz w:val="18"/>
                <w:szCs w:val="18"/>
              </w:rPr>
            </w:pPr>
            <w:r w:rsidRPr="005F15DA">
              <w:rPr>
                <w:rFonts w:cs="Arial"/>
                <w:sz w:val="18"/>
                <w:szCs w:val="18"/>
              </w:rPr>
              <w:t>L</w:t>
            </w:r>
          </w:p>
        </w:tc>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xml:space="preserve">, Grenzanbaurecht, ID.2001/010145 </w:t>
            </w:r>
          </w:p>
        </w:tc>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w:t>
            </w:r>
          </w:p>
        </w:tc>
      </w:tr>
      <w:tr w:rsidR="004C7474" w:rsidRPr="005F15DA" w:rsidTr="00B51338">
        <w:trPr>
          <w:tblCellSpacing w:w="7" w:type="dxa"/>
        </w:trPr>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w:t>
            </w:r>
          </w:p>
        </w:tc>
        <w:tc>
          <w:tcPr>
            <w:tcW w:w="0" w:type="auto"/>
            <w:shd w:val="clear" w:color="auto" w:fill="EAEAEA"/>
            <w:vAlign w:val="center"/>
          </w:tcPr>
          <w:p w:rsidR="004C7474" w:rsidRPr="005F15DA" w:rsidRDefault="004C7474" w:rsidP="00B51338">
            <w:pPr>
              <w:jc w:val="center"/>
              <w:rPr>
                <w:rFonts w:cs="Arial"/>
                <w:sz w:val="18"/>
                <w:szCs w:val="18"/>
              </w:rPr>
            </w:pPr>
            <w:r w:rsidRPr="005F15DA">
              <w:rPr>
                <w:rFonts w:cs="Arial"/>
                <w:sz w:val="18"/>
                <w:szCs w:val="18"/>
              </w:rPr>
              <w:t> </w:t>
            </w:r>
          </w:p>
        </w:tc>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xml:space="preserve">  z.G. Seldwyla/668 </w:t>
            </w:r>
          </w:p>
        </w:tc>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w:t>
            </w:r>
          </w:p>
        </w:tc>
      </w:tr>
      <w:tr w:rsidR="004C7474" w:rsidRPr="005F15DA" w:rsidTr="00B51338">
        <w:trPr>
          <w:tblCellSpacing w:w="7" w:type="dxa"/>
        </w:trPr>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06.03.1975 V/4538</w:t>
            </w:r>
          </w:p>
        </w:tc>
        <w:tc>
          <w:tcPr>
            <w:tcW w:w="0" w:type="auto"/>
            <w:shd w:val="clear" w:color="auto" w:fill="EAEAEA"/>
            <w:vAlign w:val="center"/>
          </w:tcPr>
          <w:p w:rsidR="004C7474" w:rsidRPr="005F15DA" w:rsidRDefault="004C7474" w:rsidP="00B51338">
            <w:pPr>
              <w:jc w:val="center"/>
              <w:rPr>
                <w:rFonts w:cs="Arial"/>
                <w:sz w:val="18"/>
                <w:szCs w:val="18"/>
              </w:rPr>
            </w:pPr>
            <w:r w:rsidRPr="005F15DA">
              <w:rPr>
                <w:rFonts w:cs="Arial"/>
                <w:sz w:val="18"/>
                <w:szCs w:val="18"/>
              </w:rPr>
              <w:t>L</w:t>
            </w:r>
          </w:p>
        </w:tc>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xml:space="preserve">Quellenrecht, ID.2001/010146 </w:t>
            </w:r>
          </w:p>
        </w:tc>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w:t>
            </w:r>
          </w:p>
        </w:tc>
      </w:tr>
      <w:tr w:rsidR="004C7474" w:rsidRPr="005F15DA" w:rsidTr="00B51338">
        <w:trPr>
          <w:tblCellSpacing w:w="7" w:type="dxa"/>
        </w:trPr>
        <w:tc>
          <w:tcPr>
            <w:tcW w:w="0" w:type="auto"/>
            <w:shd w:val="clear" w:color="auto" w:fill="EAEAEA"/>
            <w:vAlign w:val="center"/>
          </w:tcPr>
          <w:p w:rsidR="004C7474" w:rsidRPr="005F15DA" w:rsidRDefault="004C7474" w:rsidP="00B51338">
            <w:pPr>
              <w:rPr>
                <w:rFonts w:cs="Arial"/>
                <w:sz w:val="18"/>
                <w:szCs w:val="18"/>
              </w:rPr>
            </w:pPr>
          </w:p>
        </w:tc>
        <w:tc>
          <w:tcPr>
            <w:tcW w:w="0" w:type="auto"/>
            <w:shd w:val="clear" w:color="auto" w:fill="EAEAEA"/>
            <w:vAlign w:val="center"/>
          </w:tcPr>
          <w:p w:rsidR="004C7474" w:rsidRPr="005F15DA" w:rsidRDefault="004C7474" w:rsidP="00B51338">
            <w:pPr>
              <w:jc w:val="center"/>
              <w:rPr>
                <w:rFonts w:cs="Arial"/>
                <w:sz w:val="18"/>
                <w:szCs w:val="18"/>
              </w:rPr>
            </w:pPr>
          </w:p>
        </w:tc>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z.G. Einwohnergemeinde Seldwyla</w:t>
            </w:r>
          </w:p>
        </w:tc>
        <w:tc>
          <w:tcPr>
            <w:tcW w:w="0" w:type="auto"/>
            <w:shd w:val="clear" w:color="auto" w:fill="EAEAEA"/>
            <w:vAlign w:val="center"/>
          </w:tcPr>
          <w:p w:rsidR="004C7474" w:rsidRPr="005F15DA" w:rsidRDefault="004C7474" w:rsidP="00B51338">
            <w:pPr>
              <w:rPr>
                <w:rFonts w:cs="Arial"/>
                <w:sz w:val="18"/>
                <w:szCs w:val="18"/>
              </w:rPr>
            </w:pPr>
          </w:p>
        </w:tc>
      </w:tr>
    </w:tbl>
    <w:p w:rsidR="004C7474" w:rsidRPr="005F15DA" w:rsidRDefault="004C7474" w:rsidP="004C7474">
      <w:pPr>
        <w:rPr>
          <w:rFonts w:cs="Arial"/>
          <w:vanish/>
          <w:sz w:val="18"/>
          <w:szCs w:val="18"/>
        </w:rPr>
      </w:pPr>
    </w:p>
    <w:tbl>
      <w:tblPr>
        <w:tblW w:w="5000" w:type="pct"/>
        <w:tblCellSpacing w:w="7" w:type="dxa"/>
        <w:tblCellMar>
          <w:left w:w="0" w:type="dxa"/>
          <w:right w:w="0" w:type="dxa"/>
        </w:tblCellMar>
        <w:tblLook w:val="0000" w:firstRow="0" w:lastRow="0" w:firstColumn="0" w:lastColumn="0" w:noHBand="0" w:noVBand="0"/>
      </w:tblPr>
      <w:tblGrid>
        <w:gridCol w:w="9190"/>
      </w:tblGrid>
      <w:tr w:rsidR="004C7474" w:rsidRPr="005F15DA" w:rsidTr="00B51338">
        <w:trPr>
          <w:tblCellSpacing w:w="7" w:type="dxa"/>
        </w:trPr>
        <w:tc>
          <w:tcPr>
            <w:tcW w:w="0" w:type="auto"/>
            <w:tcBorders>
              <w:top w:val="single" w:sz="6" w:space="0" w:color="808080"/>
              <w:left w:val="nil"/>
              <w:bottom w:val="nil"/>
              <w:right w:val="nil"/>
            </w:tcBorders>
            <w:shd w:val="clear" w:color="auto" w:fill="DEDEDE"/>
            <w:vAlign w:val="center"/>
          </w:tcPr>
          <w:p w:rsidR="004C7474" w:rsidRPr="005F15DA" w:rsidRDefault="004C7474" w:rsidP="00B51338">
            <w:pPr>
              <w:rPr>
                <w:rFonts w:cs="Arial"/>
                <w:b/>
                <w:bCs/>
              </w:rPr>
            </w:pPr>
            <w:r w:rsidRPr="005F15DA">
              <w:rPr>
                <w:rFonts w:cs="Arial"/>
                <w:b/>
                <w:bCs/>
              </w:rPr>
              <w:t>Grundlasten</w:t>
            </w:r>
          </w:p>
        </w:tc>
      </w:tr>
    </w:tbl>
    <w:p w:rsidR="004C7474" w:rsidRPr="005F15DA" w:rsidRDefault="004C7474" w:rsidP="004C7474">
      <w:pPr>
        <w:rPr>
          <w:rFonts w:cs="Arial"/>
          <w:vanish/>
          <w:sz w:val="18"/>
          <w:szCs w:val="18"/>
        </w:rPr>
      </w:pPr>
    </w:p>
    <w:tbl>
      <w:tblPr>
        <w:tblW w:w="5000" w:type="pct"/>
        <w:tblCellSpacing w:w="7" w:type="dxa"/>
        <w:tblCellMar>
          <w:left w:w="0" w:type="dxa"/>
          <w:right w:w="0" w:type="dxa"/>
        </w:tblCellMar>
        <w:tblLook w:val="0000" w:firstRow="0" w:lastRow="0" w:firstColumn="0" w:lastColumn="0" w:noHBand="0" w:noVBand="0"/>
      </w:tblPr>
      <w:tblGrid>
        <w:gridCol w:w="9190"/>
      </w:tblGrid>
      <w:tr w:rsidR="004C7474" w:rsidRPr="005F15DA" w:rsidTr="00B51338">
        <w:trPr>
          <w:tblCellSpacing w:w="7" w:type="dxa"/>
        </w:trPr>
        <w:tc>
          <w:tcPr>
            <w:tcW w:w="4985" w:type="pct"/>
            <w:shd w:val="clear" w:color="auto" w:fill="EAEAEA"/>
          </w:tcPr>
          <w:tbl>
            <w:tblPr>
              <w:tblW w:w="5000" w:type="pct"/>
              <w:tblCellSpacing w:w="7" w:type="dxa"/>
              <w:tblCellMar>
                <w:left w:w="0" w:type="dxa"/>
                <w:right w:w="0" w:type="dxa"/>
              </w:tblCellMar>
              <w:tblLook w:val="0000" w:firstRow="0" w:lastRow="0" w:firstColumn="0" w:lastColumn="0" w:noHBand="0" w:noVBand="0"/>
            </w:tblPr>
            <w:tblGrid>
              <w:gridCol w:w="2857"/>
              <w:gridCol w:w="161"/>
              <w:gridCol w:w="6049"/>
              <w:gridCol w:w="95"/>
            </w:tblGrid>
            <w:tr w:rsidR="004C7474" w:rsidRPr="005F15DA" w:rsidTr="00B51338">
              <w:trPr>
                <w:tblCellSpacing w:w="7" w:type="dxa"/>
              </w:trPr>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15.07.1912 1912/1367/0</w:t>
                  </w:r>
                </w:p>
              </w:tc>
              <w:tc>
                <w:tcPr>
                  <w:tcW w:w="0" w:type="auto"/>
                  <w:shd w:val="clear" w:color="auto" w:fill="EAEAEA"/>
                  <w:vAlign w:val="center"/>
                </w:tcPr>
                <w:p w:rsidR="004C7474" w:rsidRPr="005F15DA" w:rsidRDefault="004C7474" w:rsidP="00B51338">
                  <w:pPr>
                    <w:jc w:val="center"/>
                    <w:rPr>
                      <w:rFonts w:cs="Arial"/>
                      <w:sz w:val="18"/>
                      <w:szCs w:val="18"/>
                    </w:rPr>
                  </w:pPr>
                  <w:r w:rsidRPr="005F15DA">
                    <w:rPr>
                      <w:rFonts w:cs="Arial"/>
                      <w:sz w:val="18"/>
                      <w:szCs w:val="18"/>
                    </w:rPr>
                    <w:t>L</w:t>
                  </w:r>
                </w:p>
              </w:tc>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xml:space="preserve">, Zaunerstellungspflicht, Fr. 500.00, ID.2002/008778 </w:t>
                  </w:r>
                </w:p>
              </w:tc>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w:t>
                  </w:r>
                </w:p>
              </w:tc>
            </w:tr>
            <w:tr w:rsidR="004C7474" w:rsidRPr="005F15DA" w:rsidTr="00B51338">
              <w:trPr>
                <w:tblCellSpacing w:w="7" w:type="dxa"/>
              </w:trPr>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w:t>
                  </w:r>
                </w:p>
              </w:tc>
              <w:tc>
                <w:tcPr>
                  <w:tcW w:w="0" w:type="auto"/>
                  <w:shd w:val="clear" w:color="auto" w:fill="EAEAEA"/>
                  <w:vAlign w:val="center"/>
                </w:tcPr>
                <w:p w:rsidR="004C7474" w:rsidRPr="005F15DA" w:rsidRDefault="004C7474" w:rsidP="00B51338">
                  <w:pPr>
                    <w:jc w:val="center"/>
                    <w:rPr>
                      <w:rFonts w:cs="Arial"/>
                      <w:sz w:val="18"/>
                      <w:szCs w:val="18"/>
                    </w:rPr>
                  </w:pPr>
                  <w:r w:rsidRPr="005F15DA">
                    <w:rPr>
                      <w:rFonts w:cs="Arial"/>
                      <w:sz w:val="18"/>
                      <w:szCs w:val="18"/>
                    </w:rPr>
                    <w:t> </w:t>
                  </w:r>
                </w:p>
              </w:tc>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xml:space="preserve">  z.G. Seldwyla/1865 </w:t>
                  </w:r>
                </w:p>
              </w:tc>
              <w:tc>
                <w:tcPr>
                  <w:tcW w:w="0" w:type="auto"/>
                  <w:shd w:val="clear" w:color="auto" w:fill="EAEAEA"/>
                  <w:vAlign w:val="center"/>
                </w:tcPr>
                <w:p w:rsidR="004C7474" w:rsidRPr="005F15DA" w:rsidRDefault="004C7474" w:rsidP="00B51338">
                  <w:pPr>
                    <w:rPr>
                      <w:rFonts w:cs="Arial"/>
                      <w:sz w:val="18"/>
                      <w:szCs w:val="18"/>
                    </w:rPr>
                  </w:pPr>
                </w:p>
              </w:tc>
            </w:tr>
            <w:tr w:rsidR="004C7474" w:rsidRPr="005F15DA" w:rsidTr="00B51338">
              <w:trPr>
                <w:tblCellSpacing w:w="7" w:type="dxa"/>
              </w:trPr>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w:t>
                  </w:r>
                </w:p>
              </w:tc>
              <w:tc>
                <w:tcPr>
                  <w:tcW w:w="0" w:type="auto"/>
                  <w:shd w:val="clear" w:color="auto" w:fill="EAEAEA"/>
                  <w:vAlign w:val="center"/>
                </w:tcPr>
                <w:p w:rsidR="004C7474" w:rsidRPr="005F15DA" w:rsidRDefault="004C7474" w:rsidP="00B51338">
                  <w:pPr>
                    <w:jc w:val="center"/>
                    <w:rPr>
                      <w:rFonts w:cs="Arial"/>
                      <w:sz w:val="18"/>
                      <w:szCs w:val="18"/>
                    </w:rPr>
                  </w:pPr>
                  <w:r w:rsidRPr="005F15DA">
                    <w:rPr>
                      <w:rFonts w:cs="Arial"/>
                      <w:sz w:val="18"/>
                      <w:szCs w:val="18"/>
                    </w:rPr>
                    <w:t> </w:t>
                  </w:r>
                </w:p>
              </w:tc>
              <w:tc>
                <w:tcPr>
                  <w:tcW w:w="0" w:type="auto"/>
                  <w:shd w:val="clear" w:color="auto" w:fill="EAEAEA"/>
                  <w:vAlign w:val="center"/>
                </w:tcPr>
                <w:p w:rsidR="004C7474" w:rsidRPr="005F15DA" w:rsidRDefault="004C7474" w:rsidP="00B51338">
                  <w:pPr>
                    <w:rPr>
                      <w:rFonts w:cs="Arial"/>
                      <w:sz w:val="18"/>
                      <w:szCs w:val="18"/>
                    </w:rPr>
                  </w:pPr>
                  <w:r w:rsidRPr="005F15DA">
                    <w:rPr>
                      <w:rFonts w:cs="Arial"/>
                      <w:sz w:val="18"/>
                      <w:szCs w:val="18"/>
                    </w:rPr>
                    <w:t> </w:t>
                  </w:r>
                </w:p>
              </w:tc>
              <w:tc>
                <w:tcPr>
                  <w:tcW w:w="0" w:type="auto"/>
                  <w:shd w:val="clear" w:color="auto" w:fill="EAEAEA"/>
                  <w:vAlign w:val="center"/>
                </w:tcPr>
                <w:p w:rsidR="004C7474" w:rsidRPr="005F15DA" w:rsidRDefault="004C7474" w:rsidP="00B51338">
                  <w:pPr>
                    <w:rPr>
                      <w:rFonts w:cs="Arial"/>
                      <w:sz w:val="18"/>
                      <w:szCs w:val="18"/>
                    </w:rPr>
                  </w:pPr>
                </w:p>
              </w:tc>
            </w:tr>
          </w:tbl>
          <w:p w:rsidR="004C7474" w:rsidRPr="005F15DA" w:rsidRDefault="004C7474" w:rsidP="00B51338"/>
        </w:tc>
      </w:tr>
    </w:tbl>
    <w:p w:rsidR="004C7474" w:rsidRPr="005F15DA" w:rsidRDefault="004C7474" w:rsidP="004C7474">
      <w:pPr>
        <w:rPr>
          <w:rFonts w:cs="Arial"/>
          <w:vanish/>
          <w:sz w:val="18"/>
          <w:szCs w:val="18"/>
        </w:rPr>
      </w:pPr>
    </w:p>
    <w:tbl>
      <w:tblPr>
        <w:tblW w:w="5000" w:type="pct"/>
        <w:tblCellSpacing w:w="7" w:type="dxa"/>
        <w:tblCellMar>
          <w:left w:w="0" w:type="dxa"/>
          <w:right w:w="0" w:type="dxa"/>
        </w:tblCellMar>
        <w:tblLook w:val="0000" w:firstRow="0" w:lastRow="0" w:firstColumn="0" w:lastColumn="0" w:noHBand="0" w:noVBand="0"/>
      </w:tblPr>
      <w:tblGrid>
        <w:gridCol w:w="9190"/>
      </w:tblGrid>
      <w:tr w:rsidR="004C7474" w:rsidRPr="005F15DA" w:rsidTr="00B51338">
        <w:trPr>
          <w:tblCellSpacing w:w="7" w:type="dxa"/>
        </w:trPr>
        <w:tc>
          <w:tcPr>
            <w:tcW w:w="0" w:type="auto"/>
            <w:tcBorders>
              <w:top w:val="single" w:sz="6" w:space="0" w:color="808080"/>
              <w:left w:val="nil"/>
              <w:bottom w:val="nil"/>
              <w:right w:val="nil"/>
            </w:tcBorders>
            <w:shd w:val="clear" w:color="auto" w:fill="DEDEDE"/>
            <w:vAlign w:val="center"/>
          </w:tcPr>
          <w:p w:rsidR="004C7474" w:rsidRPr="005F15DA" w:rsidRDefault="004C7474" w:rsidP="00B51338">
            <w:pPr>
              <w:rPr>
                <w:rFonts w:cs="Arial"/>
                <w:b/>
                <w:bCs/>
              </w:rPr>
            </w:pPr>
            <w:r w:rsidRPr="005F15DA">
              <w:rPr>
                <w:rFonts w:cs="Arial"/>
                <w:b/>
                <w:bCs/>
              </w:rPr>
              <w:t>Grundpfandrechte</w:t>
            </w:r>
          </w:p>
        </w:tc>
      </w:tr>
    </w:tbl>
    <w:p w:rsidR="004C7474" w:rsidRPr="005F15DA" w:rsidRDefault="004C7474" w:rsidP="004C7474">
      <w:pPr>
        <w:rPr>
          <w:rFonts w:cs="Arial"/>
          <w:vanish/>
          <w:sz w:val="18"/>
          <w:szCs w:val="18"/>
        </w:rPr>
      </w:pPr>
    </w:p>
    <w:tbl>
      <w:tblPr>
        <w:tblW w:w="5000" w:type="pct"/>
        <w:tblCellSpacing w:w="7" w:type="dxa"/>
        <w:tblCellMar>
          <w:left w:w="0" w:type="dxa"/>
          <w:right w:w="0" w:type="dxa"/>
        </w:tblCellMar>
        <w:tblLook w:val="0000" w:firstRow="0" w:lastRow="0" w:firstColumn="0" w:lastColumn="0" w:noHBand="0" w:noVBand="0"/>
      </w:tblPr>
      <w:tblGrid>
        <w:gridCol w:w="1888"/>
        <w:gridCol w:w="5415"/>
        <w:gridCol w:w="1887"/>
      </w:tblGrid>
      <w:tr w:rsidR="004C7474" w:rsidRPr="005F15DA" w:rsidTr="00B51338">
        <w:trPr>
          <w:tblCellSpacing w:w="7" w:type="dxa"/>
        </w:trPr>
        <w:tc>
          <w:tcPr>
            <w:tcW w:w="0" w:type="auto"/>
            <w:shd w:val="clear" w:color="auto" w:fill="EAEAEA"/>
          </w:tcPr>
          <w:p w:rsidR="004C7474" w:rsidRPr="005F15DA" w:rsidRDefault="004C7474" w:rsidP="00B51338">
            <w:pPr>
              <w:rPr>
                <w:rFonts w:cs="Arial"/>
                <w:sz w:val="18"/>
                <w:szCs w:val="18"/>
              </w:rPr>
            </w:pPr>
            <w:r w:rsidRPr="005F15DA">
              <w:rPr>
                <w:rFonts w:cs="Arial"/>
                <w:sz w:val="18"/>
                <w:szCs w:val="18"/>
              </w:rPr>
              <w:t>07.05.1990 1990/978/0</w:t>
            </w:r>
          </w:p>
        </w:tc>
        <w:tc>
          <w:tcPr>
            <w:tcW w:w="0" w:type="auto"/>
            <w:shd w:val="clear" w:color="auto" w:fill="EAEAEA"/>
          </w:tcPr>
          <w:p w:rsidR="004C7474" w:rsidRPr="005F15DA" w:rsidRDefault="004C7474" w:rsidP="00B51338">
            <w:pPr>
              <w:rPr>
                <w:rFonts w:cs="Arial"/>
                <w:sz w:val="18"/>
                <w:szCs w:val="18"/>
              </w:rPr>
            </w:pPr>
            <w:r w:rsidRPr="005F15DA">
              <w:rPr>
                <w:rFonts w:cs="Arial"/>
                <w:sz w:val="18"/>
                <w:szCs w:val="18"/>
              </w:rPr>
              <w:t xml:space="preserve">Namen-Schuldbrief, Fr. 273'740.00, 1. Rang, </w:t>
            </w:r>
            <w:proofErr w:type="spellStart"/>
            <w:r w:rsidRPr="005F15DA">
              <w:rPr>
                <w:rFonts w:cs="Arial"/>
                <w:sz w:val="18"/>
                <w:szCs w:val="18"/>
              </w:rPr>
              <w:t>max</w:t>
            </w:r>
            <w:proofErr w:type="spellEnd"/>
            <w:r w:rsidRPr="005F15DA">
              <w:rPr>
                <w:rFonts w:cs="Arial"/>
                <w:sz w:val="18"/>
                <w:szCs w:val="18"/>
              </w:rPr>
              <w:t xml:space="preserve"> 8%. ID.2002/011545 </w:t>
            </w:r>
          </w:p>
        </w:tc>
        <w:tc>
          <w:tcPr>
            <w:tcW w:w="0" w:type="auto"/>
            <w:shd w:val="clear" w:color="auto" w:fill="EAEAEA"/>
          </w:tcPr>
          <w:p w:rsidR="004C7474" w:rsidRPr="005F15DA" w:rsidRDefault="004C7474" w:rsidP="00B51338">
            <w:pPr>
              <w:rPr>
                <w:rFonts w:cs="Arial"/>
                <w:sz w:val="18"/>
                <w:szCs w:val="18"/>
              </w:rPr>
            </w:pPr>
            <w:r w:rsidRPr="005F15DA">
              <w:rPr>
                <w:rFonts w:cs="Arial"/>
                <w:sz w:val="18"/>
                <w:szCs w:val="18"/>
              </w:rPr>
              <w:t> </w:t>
            </w:r>
          </w:p>
        </w:tc>
      </w:tr>
      <w:tr w:rsidR="004C7474" w:rsidRPr="005F15DA" w:rsidTr="00B51338">
        <w:trPr>
          <w:tblCellSpacing w:w="7" w:type="dxa"/>
        </w:trPr>
        <w:tc>
          <w:tcPr>
            <w:tcW w:w="0" w:type="auto"/>
            <w:shd w:val="clear" w:color="auto" w:fill="EAEAEA"/>
          </w:tcPr>
          <w:p w:rsidR="004C7474" w:rsidRPr="005F15DA" w:rsidRDefault="004C7474" w:rsidP="00B51338">
            <w:pPr>
              <w:rPr>
                <w:rFonts w:cs="Arial"/>
                <w:sz w:val="18"/>
                <w:szCs w:val="18"/>
              </w:rPr>
            </w:pPr>
            <w:r w:rsidRPr="005F15DA">
              <w:rPr>
                <w:rFonts w:cs="Arial"/>
                <w:sz w:val="18"/>
                <w:szCs w:val="18"/>
              </w:rPr>
              <w:t> </w:t>
            </w:r>
          </w:p>
        </w:tc>
        <w:tc>
          <w:tcPr>
            <w:tcW w:w="0" w:type="auto"/>
            <w:shd w:val="clear" w:color="auto" w:fill="EAEAEA"/>
          </w:tcPr>
          <w:p w:rsidR="004C7474" w:rsidRPr="005F15DA" w:rsidRDefault="004C7474" w:rsidP="00B51338">
            <w:pPr>
              <w:rPr>
                <w:rFonts w:cs="Arial"/>
                <w:sz w:val="18"/>
                <w:szCs w:val="18"/>
              </w:rPr>
            </w:pPr>
            <w:r w:rsidRPr="005F15DA">
              <w:rPr>
                <w:rFonts w:cs="Arial"/>
                <w:sz w:val="18"/>
                <w:szCs w:val="18"/>
              </w:rPr>
              <w:t xml:space="preserve">  Grundpfandgläubiger Grossbank AG </w:t>
            </w:r>
          </w:p>
        </w:tc>
        <w:tc>
          <w:tcPr>
            <w:tcW w:w="0" w:type="auto"/>
            <w:shd w:val="clear" w:color="auto" w:fill="EAEAEA"/>
          </w:tcPr>
          <w:p w:rsidR="004C7474" w:rsidRPr="005F15DA" w:rsidRDefault="004C7474" w:rsidP="00B51338">
            <w:pPr>
              <w:rPr>
                <w:rFonts w:cs="Arial"/>
                <w:sz w:val="18"/>
                <w:szCs w:val="18"/>
              </w:rPr>
            </w:pPr>
            <w:r w:rsidRPr="005F15DA">
              <w:rPr>
                <w:rFonts w:cs="Arial"/>
                <w:sz w:val="18"/>
                <w:szCs w:val="18"/>
              </w:rPr>
              <w:t> </w:t>
            </w:r>
          </w:p>
        </w:tc>
      </w:tr>
      <w:tr w:rsidR="004C7474" w:rsidRPr="005F15DA" w:rsidTr="00B51338">
        <w:trPr>
          <w:tblCellSpacing w:w="7" w:type="dxa"/>
        </w:trPr>
        <w:tc>
          <w:tcPr>
            <w:tcW w:w="0" w:type="auto"/>
            <w:shd w:val="clear" w:color="auto" w:fill="EAEAEA"/>
          </w:tcPr>
          <w:p w:rsidR="004C7474" w:rsidRPr="005F15DA" w:rsidRDefault="004C7474" w:rsidP="00B51338">
            <w:pPr>
              <w:rPr>
                <w:rFonts w:cs="Arial"/>
                <w:sz w:val="18"/>
                <w:szCs w:val="18"/>
              </w:rPr>
            </w:pPr>
            <w:r w:rsidRPr="005F15DA">
              <w:rPr>
                <w:rFonts w:cs="Arial"/>
                <w:sz w:val="18"/>
                <w:szCs w:val="18"/>
              </w:rPr>
              <w:t>02.08.2002 2002/2270/0</w:t>
            </w:r>
          </w:p>
        </w:tc>
        <w:tc>
          <w:tcPr>
            <w:tcW w:w="0" w:type="auto"/>
            <w:shd w:val="clear" w:color="auto" w:fill="EAEAEA"/>
          </w:tcPr>
          <w:p w:rsidR="004C7474" w:rsidRPr="005F15DA" w:rsidRDefault="004C7474" w:rsidP="00B51338">
            <w:pPr>
              <w:rPr>
                <w:rFonts w:cs="Arial"/>
                <w:sz w:val="18"/>
                <w:szCs w:val="18"/>
              </w:rPr>
            </w:pPr>
            <w:r w:rsidRPr="005F15DA">
              <w:rPr>
                <w:rFonts w:cs="Arial"/>
                <w:sz w:val="18"/>
                <w:szCs w:val="18"/>
              </w:rPr>
              <w:t xml:space="preserve">Namen-Schuldbrief, Fr. 108'000.00, 2. Rang, </w:t>
            </w:r>
            <w:proofErr w:type="spellStart"/>
            <w:r w:rsidRPr="005F15DA">
              <w:rPr>
                <w:rFonts w:cs="Arial"/>
                <w:sz w:val="18"/>
                <w:szCs w:val="18"/>
              </w:rPr>
              <w:t>max</w:t>
            </w:r>
            <w:proofErr w:type="spellEnd"/>
            <w:r w:rsidRPr="005F15DA">
              <w:rPr>
                <w:rFonts w:cs="Arial"/>
                <w:sz w:val="18"/>
                <w:szCs w:val="18"/>
              </w:rPr>
              <w:t xml:space="preserve"> 10%. ID.2002/011756 </w:t>
            </w:r>
          </w:p>
        </w:tc>
        <w:tc>
          <w:tcPr>
            <w:tcW w:w="0" w:type="auto"/>
            <w:shd w:val="clear" w:color="auto" w:fill="EAEAEA"/>
          </w:tcPr>
          <w:p w:rsidR="004C7474" w:rsidRPr="005F15DA" w:rsidRDefault="004C7474" w:rsidP="00B51338">
            <w:pPr>
              <w:rPr>
                <w:rFonts w:cs="Arial"/>
                <w:sz w:val="18"/>
                <w:szCs w:val="18"/>
              </w:rPr>
            </w:pPr>
            <w:r w:rsidRPr="005F15DA">
              <w:rPr>
                <w:rFonts w:cs="Arial"/>
                <w:sz w:val="18"/>
                <w:szCs w:val="18"/>
              </w:rPr>
              <w:t> </w:t>
            </w:r>
          </w:p>
        </w:tc>
      </w:tr>
      <w:tr w:rsidR="004C7474" w:rsidRPr="005F15DA" w:rsidTr="00B51338">
        <w:trPr>
          <w:tblCellSpacing w:w="7" w:type="dxa"/>
        </w:trPr>
        <w:tc>
          <w:tcPr>
            <w:tcW w:w="0" w:type="auto"/>
            <w:shd w:val="clear" w:color="auto" w:fill="EAEAEA"/>
          </w:tcPr>
          <w:p w:rsidR="004C7474" w:rsidRPr="005F15DA" w:rsidRDefault="004C7474" w:rsidP="00B51338">
            <w:pPr>
              <w:rPr>
                <w:rFonts w:cs="Arial"/>
                <w:sz w:val="18"/>
                <w:szCs w:val="18"/>
              </w:rPr>
            </w:pPr>
            <w:r w:rsidRPr="005F15DA">
              <w:rPr>
                <w:rFonts w:cs="Arial"/>
                <w:sz w:val="18"/>
                <w:szCs w:val="18"/>
              </w:rPr>
              <w:t> </w:t>
            </w:r>
          </w:p>
        </w:tc>
        <w:tc>
          <w:tcPr>
            <w:tcW w:w="0" w:type="auto"/>
            <w:shd w:val="clear" w:color="auto" w:fill="EAEAEA"/>
          </w:tcPr>
          <w:p w:rsidR="004C7474" w:rsidRPr="005F15DA" w:rsidRDefault="004C7474" w:rsidP="00B51338">
            <w:pPr>
              <w:rPr>
                <w:rFonts w:cs="Arial"/>
                <w:sz w:val="18"/>
                <w:szCs w:val="18"/>
              </w:rPr>
            </w:pPr>
            <w:r w:rsidRPr="005F15DA">
              <w:rPr>
                <w:rFonts w:cs="Arial"/>
                <w:sz w:val="18"/>
                <w:szCs w:val="18"/>
              </w:rPr>
              <w:t xml:space="preserve">  Grundpfandgläubiger Grossbank AG </w:t>
            </w:r>
          </w:p>
        </w:tc>
        <w:tc>
          <w:tcPr>
            <w:tcW w:w="0" w:type="auto"/>
            <w:shd w:val="clear" w:color="auto" w:fill="EAEAEA"/>
          </w:tcPr>
          <w:p w:rsidR="004C7474" w:rsidRPr="005F15DA" w:rsidRDefault="004C7474" w:rsidP="00B51338">
            <w:pPr>
              <w:rPr>
                <w:rFonts w:cs="Arial"/>
                <w:sz w:val="18"/>
                <w:szCs w:val="18"/>
              </w:rPr>
            </w:pPr>
            <w:r w:rsidRPr="005F15DA">
              <w:rPr>
                <w:rFonts w:cs="Arial"/>
                <w:sz w:val="18"/>
                <w:szCs w:val="18"/>
              </w:rPr>
              <w:t>01.10.2002 2002/2872/0</w:t>
            </w:r>
          </w:p>
        </w:tc>
      </w:tr>
    </w:tbl>
    <w:p w:rsidR="004C7474" w:rsidRPr="005F15DA" w:rsidRDefault="004C7474" w:rsidP="004C7474">
      <w:pPr>
        <w:rPr>
          <w:rFonts w:cs="Arial"/>
          <w:vanish/>
          <w:sz w:val="18"/>
          <w:szCs w:val="18"/>
        </w:rPr>
      </w:pPr>
    </w:p>
    <w:tbl>
      <w:tblPr>
        <w:tblW w:w="5000" w:type="pct"/>
        <w:tblCellSpacing w:w="7" w:type="dxa"/>
        <w:tblCellMar>
          <w:left w:w="0" w:type="dxa"/>
          <w:right w:w="0" w:type="dxa"/>
        </w:tblCellMar>
        <w:tblLook w:val="0000" w:firstRow="0" w:lastRow="0" w:firstColumn="0" w:lastColumn="0" w:noHBand="0" w:noVBand="0"/>
      </w:tblPr>
      <w:tblGrid>
        <w:gridCol w:w="9190"/>
      </w:tblGrid>
      <w:tr w:rsidR="004C7474" w:rsidRPr="005F15DA" w:rsidTr="00B51338">
        <w:trPr>
          <w:tblCellSpacing w:w="7" w:type="dxa"/>
        </w:trPr>
        <w:tc>
          <w:tcPr>
            <w:tcW w:w="0" w:type="auto"/>
            <w:vAlign w:val="center"/>
          </w:tcPr>
          <w:tbl>
            <w:tblPr>
              <w:tblW w:w="5000" w:type="pct"/>
              <w:tblCellSpacing w:w="0" w:type="dxa"/>
              <w:tblCellMar>
                <w:left w:w="0" w:type="dxa"/>
                <w:right w:w="0" w:type="dxa"/>
              </w:tblCellMar>
              <w:tblLook w:val="0000" w:firstRow="0" w:lastRow="0" w:firstColumn="0" w:lastColumn="0" w:noHBand="0" w:noVBand="0"/>
            </w:tblPr>
            <w:tblGrid>
              <w:gridCol w:w="1554"/>
              <w:gridCol w:w="7608"/>
            </w:tblGrid>
            <w:tr w:rsidR="004C7474" w:rsidRPr="005F15DA" w:rsidTr="00B51338">
              <w:trPr>
                <w:tblCellSpacing w:w="0" w:type="dxa"/>
              </w:trPr>
              <w:tc>
                <w:tcPr>
                  <w:tcW w:w="0" w:type="auto"/>
                  <w:tcBorders>
                    <w:top w:val="single" w:sz="6" w:space="0" w:color="808080"/>
                    <w:left w:val="nil"/>
                    <w:bottom w:val="nil"/>
                    <w:right w:val="nil"/>
                  </w:tcBorders>
                  <w:shd w:val="clear" w:color="auto" w:fill="DEDEDE"/>
                  <w:vAlign w:val="center"/>
                </w:tcPr>
                <w:p w:rsidR="004C7474" w:rsidRPr="005F15DA" w:rsidRDefault="004C7474" w:rsidP="00B51338">
                  <w:pPr>
                    <w:rPr>
                      <w:rFonts w:cs="Arial"/>
                      <w:b/>
                      <w:bCs/>
                    </w:rPr>
                  </w:pPr>
                  <w:r w:rsidRPr="005F15DA">
                    <w:rPr>
                      <w:rFonts w:cs="Arial"/>
                      <w:b/>
                      <w:bCs/>
                    </w:rPr>
                    <w:t>Vormerkungen</w:t>
                  </w:r>
                </w:p>
              </w:tc>
              <w:tc>
                <w:tcPr>
                  <w:tcW w:w="5000" w:type="pct"/>
                  <w:tcBorders>
                    <w:top w:val="single" w:sz="6" w:space="0" w:color="808080"/>
                    <w:left w:val="nil"/>
                    <w:bottom w:val="nil"/>
                    <w:right w:val="nil"/>
                  </w:tcBorders>
                  <w:shd w:val="clear" w:color="auto" w:fill="DEDEDE"/>
                  <w:vAlign w:val="bottom"/>
                </w:tcPr>
                <w:p w:rsidR="004C7474" w:rsidRPr="005F15DA" w:rsidRDefault="004C7474" w:rsidP="00B51338">
                  <w:pPr>
                    <w:rPr>
                      <w:rFonts w:cs="Arial"/>
                      <w:sz w:val="18"/>
                      <w:szCs w:val="18"/>
                    </w:rPr>
                  </w:pPr>
                  <w:r w:rsidRPr="005F15DA">
                    <w:rPr>
                      <w:rFonts w:cs="Arial"/>
                      <w:sz w:val="18"/>
                      <w:szCs w:val="18"/>
                    </w:rPr>
                    <w:t xml:space="preserve">  (Nachrückungsrechte siehe Grundpfandrechte) </w:t>
                  </w:r>
                </w:p>
              </w:tc>
            </w:tr>
          </w:tbl>
          <w:p w:rsidR="004C7474" w:rsidRPr="005F15DA" w:rsidRDefault="004C7474" w:rsidP="00B51338">
            <w:pPr>
              <w:rPr>
                <w:rFonts w:cs="Arial"/>
                <w:sz w:val="18"/>
                <w:szCs w:val="18"/>
              </w:rPr>
            </w:pPr>
          </w:p>
        </w:tc>
      </w:tr>
    </w:tbl>
    <w:p w:rsidR="004C7474" w:rsidRPr="005F15DA" w:rsidRDefault="004C7474" w:rsidP="004C7474">
      <w:pPr>
        <w:rPr>
          <w:rFonts w:cs="Arial"/>
          <w:vanish/>
          <w:sz w:val="18"/>
          <w:szCs w:val="18"/>
        </w:rPr>
      </w:pPr>
    </w:p>
    <w:tbl>
      <w:tblPr>
        <w:tblW w:w="5000" w:type="pct"/>
        <w:tblCellSpacing w:w="7" w:type="dxa"/>
        <w:tblCellMar>
          <w:left w:w="0" w:type="dxa"/>
          <w:right w:w="0" w:type="dxa"/>
        </w:tblCellMar>
        <w:tblLook w:val="0000" w:firstRow="0" w:lastRow="0" w:firstColumn="0" w:lastColumn="0" w:noHBand="0" w:noVBand="0"/>
      </w:tblPr>
      <w:tblGrid>
        <w:gridCol w:w="9190"/>
      </w:tblGrid>
      <w:tr w:rsidR="004C7474" w:rsidRPr="005F15DA" w:rsidTr="00B51338">
        <w:trPr>
          <w:tblCellSpacing w:w="7" w:type="dxa"/>
        </w:trPr>
        <w:tc>
          <w:tcPr>
            <w:tcW w:w="5000" w:type="pct"/>
            <w:shd w:val="clear" w:color="auto" w:fill="EAEAEA"/>
            <w:vAlign w:val="center"/>
          </w:tcPr>
          <w:p w:rsidR="004C7474" w:rsidRPr="005F15DA" w:rsidRDefault="004C7474" w:rsidP="00B51338">
            <w:pPr>
              <w:tabs>
                <w:tab w:val="left" w:pos="1980"/>
              </w:tabs>
              <w:rPr>
                <w:rFonts w:cs="Arial"/>
                <w:sz w:val="18"/>
                <w:szCs w:val="18"/>
              </w:rPr>
            </w:pPr>
            <w:r w:rsidRPr="005F15DA">
              <w:rPr>
                <w:rFonts w:cs="Arial"/>
                <w:sz w:val="18"/>
                <w:szCs w:val="18"/>
              </w:rPr>
              <w:t>01.03.2005</w:t>
            </w:r>
          </w:p>
          <w:p w:rsidR="004C7474" w:rsidRPr="005F15DA" w:rsidRDefault="004C7474" w:rsidP="00B51338">
            <w:pPr>
              <w:tabs>
                <w:tab w:val="left" w:pos="1800"/>
              </w:tabs>
              <w:rPr>
                <w:rFonts w:cs="Arial"/>
                <w:sz w:val="18"/>
                <w:szCs w:val="18"/>
              </w:rPr>
            </w:pPr>
            <w:r w:rsidRPr="005F15DA">
              <w:rPr>
                <w:rFonts w:cs="Arial"/>
                <w:sz w:val="18"/>
                <w:szCs w:val="18"/>
              </w:rPr>
              <w:t>386/2005/0</w:t>
            </w:r>
            <w:r w:rsidRPr="005F15DA">
              <w:rPr>
                <w:rFonts w:cs="Arial"/>
                <w:sz w:val="18"/>
                <w:szCs w:val="18"/>
              </w:rPr>
              <w:tab/>
              <w:t>Vorkaufsrecht zG Strapinski Wenzel bis 31.12.2014</w:t>
            </w:r>
          </w:p>
        </w:tc>
      </w:tr>
    </w:tbl>
    <w:p w:rsidR="004C7474" w:rsidRPr="005F15DA" w:rsidRDefault="004C7474" w:rsidP="004C7474">
      <w:pPr>
        <w:rPr>
          <w:rFonts w:cs="Arial"/>
          <w:vanish/>
          <w:sz w:val="18"/>
          <w:szCs w:val="18"/>
        </w:rPr>
      </w:pPr>
    </w:p>
    <w:tbl>
      <w:tblPr>
        <w:tblW w:w="5000" w:type="pct"/>
        <w:tblCellSpacing w:w="7" w:type="dxa"/>
        <w:tblCellMar>
          <w:left w:w="0" w:type="dxa"/>
          <w:right w:w="0" w:type="dxa"/>
        </w:tblCellMar>
        <w:tblLook w:val="0000" w:firstRow="0" w:lastRow="0" w:firstColumn="0" w:lastColumn="0" w:noHBand="0" w:noVBand="0"/>
      </w:tblPr>
      <w:tblGrid>
        <w:gridCol w:w="9190"/>
      </w:tblGrid>
      <w:tr w:rsidR="004C7474" w:rsidRPr="005F15DA" w:rsidTr="00B51338">
        <w:trPr>
          <w:tblCellSpacing w:w="7" w:type="dxa"/>
        </w:trPr>
        <w:tc>
          <w:tcPr>
            <w:tcW w:w="0" w:type="auto"/>
            <w:tcBorders>
              <w:top w:val="single" w:sz="6" w:space="0" w:color="808080"/>
              <w:left w:val="nil"/>
              <w:bottom w:val="nil"/>
              <w:right w:val="nil"/>
            </w:tcBorders>
            <w:shd w:val="clear" w:color="auto" w:fill="DEDEDE"/>
            <w:vAlign w:val="center"/>
          </w:tcPr>
          <w:p w:rsidR="004C7474" w:rsidRPr="005F15DA" w:rsidRDefault="004C7474" w:rsidP="00B51338">
            <w:pPr>
              <w:rPr>
                <w:rFonts w:cs="Arial"/>
                <w:b/>
                <w:bCs/>
              </w:rPr>
            </w:pPr>
            <w:r w:rsidRPr="005F15DA">
              <w:rPr>
                <w:rFonts w:cs="Arial"/>
                <w:b/>
                <w:bCs/>
              </w:rPr>
              <w:t>Anmerkungen</w:t>
            </w:r>
          </w:p>
        </w:tc>
      </w:tr>
    </w:tbl>
    <w:p w:rsidR="004C7474" w:rsidRPr="005F15DA" w:rsidRDefault="004C7474" w:rsidP="004C7474">
      <w:pPr>
        <w:rPr>
          <w:rFonts w:cs="Arial"/>
          <w:vanish/>
          <w:sz w:val="18"/>
          <w:szCs w:val="18"/>
        </w:rPr>
      </w:pPr>
    </w:p>
    <w:tbl>
      <w:tblPr>
        <w:tblW w:w="5000" w:type="pct"/>
        <w:tblCellSpacing w:w="7" w:type="dxa"/>
        <w:tblCellMar>
          <w:left w:w="0" w:type="dxa"/>
          <w:right w:w="0" w:type="dxa"/>
        </w:tblCellMar>
        <w:tblLook w:val="0000" w:firstRow="0" w:lastRow="0" w:firstColumn="0" w:lastColumn="0" w:noHBand="0" w:noVBand="0"/>
      </w:tblPr>
      <w:tblGrid>
        <w:gridCol w:w="9190"/>
      </w:tblGrid>
      <w:tr w:rsidR="004C7474" w:rsidRPr="005F15DA" w:rsidTr="00B51338">
        <w:trPr>
          <w:tblCellSpacing w:w="7" w:type="dxa"/>
        </w:trPr>
        <w:tc>
          <w:tcPr>
            <w:tcW w:w="5000" w:type="pct"/>
            <w:shd w:val="clear" w:color="auto" w:fill="EAEAEA"/>
            <w:vAlign w:val="center"/>
          </w:tcPr>
          <w:p w:rsidR="004C7474" w:rsidRPr="005F15DA" w:rsidRDefault="004C7474" w:rsidP="00B51338">
            <w:pPr>
              <w:tabs>
                <w:tab w:val="left" w:pos="1835"/>
              </w:tabs>
              <w:rPr>
                <w:rFonts w:cs="Arial"/>
                <w:sz w:val="18"/>
                <w:szCs w:val="18"/>
              </w:rPr>
            </w:pPr>
            <w:r w:rsidRPr="005F15DA">
              <w:rPr>
                <w:rFonts w:cs="Arial"/>
                <w:sz w:val="18"/>
                <w:szCs w:val="18"/>
              </w:rPr>
              <w:t>2886/2003/0</w:t>
            </w:r>
            <w:r w:rsidRPr="005F15DA">
              <w:rPr>
                <w:rFonts w:cs="Arial"/>
                <w:sz w:val="18"/>
                <w:szCs w:val="18"/>
              </w:rPr>
              <w:tab/>
              <w:t>Auflagen gemäss Baugesetz</w:t>
            </w:r>
          </w:p>
        </w:tc>
      </w:tr>
    </w:tbl>
    <w:p w:rsidR="004C7474" w:rsidRPr="005F15DA" w:rsidRDefault="004C7474" w:rsidP="004C7474">
      <w:pPr>
        <w:rPr>
          <w:rFonts w:cs="Arial"/>
          <w:vanish/>
          <w:sz w:val="18"/>
          <w:szCs w:val="18"/>
        </w:rPr>
      </w:pPr>
    </w:p>
    <w:tbl>
      <w:tblPr>
        <w:tblW w:w="5000" w:type="pct"/>
        <w:tblCellSpacing w:w="7" w:type="dxa"/>
        <w:tblCellMar>
          <w:left w:w="0" w:type="dxa"/>
          <w:right w:w="0" w:type="dxa"/>
        </w:tblCellMar>
        <w:tblLook w:val="0000" w:firstRow="0" w:lastRow="0" w:firstColumn="0" w:lastColumn="0" w:noHBand="0" w:noVBand="0"/>
      </w:tblPr>
      <w:tblGrid>
        <w:gridCol w:w="9190"/>
      </w:tblGrid>
      <w:tr w:rsidR="004C7474" w:rsidRPr="005F15DA" w:rsidTr="00B51338">
        <w:trPr>
          <w:tblCellSpacing w:w="7" w:type="dxa"/>
        </w:trPr>
        <w:tc>
          <w:tcPr>
            <w:tcW w:w="0" w:type="auto"/>
            <w:tcBorders>
              <w:top w:val="single" w:sz="6" w:space="0" w:color="808080"/>
              <w:left w:val="nil"/>
              <w:bottom w:val="nil"/>
              <w:right w:val="nil"/>
            </w:tcBorders>
            <w:shd w:val="clear" w:color="auto" w:fill="DEDEDE"/>
            <w:vAlign w:val="center"/>
          </w:tcPr>
          <w:p w:rsidR="004C7474" w:rsidRPr="005F15DA" w:rsidRDefault="004C7474" w:rsidP="00B51338">
            <w:pPr>
              <w:rPr>
                <w:rFonts w:cs="Arial"/>
                <w:b/>
                <w:bCs/>
              </w:rPr>
            </w:pPr>
            <w:r w:rsidRPr="005F15DA">
              <w:rPr>
                <w:rFonts w:cs="Arial"/>
                <w:b/>
                <w:bCs/>
              </w:rPr>
              <w:t>Hängige Geschäfte</w:t>
            </w:r>
          </w:p>
        </w:tc>
      </w:tr>
    </w:tbl>
    <w:p w:rsidR="004C7474" w:rsidRPr="005F15DA" w:rsidRDefault="004C7474" w:rsidP="004C7474">
      <w:pPr>
        <w:rPr>
          <w:rFonts w:cs="Arial"/>
          <w:vanish/>
          <w:sz w:val="18"/>
          <w:szCs w:val="18"/>
        </w:rPr>
      </w:pPr>
    </w:p>
    <w:tbl>
      <w:tblPr>
        <w:tblW w:w="5016" w:type="pct"/>
        <w:tblCellSpacing w:w="7" w:type="dxa"/>
        <w:tblInd w:w="-15" w:type="dxa"/>
        <w:tblCellMar>
          <w:left w:w="0" w:type="dxa"/>
          <w:right w:w="0" w:type="dxa"/>
        </w:tblCellMar>
        <w:tblLook w:val="0000" w:firstRow="0" w:lastRow="0" w:firstColumn="0" w:lastColumn="0" w:noHBand="0" w:noVBand="0"/>
      </w:tblPr>
      <w:tblGrid>
        <w:gridCol w:w="67"/>
        <w:gridCol w:w="2877"/>
        <w:gridCol w:w="4685"/>
        <w:gridCol w:w="527"/>
        <w:gridCol w:w="528"/>
        <w:gridCol w:w="535"/>
      </w:tblGrid>
      <w:tr w:rsidR="004C7474" w:rsidRPr="005F15DA" w:rsidTr="004C7474">
        <w:trPr>
          <w:gridBefore w:val="1"/>
          <w:gridAfter w:val="1"/>
          <w:wAfter w:w="51" w:type="dxa"/>
          <w:tblCellSpacing w:w="7" w:type="dxa"/>
        </w:trPr>
        <w:tc>
          <w:tcPr>
            <w:tcW w:w="1556" w:type="pct"/>
            <w:shd w:val="clear" w:color="auto" w:fill="EAEAEA"/>
            <w:noWrap/>
          </w:tcPr>
          <w:p w:rsidR="004C7474" w:rsidRPr="005F15DA" w:rsidRDefault="004C7474" w:rsidP="00B51338">
            <w:pPr>
              <w:rPr>
                <w:rFonts w:cs="Arial"/>
                <w:sz w:val="18"/>
                <w:szCs w:val="18"/>
              </w:rPr>
            </w:pPr>
            <w:r w:rsidRPr="005F15DA">
              <w:rPr>
                <w:rFonts w:cs="Arial"/>
                <w:sz w:val="18"/>
                <w:szCs w:val="18"/>
              </w:rPr>
              <w:t>Tagebuchgeschäfte bis 14.11.2005:</w:t>
            </w:r>
          </w:p>
        </w:tc>
        <w:tc>
          <w:tcPr>
            <w:tcW w:w="0" w:type="auto"/>
            <w:shd w:val="clear" w:color="auto" w:fill="EAEAEA"/>
            <w:noWrap/>
          </w:tcPr>
          <w:p w:rsidR="004C7474" w:rsidRPr="005F15DA" w:rsidRDefault="004C7474" w:rsidP="00B51338">
            <w:pPr>
              <w:rPr>
                <w:rFonts w:cs="Arial"/>
                <w:sz w:val="18"/>
                <w:szCs w:val="18"/>
              </w:rPr>
            </w:pPr>
            <w:r w:rsidRPr="005F15DA">
              <w:rPr>
                <w:rFonts w:cs="Arial"/>
                <w:sz w:val="18"/>
                <w:szCs w:val="18"/>
              </w:rPr>
              <w:t>Keine</w:t>
            </w:r>
          </w:p>
        </w:tc>
        <w:tc>
          <w:tcPr>
            <w:tcW w:w="0" w:type="auto"/>
            <w:shd w:val="clear" w:color="auto" w:fill="EAEAEA"/>
            <w:noWrap/>
          </w:tcPr>
          <w:p w:rsidR="004C7474" w:rsidRPr="005F15DA" w:rsidRDefault="004C7474" w:rsidP="00B51338">
            <w:pPr>
              <w:rPr>
                <w:rFonts w:cs="Arial"/>
                <w:sz w:val="18"/>
                <w:szCs w:val="18"/>
              </w:rPr>
            </w:pPr>
            <w:r w:rsidRPr="005F15DA">
              <w:rPr>
                <w:rFonts w:cs="Arial"/>
                <w:sz w:val="18"/>
                <w:szCs w:val="18"/>
              </w:rPr>
              <w:t> </w:t>
            </w:r>
          </w:p>
        </w:tc>
        <w:tc>
          <w:tcPr>
            <w:tcW w:w="0" w:type="auto"/>
            <w:shd w:val="clear" w:color="auto" w:fill="EAEAEA"/>
          </w:tcPr>
          <w:p w:rsidR="004C7474" w:rsidRPr="005F15DA" w:rsidRDefault="004C7474" w:rsidP="00B51338">
            <w:pPr>
              <w:rPr>
                <w:rFonts w:cs="Arial"/>
                <w:sz w:val="18"/>
                <w:szCs w:val="18"/>
              </w:rPr>
            </w:pPr>
            <w:r w:rsidRPr="005F15DA">
              <w:rPr>
                <w:rFonts w:cs="Arial"/>
                <w:sz w:val="18"/>
                <w:szCs w:val="18"/>
              </w:rPr>
              <w:t> </w:t>
            </w:r>
          </w:p>
        </w:tc>
      </w:tr>
      <w:tr w:rsidR="004C7474" w:rsidRPr="005F15DA" w:rsidTr="004C7474">
        <w:trPr>
          <w:gridBefore w:val="1"/>
          <w:gridAfter w:val="1"/>
          <w:wAfter w:w="51" w:type="dxa"/>
          <w:tblCellSpacing w:w="7" w:type="dxa"/>
        </w:trPr>
        <w:tc>
          <w:tcPr>
            <w:tcW w:w="1556" w:type="pct"/>
            <w:shd w:val="clear" w:color="auto" w:fill="EAEAEA"/>
            <w:noWrap/>
          </w:tcPr>
          <w:p w:rsidR="004C7474" w:rsidRPr="005F15DA" w:rsidRDefault="004C7474" w:rsidP="00B51338">
            <w:pPr>
              <w:rPr>
                <w:rFonts w:cs="Arial"/>
                <w:sz w:val="18"/>
                <w:szCs w:val="18"/>
              </w:rPr>
            </w:pPr>
            <w:r w:rsidRPr="005F15DA">
              <w:rPr>
                <w:rFonts w:cs="Arial"/>
                <w:sz w:val="18"/>
                <w:szCs w:val="18"/>
              </w:rPr>
              <w:t>Geometergeschäfte bis 11.11.2005:</w:t>
            </w:r>
          </w:p>
        </w:tc>
        <w:tc>
          <w:tcPr>
            <w:tcW w:w="0" w:type="auto"/>
            <w:shd w:val="clear" w:color="auto" w:fill="EAEAEA"/>
            <w:noWrap/>
          </w:tcPr>
          <w:p w:rsidR="004C7474" w:rsidRPr="005F15DA" w:rsidRDefault="004C7474" w:rsidP="00B51338">
            <w:pPr>
              <w:rPr>
                <w:rFonts w:cs="Arial"/>
                <w:sz w:val="18"/>
                <w:szCs w:val="18"/>
              </w:rPr>
            </w:pPr>
            <w:r w:rsidRPr="005F15DA">
              <w:rPr>
                <w:rFonts w:cs="Arial"/>
                <w:sz w:val="18"/>
                <w:szCs w:val="18"/>
              </w:rPr>
              <w:t>Keine</w:t>
            </w:r>
          </w:p>
        </w:tc>
        <w:tc>
          <w:tcPr>
            <w:tcW w:w="0" w:type="auto"/>
            <w:shd w:val="clear" w:color="auto" w:fill="EAEAEA"/>
            <w:noWrap/>
          </w:tcPr>
          <w:p w:rsidR="004C7474" w:rsidRPr="005F15DA" w:rsidRDefault="004C7474" w:rsidP="00B51338">
            <w:pPr>
              <w:rPr>
                <w:rFonts w:cs="Arial"/>
                <w:sz w:val="18"/>
                <w:szCs w:val="18"/>
              </w:rPr>
            </w:pPr>
            <w:r w:rsidRPr="005F15DA">
              <w:rPr>
                <w:rFonts w:cs="Arial"/>
                <w:sz w:val="18"/>
                <w:szCs w:val="18"/>
              </w:rPr>
              <w:t> </w:t>
            </w:r>
          </w:p>
        </w:tc>
        <w:tc>
          <w:tcPr>
            <w:tcW w:w="0" w:type="auto"/>
            <w:shd w:val="clear" w:color="auto" w:fill="EAEAEA"/>
          </w:tcPr>
          <w:p w:rsidR="004C7474" w:rsidRPr="005F15DA" w:rsidRDefault="004C7474" w:rsidP="00B51338">
            <w:pPr>
              <w:rPr>
                <w:rFonts w:cs="Arial"/>
                <w:sz w:val="18"/>
                <w:szCs w:val="18"/>
              </w:rPr>
            </w:pPr>
            <w:r w:rsidRPr="005F15DA">
              <w:rPr>
                <w:rFonts w:cs="Arial"/>
                <w:sz w:val="18"/>
                <w:szCs w:val="18"/>
              </w:rPr>
              <w:t> </w:t>
            </w:r>
          </w:p>
        </w:tc>
      </w:tr>
      <w:tr w:rsidR="004C7474" w:rsidRPr="005F15DA" w:rsidTr="004C7474">
        <w:tblPrEx>
          <w:tblCellMar>
            <w:top w:w="15" w:type="dxa"/>
            <w:left w:w="15" w:type="dxa"/>
            <w:bottom w:w="15" w:type="dxa"/>
            <w:right w:w="15" w:type="dxa"/>
          </w:tblCellMar>
        </w:tblPrEx>
        <w:trPr>
          <w:tblCellSpacing w:w="7" w:type="dxa"/>
        </w:trPr>
        <w:tc>
          <w:tcPr>
            <w:tcW w:w="4985" w:type="pct"/>
            <w:gridSpan w:val="6"/>
            <w:vAlign w:val="center"/>
          </w:tcPr>
          <w:p w:rsidR="004C7474" w:rsidRPr="005F15DA" w:rsidRDefault="004C7474" w:rsidP="00B51338">
            <w:pPr>
              <w:rPr>
                <w:rFonts w:cs="Arial"/>
                <w:b/>
                <w:bCs/>
                <w:sz w:val="18"/>
                <w:szCs w:val="18"/>
                <w:u w:val="single"/>
              </w:rPr>
            </w:pPr>
          </w:p>
          <w:p w:rsidR="004C7474" w:rsidRPr="005F15DA" w:rsidRDefault="00C64023" w:rsidP="00B51338">
            <w:pPr>
              <w:rPr>
                <w:rFonts w:cs="Arial"/>
                <w:b/>
                <w:bCs/>
                <w:sz w:val="18"/>
                <w:szCs w:val="18"/>
                <w:u w:val="single"/>
              </w:rPr>
            </w:pPr>
            <w:r>
              <w:rPr>
                <w:rFonts w:cs="Arial"/>
                <w:b/>
                <w:bCs/>
                <w:sz w:val="18"/>
                <w:szCs w:val="18"/>
                <w:u w:val="single"/>
              </w:rPr>
              <w:pict>
                <v:rect id="_x0000_i1026" style="width:0;height:1.5pt" o:hralign="center" o:hrstd="t" o:hr="t" fillcolor="gray" stroked="f"/>
              </w:pict>
            </w:r>
          </w:p>
          <w:p w:rsidR="004C7474" w:rsidRPr="005F15DA" w:rsidRDefault="004C7474" w:rsidP="00B51338">
            <w:pPr>
              <w:rPr>
                <w:rFonts w:cs="Arial"/>
                <w:sz w:val="18"/>
                <w:szCs w:val="18"/>
              </w:rPr>
            </w:pPr>
            <w:r w:rsidRPr="005F15DA">
              <w:rPr>
                <w:rFonts w:cs="Arial"/>
                <w:b/>
                <w:bCs/>
                <w:sz w:val="18"/>
                <w:szCs w:val="18"/>
                <w:u w:val="single"/>
              </w:rPr>
              <w:t>Legende:</w:t>
            </w:r>
            <w:r w:rsidRPr="005F15DA">
              <w:rPr>
                <w:rFonts w:cs="Arial"/>
                <w:sz w:val="18"/>
                <w:szCs w:val="18"/>
              </w:rPr>
              <w:t xml:space="preserve"> </w:t>
            </w:r>
          </w:p>
        </w:tc>
      </w:tr>
      <w:tr w:rsidR="004C7474" w:rsidRPr="005F15DA" w:rsidTr="004C7474">
        <w:tblPrEx>
          <w:tblCellMar>
            <w:top w:w="15" w:type="dxa"/>
            <w:left w:w="15" w:type="dxa"/>
            <w:bottom w:w="15" w:type="dxa"/>
            <w:right w:w="15" w:type="dxa"/>
          </w:tblCellMar>
        </w:tblPrEx>
        <w:trPr>
          <w:tblCellSpacing w:w="7" w:type="dxa"/>
        </w:trPr>
        <w:tc>
          <w:tcPr>
            <w:tcW w:w="4985" w:type="pct"/>
            <w:gridSpan w:val="6"/>
            <w:vAlign w:val="center"/>
          </w:tcPr>
          <w:p w:rsidR="004C7474" w:rsidRPr="005F15DA" w:rsidRDefault="004C7474" w:rsidP="009D34F3">
            <w:pPr>
              <w:numPr>
                <w:ilvl w:val="0"/>
                <w:numId w:val="56"/>
              </w:numPr>
              <w:spacing w:before="100" w:beforeAutospacing="1" w:after="100" w:afterAutospacing="1" w:line="240" w:lineRule="auto"/>
              <w:rPr>
                <w:rFonts w:cs="Arial"/>
                <w:sz w:val="18"/>
                <w:szCs w:val="18"/>
              </w:rPr>
            </w:pPr>
            <w:r w:rsidRPr="005F15DA">
              <w:rPr>
                <w:rFonts w:cs="Arial"/>
                <w:sz w:val="18"/>
                <w:szCs w:val="18"/>
              </w:rPr>
              <w:t>Zu "Anmerkungen", "Dienstbarkeiten", "Grundlasten" und Vormerkungen": Die linke Kolonne enthält D</w:t>
            </w:r>
            <w:r w:rsidRPr="005F15DA">
              <w:rPr>
                <w:rFonts w:cs="Arial"/>
                <w:sz w:val="18"/>
                <w:szCs w:val="18"/>
              </w:rPr>
              <w:t>a</w:t>
            </w:r>
            <w:r w:rsidRPr="005F15DA">
              <w:rPr>
                <w:rFonts w:cs="Arial"/>
                <w:sz w:val="18"/>
                <w:szCs w:val="18"/>
              </w:rPr>
              <w:t xml:space="preserve">tum und Beleg der Eintragung (rangbegründend). Die rechte Kolonne enthält das Datum und die Angabe von weiteren Belegen. </w:t>
            </w:r>
          </w:p>
          <w:p w:rsidR="004C7474" w:rsidRPr="005F15DA" w:rsidRDefault="004C7474" w:rsidP="009D34F3">
            <w:pPr>
              <w:numPr>
                <w:ilvl w:val="0"/>
                <w:numId w:val="56"/>
              </w:numPr>
              <w:spacing w:before="100" w:beforeAutospacing="1" w:after="100" w:afterAutospacing="1" w:line="240" w:lineRule="auto"/>
              <w:rPr>
                <w:rFonts w:cs="Arial"/>
                <w:sz w:val="18"/>
                <w:szCs w:val="18"/>
              </w:rPr>
            </w:pPr>
            <w:r w:rsidRPr="005F15DA">
              <w:rPr>
                <w:rFonts w:cs="Arial"/>
                <w:sz w:val="18"/>
                <w:szCs w:val="18"/>
              </w:rPr>
              <w:t xml:space="preserve">Zu "Anmerkungen", "Dienstbarkeiten", "Grundlasten", "Vormerkungen": L = Last; R = Recht; L/R = Last und Recht. </w:t>
            </w:r>
          </w:p>
          <w:p w:rsidR="004C7474" w:rsidRPr="005F15DA" w:rsidRDefault="004C7474" w:rsidP="009D34F3">
            <w:pPr>
              <w:numPr>
                <w:ilvl w:val="0"/>
                <w:numId w:val="56"/>
              </w:numPr>
              <w:spacing w:before="100" w:beforeAutospacing="1" w:after="100" w:afterAutospacing="1" w:line="240" w:lineRule="auto"/>
              <w:rPr>
                <w:rFonts w:cs="Arial"/>
                <w:sz w:val="18"/>
                <w:szCs w:val="18"/>
              </w:rPr>
            </w:pPr>
            <w:r w:rsidRPr="005F15DA">
              <w:rPr>
                <w:rFonts w:cs="Arial"/>
                <w:sz w:val="18"/>
                <w:szCs w:val="18"/>
              </w:rPr>
              <w:t xml:space="preserve">ID = </w:t>
            </w:r>
            <w:proofErr w:type="spellStart"/>
            <w:r w:rsidRPr="005F15DA">
              <w:rPr>
                <w:rFonts w:cs="Arial"/>
                <w:sz w:val="18"/>
                <w:szCs w:val="18"/>
              </w:rPr>
              <w:t>Identifikations</w:t>
            </w:r>
            <w:proofErr w:type="spellEnd"/>
            <w:r w:rsidRPr="005F15DA">
              <w:rPr>
                <w:rFonts w:cs="Arial"/>
                <w:sz w:val="18"/>
                <w:szCs w:val="18"/>
              </w:rPr>
              <w:t xml:space="preserve"> Nummer </w:t>
            </w:r>
          </w:p>
        </w:tc>
      </w:tr>
    </w:tbl>
    <w:p w:rsidR="00AC041C" w:rsidRPr="005F15DA" w:rsidRDefault="00AC041C" w:rsidP="00AC041C">
      <w:pPr>
        <w:rPr>
          <w:szCs w:val="22"/>
        </w:rPr>
      </w:pPr>
    </w:p>
    <w:p w:rsidR="00AC041C" w:rsidRPr="005F15DA" w:rsidRDefault="00AC041C" w:rsidP="00AC041C">
      <w:pPr>
        <w:spacing w:after="200"/>
        <w:rPr>
          <w:szCs w:val="22"/>
        </w:rPr>
      </w:pPr>
      <w:r w:rsidRPr="005F15DA">
        <w:rPr>
          <w:szCs w:val="22"/>
        </w:rPr>
        <w:br w:type="page"/>
      </w:r>
    </w:p>
    <w:p w:rsidR="00AC041C" w:rsidRPr="005F15DA" w:rsidRDefault="00AC041C" w:rsidP="00073F5B">
      <w:pPr>
        <w:pStyle w:val="berschrift2"/>
      </w:pPr>
      <w:bookmarkStart w:id="208" w:name="_Toc432175728"/>
      <w:r w:rsidRPr="005F15DA">
        <w:lastRenderedPageBreak/>
        <w:t xml:space="preserve">X. </w:t>
      </w:r>
      <w:r w:rsidR="00073F5B" w:rsidRPr="005F15DA">
        <w:t>Grundbuch</w:t>
      </w:r>
      <w:r w:rsidR="009165D0">
        <w:t>formulare</w:t>
      </w:r>
      <w:bookmarkEnd w:id="208"/>
    </w:p>
    <w:p w:rsidR="00830AC0" w:rsidRDefault="00830AC0" w:rsidP="00830AC0">
      <w:pPr>
        <w:rPr>
          <w:szCs w:val="22"/>
        </w:rPr>
      </w:pPr>
    </w:p>
    <w:p w:rsidR="009165D0" w:rsidRDefault="009165D0" w:rsidP="00830AC0">
      <w:pPr>
        <w:rPr>
          <w:szCs w:val="22"/>
        </w:rPr>
      </w:pPr>
      <w:r>
        <w:rPr>
          <w:szCs w:val="22"/>
        </w:rPr>
        <w:t>Auf den folgenden Seiten finden Sie die im Kanton Bern verwendeten Grundbuchformulare.</w:t>
      </w:r>
    </w:p>
    <w:p w:rsidR="009165D0" w:rsidRDefault="009165D0" w:rsidP="00830AC0">
      <w:pPr>
        <w:rPr>
          <w:szCs w:val="22"/>
        </w:rPr>
      </w:pPr>
    </w:p>
    <w:p w:rsidR="009165D0" w:rsidRDefault="009165D0" w:rsidP="00830AC0">
      <w:pPr>
        <w:rPr>
          <w:szCs w:val="22"/>
        </w:rPr>
      </w:pPr>
      <w:r>
        <w:rPr>
          <w:szCs w:val="22"/>
        </w:rPr>
        <w:t>Mit jedem Geschäft, welches beim Grundbuchamt angemeldet wird, ist eine Grundbucha</w:t>
      </w:r>
      <w:r>
        <w:rPr>
          <w:szCs w:val="22"/>
        </w:rPr>
        <w:t>n</w:t>
      </w:r>
      <w:r>
        <w:rPr>
          <w:szCs w:val="22"/>
        </w:rPr>
        <w:t>meldung einzureichen. Diese kann die effektive Grundbuchanmeldung (mit Deklaration der Handänderungssteuer bei Handänderungen) sein, oder z.B. eine Gläubigerwechsel-Anmeldung, eine Löschungsbewilligung, usw.</w:t>
      </w:r>
    </w:p>
    <w:p w:rsidR="009165D0" w:rsidRDefault="009165D0" w:rsidP="00830AC0">
      <w:pPr>
        <w:rPr>
          <w:szCs w:val="22"/>
        </w:rPr>
      </w:pPr>
    </w:p>
    <w:p w:rsidR="009165D0" w:rsidRDefault="009165D0" w:rsidP="00830AC0">
      <w:pPr>
        <w:rPr>
          <w:szCs w:val="22"/>
        </w:rPr>
      </w:pPr>
      <w:r>
        <w:rPr>
          <w:szCs w:val="22"/>
        </w:rPr>
        <w:t xml:space="preserve">Sie finden alle Formulare als </w:t>
      </w:r>
      <w:proofErr w:type="spellStart"/>
      <w:r>
        <w:rPr>
          <w:szCs w:val="22"/>
        </w:rPr>
        <w:t>pdf.Dateien</w:t>
      </w:r>
      <w:proofErr w:type="spellEnd"/>
      <w:r>
        <w:rPr>
          <w:szCs w:val="22"/>
        </w:rPr>
        <w:t xml:space="preserve"> auf der Homepage der Grundbuchämter</w:t>
      </w:r>
      <w:r w:rsidR="008574C5">
        <w:rPr>
          <w:szCs w:val="22"/>
        </w:rPr>
        <w:t xml:space="preserve">, und zwar unter "Formulare" </w:t>
      </w:r>
    </w:p>
    <w:p w:rsidR="008574C5" w:rsidRDefault="008574C5" w:rsidP="00830AC0">
      <w:pPr>
        <w:rPr>
          <w:szCs w:val="22"/>
        </w:rPr>
      </w:pPr>
      <w:r w:rsidRPr="008574C5">
        <w:rPr>
          <w:szCs w:val="22"/>
        </w:rPr>
        <w:t>http://www.jgk.be.ch/jgk/de/index/direktion/organisation/gba.html</w:t>
      </w:r>
    </w:p>
    <w:p w:rsidR="009165D0" w:rsidRDefault="009165D0" w:rsidP="00830AC0">
      <w:pPr>
        <w:rPr>
          <w:szCs w:val="22"/>
        </w:rPr>
      </w:pPr>
    </w:p>
    <w:p w:rsidR="009165D0" w:rsidRDefault="008574C5" w:rsidP="00830AC0">
      <w:pPr>
        <w:rPr>
          <w:szCs w:val="22"/>
        </w:rPr>
      </w:pPr>
      <w:r>
        <w:rPr>
          <w:szCs w:val="22"/>
        </w:rPr>
        <w:t>Auf der gleichen Seite finden Sie auch das Handbuch der Grundbuchämter. Dieses ist im Aufbau und behandelt diverse Themen zur Grundbuchführung (welche Unterschriften müssen beglaubigt werden, welche nicht, usw.). Das Handbuch ist ein Hilfsmittel für die Notariate.</w:t>
      </w:r>
    </w:p>
    <w:p w:rsidR="009165D0" w:rsidRPr="005F15DA" w:rsidRDefault="009165D0" w:rsidP="00830AC0">
      <w:pPr>
        <w:rPr>
          <w:szCs w:val="22"/>
        </w:rPr>
      </w:pPr>
    </w:p>
    <w:p w:rsidR="008574C5" w:rsidRDefault="00AC041C">
      <w:pPr>
        <w:spacing w:after="200"/>
        <w:rPr>
          <w:szCs w:val="22"/>
        </w:rPr>
      </w:pPr>
      <w:r w:rsidRPr="005F15DA">
        <w:rPr>
          <w:szCs w:val="22"/>
        </w:rPr>
        <w:br w:type="page"/>
      </w:r>
    </w:p>
    <w:p w:rsidR="008574C5" w:rsidRDefault="008574C5" w:rsidP="00AC041C">
      <w:pPr>
        <w:spacing w:after="200"/>
        <w:rPr>
          <w:szCs w:val="22"/>
        </w:rPr>
      </w:pPr>
      <w:r>
        <w:rPr>
          <w:noProof/>
          <w:szCs w:val="22"/>
          <w:lang w:eastAsia="de-CH"/>
        </w:rPr>
        <w:lastRenderedPageBreak/>
        <w:drawing>
          <wp:anchor distT="0" distB="0" distL="114300" distR="114300" simplePos="0" relativeHeight="251737088" behindDoc="0" locked="0" layoutInCell="1" allowOverlap="1">
            <wp:simplePos x="0" y="0"/>
            <wp:positionH relativeFrom="column">
              <wp:posOffset>0</wp:posOffset>
            </wp:positionH>
            <wp:positionV relativeFrom="paragraph">
              <wp:posOffset>0</wp:posOffset>
            </wp:positionV>
            <wp:extent cx="5817870" cy="8231505"/>
            <wp:effectExtent l="19050" t="19050" r="11430" b="17145"/>
            <wp:wrapTopAndBottom/>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GB-Anmeldung.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817870" cy="8231505"/>
                    </a:xfrm>
                    <a:prstGeom prst="rect">
                      <a:avLst/>
                    </a:prstGeom>
                    <a:ln w="3175">
                      <a:solidFill>
                        <a:schemeClr val="tx1"/>
                      </a:solidFill>
                    </a:ln>
                  </pic:spPr>
                </pic:pic>
              </a:graphicData>
            </a:graphic>
          </wp:anchor>
        </w:drawing>
      </w:r>
    </w:p>
    <w:p w:rsidR="008574C5" w:rsidRDefault="008574C5" w:rsidP="00AC041C">
      <w:pPr>
        <w:spacing w:after="200"/>
        <w:rPr>
          <w:szCs w:val="22"/>
        </w:rPr>
      </w:pPr>
      <w:r>
        <w:rPr>
          <w:noProof/>
          <w:szCs w:val="22"/>
          <w:lang w:eastAsia="de-CH"/>
        </w:rPr>
        <w:lastRenderedPageBreak/>
        <w:drawing>
          <wp:anchor distT="0" distB="0" distL="114300" distR="114300" simplePos="0" relativeHeight="251738112" behindDoc="0" locked="0" layoutInCell="1" allowOverlap="1">
            <wp:simplePos x="0" y="0"/>
            <wp:positionH relativeFrom="column">
              <wp:posOffset>0</wp:posOffset>
            </wp:positionH>
            <wp:positionV relativeFrom="paragraph">
              <wp:posOffset>0</wp:posOffset>
            </wp:positionV>
            <wp:extent cx="5817870" cy="8227695"/>
            <wp:effectExtent l="19050" t="19050" r="11430" b="20955"/>
            <wp:wrapTopAndBottom/>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Deklaration HG Normal.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817870" cy="8227695"/>
                    </a:xfrm>
                    <a:prstGeom prst="rect">
                      <a:avLst/>
                    </a:prstGeom>
                    <a:ln w="3175">
                      <a:solidFill>
                        <a:schemeClr val="tx1"/>
                      </a:solidFill>
                    </a:ln>
                  </pic:spPr>
                </pic:pic>
              </a:graphicData>
            </a:graphic>
          </wp:anchor>
        </w:drawing>
      </w:r>
    </w:p>
    <w:p w:rsidR="008574C5" w:rsidRDefault="008574C5" w:rsidP="00AC041C">
      <w:pPr>
        <w:spacing w:after="200"/>
        <w:rPr>
          <w:szCs w:val="22"/>
        </w:rPr>
      </w:pPr>
      <w:r>
        <w:rPr>
          <w:noProof/>
          <w:szCs w:val="22"/>
          <w:lang w:eastAsia="de-CH"/>
        </w:rPr>
        <w:lastRenderedPageBreak/>
        <w:drawing>
          <wp:anchor distT="0" distB="0" distL="114300" distR="114300" simplePos="0" relativeHeight="251739136" behindDoc="0" locked="0" layoutInCell="1" allowOverlap="1">
            <wp:simplePos x="0" y="0"/>
            <wp:positionH relativeFrom="column">
              <wp:posOffset>0</wp:posOffset>
            </wp:positionH>
            <wp:positionV relativeFrom="paragraph">
              <wp:posOffset>0</wp:posOffset>
            </wp:positionV>
            <wp:extent cx="5817870" cy="8231505"/>
            <wp:effectExtent l="19050" t="19050" r="11430" b="17145"/>
            <wp:wrapTopAndBottom/>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Deklaration HG Eigennutzung_Seite_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17870" cy="8231505"/>
                    </a:xfrm>
                    <a:prstGeom prst="rect">
                      <a:avLst/>
                    </a:prstGeom>
                    <a:ln w="3175">
                      <a:solidFill>
                        <a:schemeClr val="tx1"/>
                      </a:solidFill>
                    </a:ln>
                  </pic:spPr>
                </pic:pic>
              </a:graphicData>
            </a:graphic>
          </wp:anchor>
        </w:drawing>
      </w:r>
    </w:p>
    <w:p w:rsidR="008574C5" w:rsidRDefault="008574C5" w:rsidP="00AC041C">
      <w:pPr>
        <w:spacing w:after="200"/>
        <w:rPr>
          <w:szCs w:val="22"/>
        </w:rPr>
      </w:pPr>
      <w:r>
        <w:rPr>
          <w:noProof/>
          <w:szCs w:val="22"/>
          <w:lang w:eastAsia="de-CH"/>
        </w:rPr>
        <w:lastRenderedPageBreak/>
        <w:drawing>
          <wp:anchor distT="0" distB="0" distL="114300" distR="114300" simplePos="0" relativeHeight="251740160" behindDoc="0" locked="0" layoutInCell="1" allowOverlap="1">
            <wp:simplePos x="0" y="0"/>
            <wp:positionH relativeFrom="column">
              <wp:posOffset>0</wp:posOffset>
            </wp:positionH>
            <wp:positionV relativeFrom="paragraph">
              <wp:posOffset>0</wp:posOffset>
            </wp:positionV>
            <wp:extent cx="5817870" cy="8231505"/>
            <wp:effectExtent l="19050" t="19050" r="11430" b="17145"/>
            <wp:wrapTopAndBottom/>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Deklaration HG Eigennutzung_Seite_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17870" cy="8231505"/>
                    </a:xfrm>
                    <a:prstGeom prst="rect">
                      <a:avLst/>
                    </a:prstGeom>
                    <a:ln w="3175">
                      <a:solidFill>
                        <a:schemeClr val="tx1"/>
                      </a:solidFill>
                    </a:ln>
                  </pic:spPr>
                </pic:pic>
              </a:graphicData>
            </a:graphic>
          </wp:anchor>
        </w:drawing>
      </w:r>
    </w:p>
    <w:p w:rsidR="008574C5" w:rsidRDefault="008574C5" w:rsidP="00AC041C">
      <w:pPr>
        <w:spacing w:after="200"/>
        <w:rPr>
          <w:szCs w:val="22"/>
        </w:rPr>
      </w:pPr>
      <w:r>
        <w:rPr>
          <w:noProof/>
          <w:szCs w:val="22"/>
          <w:lang w:eastAsia="de-CH"/>
        </w:rPr>
        <w:lastRenderedPageBreak/>
        <w:drawing>
          <wp:anchor distT="0" distB="0" distL="114300" distR="114300" simplePos="0" relativeHeight="251741184" behindDoc="0" locked="0" layoutInCell="1" allowOverlap="1">
            <wp:simplePos x="0" y="0"/>
            <wp:positionH relativeFrom="column">
              <wp:posOffset>0</wp:posOffset>
            </wp:positionH>
            <wp:positionV relativeFrom="paragraph">
              <wp:posOffset>0</wp:posOffset>
            </wp:positionV>
            <wp:extent cx="5817870" cy="8231505"/>
            <wp:effectExtent l="19050" t="19050" r="11430" b="17145"/>
            <wp:wrapTopAndBottom/>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Nachweis Eigennnutzung_Seite_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817870" cy="8231505"/>
                    </a:xfrm>
                    <a:prstGeom prst="rect">
                      <a:avLst/>
                    </a:prstGeom>
                    <a:ln w="3175">
                      <a:solidFill>
                        <a:schemeClr val="tx1"/>
                      </a:solidFill>
                    </a:ln>
                  </pic:spPr>
                </pic:pic>
              </a:graphicData>
            </a:graphic>
          </wp:anchor>
        </w:drawing>
      </w:r>
    </w:p>
    <w:p w:rsidR="008574C5" w:rsidRDefault="008574C5" w:rsidP="00AC041C">
      <w:pPr>
        <w:spacing w:after="200"/>
        <w:rPr>
          <w:szCs w:val="22"/>
        </w:rPr>
      </w:pPr>
      <w:r>
        <w:rPr>
          <w:noProof/>
          <w:szCs w:val="22"/>
          <w:lang w:eastAsia="de-CH"/>
        </w:rPr>
        <w:lastRenderedPageBreak/>
        <w:drawing>
          <wp:anchor distT="0" distB="0" distL="114300" distR="114300" simplePos="0" relativeHeight="251742208" behindDoc="0" locked="0" layoutInCell="1" allowOverlap="1">
            <wp:simplePos x="0" y="0"/>
            <wp:positionH relativeFrom="column">
              <wp:posOffset>0</wp:posOffset>
            </wp:positionH>
            <wp:positionV relativeFrom="paragraph">
              <wp:posOffset>0</wp:posOffset>
            </wp:positionV>
            <wp:extent cx="5817870" cy="8231505"/>
            <wp:effectExtent l="19050" t="19050" r="11430" b="17145"/>
            <wp:wrapTopAndBottom/>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Nachweis Eigennnutzung_Seite_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817870" cy="8231505"/>
                    </a:xfrm>
                    <a:prstGeom prst="rect">
                      <a:avLst/>
                    </a:prstGeom>
                    <a:ln w="3175">
                      <a:solidFill>
                        <a:schemeClr val="tx1"/>
                      </a:solidFill>
                    </a:ln>
                  </pic:spPr>
                </pic:pic>
              </a:graphicData>
            </a:graphic>
          </wp:anchor>
        </w:drawing>
      </w:r>
    </w:p>
    <w:p w:rsidR="008574C5" w:rsidRDefault="008574C5" w:rsidP="00AC041C">
      <w:pPr>
        <w:spacing w:after="200"/>
        <w:rPr>
          <w:szCs w:val="22"/>
        </w:rPr>
      </w:pPr>
      <w:r>
        <w:rPr>
          <w:noProof/>
          <w:szCs w:val="22"/>
          <w:lang w:eastAsia="de-CH"/>
        </w:rPr>
        <w:lastRenderedPageBreak/>
        <w:drawing>
          <wp:anchor distT="0" distB="0" distL="114300" distR="114300" simplePos="0" relativeHeight="251743232" behindDoc="0" locked="0" layoutInCell="1" allowOverlap="1">
            <wp:simplePos x="0" y="0"/>
            <wp:positionH relativeFrom="column">
              <wp:posOffset>0</wp:posOffset>
            </wp:positionH>
            <wp:positionV relativeFrom="paragraph">
              <wp:posOffset>1270</wp:posOffset>
            </wp:positionV>
            <wp:extent cx="5817870" cy="8224520"/>
            <wp:effectExtent l="19050" t="19050" r="11430" b="24130"/>
            <wp:wrapTopAndBottom/>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Umwandlung Papier in Reg-SB.jpg"/>
                    <pic:cNvPicPr/>
                  </pic:nvPicPr>
                  <pic:blipFill>
                    <a:blip r:embed="rId25">
                      <a:extLst>
                        <a:ext uri="{28A0092B-C50C-407E-A947-70E740481C1C}">
                          <a14:useLocalDpi xmlns:a14="http://schemas.microsoft.com/office/drawing/2010/main" val="0"/>
                        </a:ext>
                      </a:extLst>
                    </a:blip>
                    <a:stretch>
                      <a:fillRect/>
                    </a:stretch>
                  </pic:blipFill>
                  <pic:spPr>
                    <a:xfrm>
                      <a:off x="0" y="0"/>
                      <a:ext cx="5817870" cy="8224520"/>
                    </a:xfrm>
                    <a:prstGeom prst="rect">
                      <a:avLst/>
                    </a:prstGeom>
                    <a:ln w="3175">
                      <a:solidFill>
                        <a:schemeClr val="tx1"/>
                      </a:solidFill>
                    </a:ln>
                  </pic:spPr>
                </pic:pic>
              </a:graphicData>
            </a:graphic>
          </wp:anchor>
        </w:drawing>
      </w:r>
    </w:p>
    <w:p w:rsidR="008574C5" w:rsidRDefault="008574C5" w:rsidP="00AC041C">
      <w:pPr>
        <w:spacing w:after="200"/>
        <w:rPr>
          <w:szCs w:val="22"/>
        </w:rPr>
      </w:pPr>
      <w:r>
        <w:rPr>
          <w:noProof/>
          <w:szCs w:val="22"/>
          <w:lang w:eastAsia="de-CH"/>
        </w:rPr>
        <w:lastRenderedPageBreak/>
        <w:drawing>
          <wp:anchor distT="0" distB="0" distL="114300" distR="114300" simplePos="0" relativeHeight="251744256" behindDoc="0" locked="0" layoutInCell="1" allowOverlap="1">
            <wp:simplePos x="0" y="0"/>
            <wp:positionH relativeFrom="column">
              <wp:posOffset>0</wp:posOffset>
            </wp:positionH>
            <wp:positionV relativeFrom="paragraph">
              <wp:posOffset>0</wp:posOffset>
            </wp:positionV>
            <wp:extent cx="5817870" cy="8231505"/>
            <wp:effectExtent l="19050" t="19050" r="11430" b="17145"/>
            <wp:wrapTopAndBottom/>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Nachgangserklärung.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17870" cy="8231505"/>
                    </a:xfrm>
                    <a:prstGeom prst="rect">
                      <a:avLst/>
                    </a:prstGeom>
                    <a:ln w="3175">
                      <a:solidFill>
                        <a:schemeClr val="tx1"/>
                      </a:solidFill>
                    </a:ln>
                  </pic:spPr>
                </pic:pic>
              </a:graphicData>
            </a:graphic>
          </wp:anchor>
        </w:drawing>
      </w:r>
    </w:p>
    <w:p w:rsidR="008574C5" w:rsidRDefault="008574C5" w:rsidP="00AC041C">
      <w:pPr>
        <w:spacing w:after="200"/>
        <w:rPr>
          <w:szCs w:val="22"/>
        </w:rPr>
      </w:pPr>
      <w:r>
        <w:rPr>
          <w:noProof/>
          <w:szCs w:val="22"/>
          <w:lang w:eastAsia="de-CH"/>
        </w:rPr>
        <w:lastRenderedPageBreak/>
        <w:drawing>
          <wp:anchor distT="0" distB="0" distL="114300" distR="114300" simplePos="0" relativeHeight="251745280" behindDoc="0" locked="0" layoutInCell="1" allowOverlap="1">
            <wp:simplePos x="0" y="0"/>
            <wp:positionH relativeFrom="column">
              <wp:posOffset>0</wp:posOffset>
            </wp:positionH>
            <wp:positionV relativeFrom="paragraph">
              <wp:posOffset>0</wp:posOffset>
            </wp:positionV>
            <wp:extent cx="5817870" cy="8231505"/>
            <wp:effectExtent l="19050" t="19050" r="11430" b="17145"/>
            <wp:wrapTopAndBottom/>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Löschungsbewilligung.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817870" cy="8231505"/>
                    </a:xfrm>
                    <a:prstGeom prst="rect">
                      <a:avLst/>
                    </a:prstGeom>
                    <a:ln w="3175">
                      <a:solidFill>
                        <a:schemeClr val="tx1"/>
                      </a:solidFill>
                    </a:ln>
                  </pic:spPr>
                </pic:pic>
              </a:graphicData>
            </a:graphic>
          </wp:anchor>
        </w:drawing>
      </w:r>
    </w:p>
    <w:p w:rsidR="008574C5" w:rsidRDefault="008574C5" w:rsidP="00AC041C">
      <w:pPr>
        <w:spacing w:after="200"/>
        <w:rPr>
          <w:szCs w:val="22"/>
        </w:rPr>
      </w:pPr>
      <w:r>
        <w:rPr>
          <w:noProof/>
          <w:szCs w:val="22"/>
          <w:lang w:eastAsia="de-CH"/>
        </w:rPr>
        <w:lastRenderedPageBreak/>
        <w:drawing>
          <wp:anchor distT="0" distB="0" distL="114300" distR="114300" simplePos="0" relativeHeight="251746304" behindDoc="0" locked="0" layoutInCell="1" allowOverlap="1">
            <wp:simplePos x="0" y="0"/>
            <wp:positionH relativeFrom="column">
              <wp:posOffset>0</wp:posOffset>
            </wp:positionH>
            <wp:positionV relativeFrom="paragraph">
              <wp:posOffset>0</wp:posOffset>
            </wp:positionV>
            <wp:extent cx="5817870" cy="8231505"/>
            <wp:effectExtent l="19050" t="19050" r="11430" b="17145"/>
            <wp:wrapTopAndBottom/>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fandentlassung.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817870" cy="8231505"/>
                    </a:xfrm>
                    <a:prstGeom prst="rect">
                      <a:avLst/>
                    </a:prstGeom>
                    <a:ln w="3175">
                      <a:solidFill>
                        <a:schemeClr val="tx1"/>
                      </a:solidFill>
                    </a:ln>
                  </pic:spPr>
                </pic:pic>
              </a:graphicData>
            </a:graphic>
          </wp:anchor>
        </w:drawing>
      </w:r>
    </w:p>
    <w:p w:rsidR="008574C5" w:rsidRDefault="008574C5" w:rsidP="00AC041C">
      <w:pPr>
        <w:spacing w:after="200"/>
        <w:rPr>
          <w:szCs w:val="22"/>
        </w:rPr>
      </w:pPr>
      <w:r>
        <w:rPr>
          <w:noProof/>
          <w:szCs w:val="22"/>
          <w:lang w:eastAsia="de-CH"/>
        </w:rPr>
        <w:lastRenderedPageBreak/>
        <w:drawing>
          <wp:anchor distT="0" distB="0" distL="114300" distR="114300" simplePos="0" relativeHeight="251747328" behindDoc="0" locked="0" layoutInCell="1" allowOverlap="1">
            <wp:simplePos x="0" y="0"/>
            <wp:positionH relativeFrom="column">
              <wp:posOffset>0</wp:posOffset>
            </wp:positionH>
            <wp:positionV relativeFrom="paragraph">
              <wp:posOffset>0</wp:posOffset>
            </wp:positionV>
            <wp:extent cx="5817870" cy="8227695"/>
            <wp:effectExtent l="19050" t="19050" r="11430" b="20955"/>
            <wp:wrapTopAndBottom/>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Gläubigerregisteranmeldung.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817870" cy="8227695"/>
                    </a:xfrm>
                    <a:prstGeom prst="rect">
                      <a:avLst/>
                    </a:prstGeom>
                    <a:ln w="3175">
                      <a:solidFill>
                        <a:schemeClr val="tx1"/>
                      </a:solidFill>
                    </a:ln>
                  </pic:spPr>
                </pic:pic>
              </a:graphicData>
            </a:graphic>
          </wp:anchor>
        </w:drawing>
      </w:r>
    </w:p>
    <w:p w:rsidR="008574C5" w:rsidRDefault="008574C5" w:rsidP="00AC041C">
      <w:pPr>
        <w:spacing w:after="200"/>
        <w:rPr>
          <w:szCs w:val="22"/>
        </w:rPr>
      </w:pPr>
      <w:r>
        <w:rPr>
          <w:noProof/>
          <w:szCs w:val="22"/>
          <w:lang w:eastAsia="de-CH"/>
        </w:rPr>
        <w:lastRenderedPageBreak/>
        <w:drawing>
          <wp:anchor distT="0" distB="0" distL="114300" distR="114300" simplePos="0" relativeHeight="251748352" behindDoc="0" locked="0" layoutInCell="1" allowOverlap="1">
            <wp:simplePos x="0" y="0"/>
            <wp:positionH relativeFrom="column">
              <wp:posOffset>0</wp:posOffset>
            </wp:positionH>
            <wp:positionV relativeFrom="paragraph">
              <wp:posOffset>0</wp:posOffset>
            </wp:positionV>
            <wp:extent cx="5817870" cy="8227695"/>
            <wp:effectExtent l="19050" t="19050" r="11430" b="20955"/>
            <wp:wrapTopAndBottom/>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Bauhandwerker-Anmeldung_Seite_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817870" cy="8227695"/>
                    </a:xfrm>
                    <a:prstGeom prst="rect">
                      <a:avLst/>
                    </a:prstGeom>
                    <a:ln w="3175">
                      <a:solidFill>
                        <a:schemeClr val="tx1"/>
                      </a:solidFill>
                    </a:ln>
                  </pic:spPr>
                </pic:pic>
              </a:graphicData>
            </a:graphic>
          </wp:anchor>
        </w:drawing>
      </w:r>
    </w:p>
    <w:p w:rsidR="008574C5" w:rsidRDefault="008574C5" w:rsidP="00AC041C">
      <w:pPr>
        <w:spacing w:after="200"/>
        <w:rPr>
          <w:szCs w:val="22"/>
        </w:rPr>
      </w:pPr>
      <w:r>
        <w:rPr>
          <w:noProof/>
          <w:szCs w:val="22"/>
          <w:lang w:eastAsia="de-CH"/>
        </w:rPr>
        <w:lastRenderedPageBreak/>
        <w:drawing>
          <wp:anchor distT="0" distB="0" distL="114300" distR="114300" simplePos="0" relativeHeight="251749376" behindDoc="0" locked="0" layoutInCell="1" allowOverlap="1">
            <wp:simplePos x="0" y="0"/>
            <wp:positionH relativeFrom="column">
              <wp:posOffset>0</wp:posOffset>
            </wp:positionH>
            <wp:positionV relativeFrom="paragraph">
              <wp:posOffset>0</wp:posOffset>
            </wp:positionV>
            <wp:extent cx="5817870" cy="8227695"/>
            <wp:effectExtent l="19050" t="19050" r="11430" b="20955"/>
            <wp:wrapTopAndBottom/>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Bauhandwerker-Anmeldung_Seite_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817870" cy="8227695"/>
                    </a:xfrm>
                    <a:prstGeom prst="rect">
                      <a:avLst/>
                    </a:prstGeom>
                    <a:ln w="3175">
                      <a:solidFill>
                        <a:schemeClr val="tx1"/>
                      </a:solidFill>
                    </a:ln>
                  </pic:spPr>
                </pic:pic>
              </a:graphicData>
            </a:graphic>
          </wp:anchor>
        </w:drawing>
      </w:r>
    </w:p>
    <w:p w:rsidR="008574C5" w:rsidRDefault="008574C5" w:rsidP="00AC041C">
      <w:pPr>
        <w:spacing w:after="200"/>
        <w:rPr>
          <w:szCs w:val="22"/>
        </w:rPr>
      </w:pPr>
      <w:r>
        <w:rPr>
          <w:noProof/>
          <w:szCs w:val="22"/>
          <w:lang w:eastAsia="de-CH"/>
        </w:rPr>
        <w:lastRenderedPageBreak/>
        <w:drawing>
          <wp:anchor distT="0" distB="0" distL="114300" distR="114300" simplePos="0" relativeHeight="251750400" behindDoc="0" locked="0" layoutInCell="1" allowOverlap="1">
            <wp:simplePos x="0" y="0"/>
            <wp:positionH relativeFrom="column">
              <wp:posOffset>0</wp:posOffset>
            </wp:positionH>
            <wp:positionV relativeFrom="paragraph">
              <wp:posOffset>0</wp:posOffset>
            </wp:positionV>
            <wp:extent cx="5817870" cy="8224520"/>
            <wp:effectExtent l="19050" t="19050" r="11430" b="24130"/>
            <wp:wrapTopAndBottom/>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Gläubigerwechsel RegSB.jpg"/>
                    <pic:cNvPicPr/>
                  </pic:nvPicPr>
                  <pic:blipFill>
                    <a:blip r:embed="rId32">
                      <a:extLst>
                        <a:ext uri="{28A0092B-C50C-407E-A947-70E740481C1C}">
                          <a14:useLocalDpi xmlns:a14="http://schemas.microsoft.com/office/drawing/2010/main" val="0"/>
                        </a:ext>
                      </a:extLst>
                    </a:blip>
                    <a:stretch>
                      <a:fillRect/>
                    </a:stretch>
                  </pic:blipFill>
                  <pic:spPr>
                    <a:xfrm>
                      <a:off x="0" y="0"/>
                      <a:ext cx="5817870" cy="8224520"/>
                    </a:xfrm>
                    <a:prstGeom prst="rect">
                      <a:avLst/>
                    </a:prstGeom>
                    <a:ln w="3175">
                      <a:solidFill>
                        <a:schemeClr val="tx1"/>
                      </a:solidFill>
                    </a:ln>
                  </pic:spPr>
                </pic:pic>
              </a:graphicData>
            </a:graphic>
          </wp:anchor>
        </w:drawing>
      </w:r>
    </w:p>
    <w:p w:rsidR="008574C5" w:rsidRDefault="008574C5" w:rsidP="00AC041C">
      <w:pPr>
        <w:spacing w:after="200"/>
        <w:rPr>
          <w:szCs w:val="22"/>
        </w:rPr>
      </w:pPr>
      <w:r>
        <w:rPr>
          <w:noProof/>
          <w:szCs w:val="22"/>
          <w:lang w:eastAsia="de-CH"/>
        </w:rPr>
        <w:lastRenderedPageBreak/>
        <w:drawing>
          <wp:anchor distT="0" distB="0" distL="114300" distR="114300" simplePos="0" relativeHeight="251751424" behindDoc="0" locked="0" layoutInCell="1" allowOverlap="1">
            <wp:simplePos x="0" y="0"/>
            <wp:positionH relativeFrom="column">
              <wp:posOffset>0</wp:posOffset>
            </wp:positionH>
            <wp:positionV relativeFrom="paragraph">
              <wp:posOffset>0</wp:posOffset>
            </wp:positionV>
            <wp:extent cx="5817870" cy="8227695"/>
            <wp:effectExtent l="19050" t="19050" r="11430" b="20955"/>
            <wp:wrapTopAndBottom/>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StWE-Pfandverschreibung_Seite_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817870" cy="8227695"/>
                    </a:xfrm>
                    <a:prstGeom prst="rect">
                      <a:avLst/>
                    </a:prstGeom>
                    <a:ln w="3175">
                      <a:solidFill>
                        <a:schemeClr val="tx1"/>
                      </a:solidFill>
                    </a:ln>
                  </pic:spPr>
                </pic:pic>
              </a:graphicData>
            </a:graphic>
          </wp:anchor>
        </w:drawing>
      </w:r>
    </w:p>
    <w:p w:rsidR="007003B5" w:rsidRDefault="008574C5">
      <w:pPr>
        <w:spacing w:after="200"/>
        <w:rPr>
          <w:szCs w:val="22"/>
        </w:rPr>
      </w:pPr>
      <w:r>
        <w:rPr>
          <w:noProof/>
          <w:szCs w:val="22"/>
          <w:lang w:eastAsia="de-CH"/>
        </w:rPr>
        <w:lastRenderedPageBreak/>
        <w:drawing>
          <wp:anchor distT="0" distB="0" distL="114300" distR="114300" simplePos="0" relativeHeight="251752448" behindDoc="0" locked="0" layoutInCell="1" allowOverlap="1">
            <wp:simplePos x="0" y="0"/>
            <wp:positionH relativeFrom="column">
              <wp:posOffset>0</wp:posOffset>
            </wp:positionH>
            <wp:positionV relativeFrom="paragraph">
              <wp:posOffset>0</wp:posOffset>
            </wp:positionV>
            <wp:extent cx="5817870" cy="8227695"/>
            <wp:effectExtent l="19050" t="19050" r="11430" b="20955"/>
            <wp:wrapTopAndBottom/>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StWE-Pfandverschreibung_Seite_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817870" cy="8227695"/>
                    </a:xfrm>
                    <a:prstGeom prst="rect">
                      <a:avLst/>
                    </a:prstGeom>
                    <a:ln w="3175">
                      <a:solidFill>
                        <a:schemeClr val="tx1"/>
                      </a:solidFill>
                    </a:ln>
                  </pic:spPr>
                </pic:pic>
              </a:graphicData>
            </a:graphic>
          </wp:anchor>
        </w:drawing>
      </w:r>
      <w:r w:rsidR="007003B5">
        <w:rPr>
          <w:szCs w:val="22"/>
        </w:rPr>
        <w:br w:type="page"/>
      </w:r>
    </w:p>
    <w:p w:rsidR="004502C3" w:rsidRPr="005F15DA" w:rsidRDefault="004502C3" w:rsidP="004502C3">
      <w:pPr>
        <w:pStyle w:val="berschrift2"/>
      </w:pPr>
      <w:bookmarkStart w:id="209" w:name="_Toc432175729"/>
      <w:r w:rsidRPr="005F15DA">
        <w:lastRenderedPageBreak/>
        <w:t>X</w:t>
      </w:r>
      <w:r>
        <w:t>I</w:t>
      </w:r>
      <w:r w:rsidRPr="005F15DA">
        <w:t xml:space="preserve">. </w:t>
      </w:r>
      <w:r>
        <w:t>Tauschvertrag (Parzellierung &amp; Vereinigung, usw.)</w:t>
      </w:r>
      <w:bookmarkEnd w:id="209"/>
    </w:p>
    <w:p w:rsidR="00902C4B" w:rsidRDefault="00902C4B" w:rsidP="00902C4B">
      <w:pPr>
        <w:ind w:left="567"/>
        <w:rPr>
          <w:u w:val="single"/>
        </w:rPr>
      </w:pPr>
    </w:p>
    <w:p w:rsidR="00902C4B" w:rsidRDefault="00902C4B" w:rsidP="00902C4B">
      <w:pPr>
        <w:ind w:left="567"/>
        <w:rPr>
          <w:u w:val="single"/>
        </w:rPr>
      </w:pPr>
    </w:p>
    <w:p w:rsidR="00902C4B" w:rsidRPr="00FB07CE" w:rsidRDefault="00902C4B">
      <w:pPr>
        <w:ind w:left="567"/>
        <w:jc w:val="center"/>
        <w:rPr>
          <w:u w:val="single"/>
        </w:rPr>
      </w:pPr>
      <w:r w:rsidRPr="00FB07CE">
        <w:rPr>
          <w:u w:val="single"/>
        </w:rPr>
        <w:t>Urschrift Nr.</w:t>
      </w:r>
      <w:r>
        <w:rPr>
          <w:u w:val="single"/>
        </w:rPr>
        <w:t xml:space="preserve"> 1600</w:t>
      </w:r>
    </w:p>
    <w:p w:rsidR="00902C4B" w:rsidRPr="00FB07CE" w:rsidRDefault="00902C4B">
      <w:pPr>
        <w:ind w:left="567"/>
      </w:pPr>
    </w:p>
    <w:p w:rsidR="00902C4B" w:rsidRPr="00FB07CE" w:rsidRDefault="00902C4B">
      <w:pPr>
        <w:ind w:left="567"/>
      </w:pPr>
    </w:p>
    <w:p w:rsidR="00902C4B" w:rsidRPr="00FB07CE" w:rsidRDefault="00902C4B">
      <w:pPr>
        <w:ind w:left="567"/>
        <w:jc w:val="center"/>
        <w:rPr>
          <w:spacing w:val="40"/>
          <w:sz w:val="32"/>
        </w:rPr>
      </w:pPr>
      <w:r w:rsidRPr="00FB07CE">
        <w:rPr>
          <w:b/>
          <w:spacing w:val="40"/>
          <w:sz w:val="32"/>
        </w:rPr>
        <w:t>Tauschvertrag</w:t>
      </w:r>
    </w:p>
    <w:p w:rsidR="00902C4B" w:rsidRPr="00FB07CE" w:rsidRDefault="00902C4B">
      <w:pPr>
        <w:spacing w:line="120" w:lineRule="auto"/>
        <w:ind w:left="567"/>
        <w:jc w:val="center"/>
      </w:pPr>
      <w:r w:rsidRPr="00FB07CE">
        <w:t>_______________________</w:t>
      </w:r>
    </w:p>
    <w:p w:rsidR="00902C4B" w:rsidRPr="00FB07CE" w:rsidRDefault="00902C4B">
      <w:pPr>
        <w:ind w:left="567"/>
      </w:pPr>
    </w:p>
    <w:p w:rsidR="00902C4B" w:rsidRPr="00FB07CE" w:rsidRDefault="00902C4B">
      <w:pPr>
        <w:ind w:left="567"/>
      </w:pPr>
      <w:proofErr w:type="gramStart"/>
      <w:r>
        <w:t>A.B.</w:t>
      </w:r>
      <w:r w:rsidRPr="00FB07CE">
        <w:t>,</w:t>
      </w:r>
      <w:proofErr w:type="gramEnd"/>
      <w:r w:rsidRPr="00FB07CE">
        <w:t xml:space="preserve"> Notar des Kantons Bern, eingetragen im Notariatsregister des Kantons Bern, mit Büro in </w:t>
      </w:r>
      <w:r>
        <w:t>Bern</w:t>
      </w:r>
      <w:r w:rsidRPr="00FB07CE">
        <w:t>,</w:t>
      </w:r>
    </w:p>
    <w:p w:rsidR="00902C4B" w:rsidRPr="00FB07CE" w:rsidRDefault="00902C4B">
      <w:pPr>
        <w:ind w:left="567"/>
      </w:pPr>
    </w:p>
    <w:p w:rsidR="00902C4B" w:rsidRPr="00FB07CE" w:rsidRDefault="00902C4B">
      <w:pPr>
        <w:ind w:left="567"/>
        <w:jc w:val="center"/>
      </w:pPr>
      <w:r w:rsidRPr="00FB07CE">
        <w:rPr>
          <w:u w:val="single"/>
        </w:rPr>
        <w:t>beurkundet:</w:t>
      </w:r>
    </w:p>
    <w:p w:rsidR="00902C4B" w:rsidRPr="00FB07CE" w:rsidRDefault="00902C4B">
      <w:pPr>
        <w:ind w:left="567"/>
      </w:pPr>
    </w:p>
    <w:p w:rsidR="00902C4B" w:rsidRPr="00FB07CE" w:rsidRDefault="00902C4B">
      <w:pPr>
        <w:ind w:left="567"/>
      </w:pPr>
    </w:p>
    <w:p w:rsidR="00902C4B" w:rsidRPr="00FB07CE" w:rsidRDefault="00902C4B">
      <w:pPr>
        <w:ind w:left="567"/>
      </w:pPr>
      <w:r w:rsidRPr="00FB07CE">
        <w:t>Herr</w:t>
      </w:r>
    </w:p>
    <w:p w:rsidR="00902C4B" w:rsidRPr="00FB07CE" w:rsidRDefault="00902C4B">
      <w:pPr>
        <w:ind w:left="567"/>
        <w:jc w:val="center"/>
        <w:rPr>
          <w:b/>
          <w:spacing w:val="40"/>
          <w:sz w:val="28"/>
          <w:szCs w:val="28"/>
        </w:rPr>
      </w:pPr>
      <w:r>
        <w:rPr>
          <w:b/>
          <w:spacing w:val="40"/>
          <w:sz w:val="28"/>
          <w:szCs w:val="28"/>
        </w:rPr>
        <w:t>Hans Moser</w:t>
      </w:r>
    </w:p>
    <w:p w:rsidR="00902C4B" w:rsidRPr="00FB07CE" w:rsidRDefault="00902C4B">
      <w:pPr>
        <w:spacing w:line="120" w:lineRule="auto"/>
        <w:ind w:left="567"/>
        <w:jc w:val="center"/>
      </w:pPr>
      <w:r w:rsidRPr="00FB07CE">
        <w:t>__________________</w:t>
      </w:r>
    </w:p>
    <w:p w:rsidR="00902C4B" w:rsidRPr="00FB07CE" w:rsidRDefault="00902C4B">
      <w:pPr>
        <w:ind w:left="567"/>
      </w:pPr>
    </w:p>
    <w:p w:rsidR="00902C4B" w:rsidRPr="00FB07CE" w:rsidRDefault="00902C4B">
      <w:pPr>
        <w:ind w:left="567"/>
      </w:pPr>
      <w:r w:rsidRPr="00FB07CE">
        <w:t xml:space="preserve">geb. </w:t>
      </w:r>
      <w:r>
        <w:t>01.01.1960</w:t>
      </w:r>
      <w:r w:rsidRPr="00FB07CE">
        <w:t xml:space="preserve">, von </w:t>
      </w:r>
      <w:r>
        <w:t>Bern</w:t>
      </w:r>
      <w:r w:rsidRPr="00FB07CE">
        <w:t xml:space="preserve">, ledig, Landwirt, </w:t>
      </w:r>
      <w:proofErr w:type="spellStart"/>
      <w:r>
        <w:t>Kuhweid</w:t>
      </w:r>
      <w:proofErr w:type="spellEnd"/>
      <w:r w:rsidRPr="00FB07CE">
        <w:t xml:space="preserve"> 39, </w:t>
      </w:r>
      <w:r>
        <w:t>Seldwyla</w:t>
      </w:r>
      <w:r w:rsidRPr="00FB07CE">
        <w:t xml:space="preserve">, </w:t>
      </w:r>
    </w:p>
    <w:p w:rsidR="00902C4B" w:rsidRPr="00FB07CE" w:rsidRDefault="00902C4B">
      <w:pPr>
        <w:ind w:left="567"/>
      </w:pPr>
    </w:p>
    <w:p w:rsidR="00902C4B" w:rsidRPr="00FB07CE" w:rsidRDefault="00902C4B">
      <w:pPr>
        <w:tabs>
          <w:tab w:val="right" w:pos="8222"/>
        </w:tabs>
        <w:ind w:left="567"/>
      </w:pPr>
    </w:p>
    <w:p w:rsidR="00902C4B" w:rsidRPr="00FB07CE" w:rsidRDefault="00902C4B">
      <w:pPr>
        <w:tabs>
          <w:tab w:val="right" w:pos="8222"/>
        </w:tabs>
        <w:ind w:left="567"/>
        <w:jc w:val="center"/>
      </w:pPr>
      <w:r w:rsidRPr="00FB07CE">
        <w:t>und</w:t>
      </w:r>
    </w:p>
    <w:p w:rsidR="00902C4B" w:rsidRDefault="00902C4B">
      <w:pPr>
        <w:tabs>
          <w:tab w:val="right" w:pos="8222"/>
        </w:tabs>
        <w:ind w:left="567"/>
      </w:pPr>
    </w:p>
    <w:p w:rsidR="00902C4B" w:rsidRPr="00FB07CE" w:rsidRDefault="00902C4B">
      <w:pPr>
        <w:tabs>
          <w:tab w:val="right" w:pos="8222"/>
        </w:tabs>
        <w:ind w:left="567"/>
      </w:pPr>
    </w:p>
    <w:p w:rsidR="00902C4B" w:rsidRPr="00FB07CE" w:rsidRDefault="00902C4B">
      <w:pPr>
        <w:tabs>
          <w:tab w:val="right" w:pos="8222"/>
        </w:tabs>
        <w:ind w:left="567"/>
      </w:pPr>
      <w:r w:rsidRPr="00FB07CE">
        <w:t>Herr</w:t>
      </w:r>
    </w:p>
    <w:p w:rsidR="00902C4B" w:rsidRPr="00FB07CE" w:rsidRDefault="00902C4B">
      <w:pPr>
        <w:tabs>
          <w:tab w:val="right" w:pos="8222"/>
        </w:tabs>
        <w:ind w:left="567"/>
        <w:jc w:val="center"/>
        <w:rPr>
          <w:b/>
          <w:spacing w:val="40"/>
          <w:sz w:val="28"/>
          <w:szCs w:val="28"/>
        </w:rPr>
      </w:pPr>
      <w:r>
        <w:rPr>
          <w:b/>
          <w:spacing w:val="40"/>
          <w:sz w:val="28"/>
          <w:szCs w:val="28"/>
        </w:rPr>
        <w:t>Max Muster</w:t>
      </w:r>
    </w:p>
    <w:p w:rsidR="00902C4B" w:rsidRPr="00FB07CE" w:rsidRDefault="00902C4B">
      <w:pPr>
        <w:tabs>
          <w:tab w:val="right" w:pos="8222"/>
        </w:tabs>
        <w:spacing w:line="120" w:lineRule="auto"/>
        <w:ind w:left="567"/>
        <w:jc w:val="center"/>
      </w:pPr>
      <w:r w:rsidRPr="00FB07CE">
        <w:t>____________</w:t>
      </w:r>
      <w:r>
        <w:t>______</w:t>
      </w:r>
    </w:p>
    <w:p w:rsidR="00902C4B" w:rsidRPr="00FB07CE" w:rsidRDefault="00902C4B">
      <w:pPr>
        <w:tabs>
          <w:tab w:val="right" w:pos="8222"/>
        </w:tabs>
        <w:ind w:left="567"/>
      </w:pPr>
    </w:p>
    <w:p w:rsidR="00902C4B" w:rsidRPr="00FB07CE" w:rsidRDefault="00902C4B">
      <w:pPr>
        <w:tabs>
          <w:tab w:val="right" w:pos="8222"/>
        </w:tabs>
        <w:ind w:left="567"/>
      </w:pPr>
      <w:r w:rsidRPr="00FB07CE">
        <w:t xml:space="preserve">geb. </w:t>
      </w:r>
      <w:r>
        <w:t>01.12.1952</w:t>
      </w:r>
      <w:r w:rsidRPr="00FB07CE">
        <w:t xml:space="preserve">, von </w:t>
      </w:r>
      <w:r>
        <w:t>Zürich</w:t>
      </w:r>
      <w:r w:rsidRPr="00FB07CE">
        <w:t xml:space="preserve">, verheiratet, Landwirt, </w:t>
      </w:r>
      <w:proofErr w:type="spellStart"/>
      <w:r>
        <w:t>Kuhweid</w:t>
      </w:r>
      <w:proofErr w:type="spellEnd"/>
      <w:r w:rsidRPr="00FB07CE">
        <w:t xml:space="preserve"> </w:t>
      </w:r>
      <w:proofErr w:type="spellStart"/>
      <w:r w:rsidRPr="00FB07CE">
        <w:t>40H</w:t>
      </w:r>
      <w:proofErr w:type="spellEnd"/>
      <w:r w:rsidRPr="00FB07CE">
        <w:t xml:space="preserve">, </w:t>
      </w:r>
      <w:r>
        <w:t>Seldwyla</w:t>
      </w:r>
      <w:r w:rsidRPr="00FB07CE">
        <w:t>,</w:t>
      </w:r>
    </w:p>
    <w:p w:rsidR="00902C4B" w:rsidRPr="00FB07CE" w:rsidRDefault="00902C4B">
      <w:pPr>
        <w:tabs>
          <w:tab w:val="right" w:pos="8222"/>
        </w:tabs>
        <w:ind w:left="567"/>
      </w:pPr>
    </w:p>
    <w:p w:rsidR="00902C4B" w:rsidRPr="00FB07CE" w:rsidRDefault="00902C4B">
      <w:pPr>
        <w:ind w:left="567"/>
      </w:pPr>
    </w:p>
    <w:p w:rsidR="00902C4B" w:rsidRPr="00FB07CE" w:rsidRDefault="00902C4B">
      <w:pPr>
        <w:tabs>
          <w:tab w:val="right" w:pos="8222"/>
        </w:tabs>
        <w:ind w:left="567"/>
      </w:pPr>
    </w:p>
    <w:p w:rsidR="00902C4B" w:rsidRPr="00FB07CE" w:rsidRDefault="00902C4B">
      <w:pPr>
        <w:tabs>
          <w:tab w:val="right" w:pos="8222"/>
        </w:tabs>
        <w:ind w:left="567"/>
        <w:jc w:val="center"/>
      </w:pPr>
      <w:r w:rsidRPr="00FB07CE">
        <w:rPr>
          <w:u w:val="single"/>
        </w:rPr>
        <w:t>erklären:</w:t>
      </w:r>
    </w:p>
    <w:p w:rsidR="00902C4B" w:rsidRPr="00FB07CE" w:rsidRDefault="00902C4B" w:rsidP="00902C4B">
      <w:pPr>
        <w:tabs>
          <w:tab w:val="right" w:pos="8222"/>
        </w:tabs>
        <w:ind w:left="567"/>
      </w:pPr>
    </w:p>
    <w:p w:rsidR="00902C4B" w:rsidRPr="00FB07CE" w:rsidRDefault="00902C4B" w:rsidP="00902C4B">
      <w:pPr>
        <w:tabs>
          <w:tab w:val="right" w:pos="8222"/>
        </w:tabs>
        <w:ind w:left="567"/>
      </w:pPr>
    </w:p>
    <w:p w:rsidR="00902C4B" w:rsidRPr="00FB07CE" w:rsidRDefault="00902C4B" w:rsidP="00902C4B">
      <w:pPr>
        <w:tabs>
          <w:tab w:val="right" w:pos="8222"/>
        </w:tabs>
        <w:ind w:left="567"/>
      </w:pPr>
    </w:p>
    <w:p w:rsidR="00902C4B" w:rsidRPr="00934A46" w:rsidRDefault="00902C4B" w:rsidP="00902C4B">
      <w:pPr>
        <w:tabs>
          <w:tab w:val="right" w:pos="8222"/>
        </w:tabs>
        <w:ind w:left="567"/>
        <w:rPr>
          <w:b/>
          <w:sz w:val="28"/>
          <w:szCs w:val="28"/>
        </w:rPr>
      </w:pPr>
      <w:r w:rsidRPr="00934A46">
        <w:rPr>
          <w:b/>
          <w:sz w:val="28"/>
          <w:szCs w:val="28"/>
        </w:rPr>
        <w:t>I. Eigentumsverhältnisse</w:t>
      </w:r>
    </w:p>
    <w:p w:rsidR="00902C4B" w:rsidRPr="00FB07CE" w:rsidRDefault="00902C4B" w:rsidP="00902C4B">
      <w:pPr>
        <w:tabs>
          <w:tab w:val="right" w:pos="8222"/>
        </w:tabs>
        <w:ind w:left="567"/>
      </w:pPr>
    </w:p>
    <w:p w:rsidR="00902C4B" w:rsidRPr="00FB07CE" w:rsidRDefault="00902C4B" w:rsidP="00902C4B">
      <w:pPr>
        <w:tabs>
          <w:tab w:val="right" w:pos="8222"/>
        </w:tabs>
        <w:ind w:left="567" w:hanging="567"/>
      </w:pPr>
      <w:r w:rsidRPr="00FB07CE">
        <w:t>1.</w:t>
      </w:r>
      <w:r w:rsidRPr="00FB07CE">
        <w:tab/>
        <w:t xml:space="preserve">Herr </w:t>
      </w:r>
      <w:r>
        <w:rPr>
          <w:b/>
        </w:rPr>
        <w:t>Hans Moser</w:t>
      </w:r>
      <w:r w:rsidRPr="00FB07CE">
        <w:t xml:space="preserve"> ist Eigentümer der folgenden Grundstücke:</w:t>
      </w:r>
    </w:p>
    <w:p w:rsidR="00902C4B" w:rsidRPr="00FB07CE" w:rsidRDefault="00902C4B" w:rsidP="00902C4B">
      <w:pPr>
        <w:tabs>
          <w:tab w:val="right" w:pos="8222"/>
        </w:tabs>
        <w:ind w:left="567" w:hanging="425"/>
      </w:pPr>
    </w:p>
    <w:p w:rsidR="00902C4B" w:rsidRPr="00FB07CE" w:rsidRDefault="00902C4B" w:rsidP="00902C4B">
      <w:pPr>
        <w:ind w:left="567"/>
        <w:jc w:val="center"/>
        <w:rPr>
          <w:b/>
        </w:rPr>
      </w:pPr>
      <w:r w:rsidRPr="00FB07CE">
        <w:rPr>
          <w:b/>
        </w:rPr>
        <w:t xml:space="preserve">1. </w:t>
      </w:r>
      <w:r>
        <w:rPr>
          <w:b/>
        </w:rPr>
        <w:t>Seldwyla</w:t>
      </w:r>
      <w:r w:rsidRPr="00FB07CE">
        <w:rPr>
          <w:b/>
        </w:rPr>
        <w:t>-Grundbuchblatt Nr. 470</w:t>
      </w:r>
    </w:p>
    <w:p w:rsidR="00902C4B" w:rsidRPr="00FB07CE" w:rsidRDefault="00902C4B" w:rsidP="00902C4B">
      <w:pPr>
        <w:ind w:left="567"/>
      </w:pPr>
    </w:p>
    <w:p w:rsidR="00902C4B" w:rsidRPr="00FB07CE" w:rsidRDefault="00902C4B" w:rsidP="00902C4B">
      <w:pPr>
        <w:ind w:left="567"/>
      </w:pPr>
      <w:r w:rsidRPr="00FB07CE">
        <w:t>Bauernhaus</w:t>
      </w:r>
      <w:r>
        <w:t xml:space="preserve"> Nr. 39,</w:t>
      </w:r>
    </w:p>
    <w:p w:rsidR="00902C4B" w:rsidRPr="00FB07CE" w:rsidRDefault="00902C4B" w:rsidP="00902C4B">
      <w:pPr>
        <w:ind w:left="567"/>
      </w:pPr>
      <w:r w:rsidRPr="00FB07CE">
        <w:t>Einstellraum</w:t>
      </w:r>
      <w:r>
        <w:t xml:space="preserve"> Nr. </w:t>
      </w:r>
      <w:proofErr w:type="spellStart"/>
      <w:r>
        <w:t>39A</w:t>
      </w:r>
      <w:proofErr w:type="spellEnd"/>
      <w:r>
        <w:t>,</w:t>
      </w:r>
    </w:p>
    <w:p w:rsidR="00902C4B" w:rsidRPr="00FB07CE" w:rsidRDefault="00902C4B" w:rsidP="00902C4B">
      <w:pPr>
        <w:ind w:left="567"/>
      </w:pPr>
      <w:r w:rsidRPr="00FB07CE">
        <w:t>Stall</w:t>
      </w:r>
      <w:r>
        <w:t xml:space="preserve"> Nr. </w:t>
      </w:r>
      <w:proofErr w:type="spellStart"/>
      <w:r>
        <w:t>39B</w:t>
      </w:r>
      <w:proofErr w:type="spellEnd"/>
      <w:r w:rsidRPr="00FB07CE">
        <w:t>,</w:t>
      </w:r>
    </w:p>
    <w:p w:rsidR="00902C4B" w:rsidRPr="00FB07CE" w:rsidRDefault="00902C4B" w:rsidP="00902C4B">
      <w:pPr>
        <w:ind w:left="567"/>
      </w:pPr>
      <w:proofErr w:type="spellStart"/>
      <w:r w:rsidRPr="00FB07CE">
        <w:t>Trinkscherm</w:t>
      </w:r>
      <w:proofErr w:type="spellEnd"/>
      <w:r>
        <w:t xml:space="preserve"> Nr. </w:t>
      </w:r>
      <w:proofErr w:type="spellStart"/>
      <w:r>
        <w:t>39D</w:t>
      </w:r>
      <w:proofErr w:type="spellEnd"/>
      <w:r w:rsidRPr="00FB07CE">
        <w:t>,</w:t>
      </w:r>
    </w:p>
    <w:p w:rsidR="00902C4B" w:rsidRPr="00FB07CE" w:rsidRDefault="00902C4B" w:rsidP="00902C4B">
      <w:pPr>
        <w:ind w:left="567"/>
      </w:pPr>
      <w:r w:rsidRPr="00FB07CE">
        <w:lastRenderedPageBreak/>
        <w:t>Gebäude</w:t>
      </w:r>
      <w:r>
        <w:t xml:space="preserve"> n.n.</w:t>
      </w:r>
      <w:r w:rsidRPr="00FB07CE">
        <w:t>,</w:t>
      </w:r>
    </w:p>
    <w:p w:rsidR="00902C4B" w:rsidRPr="00FB07CE" w:rsidRDefault="00902C4B" w:rsidP="00902C4B">
      <w:pPr>
        <w:ind w:left="567"/>
      </w:pPr>
      <w:r w:rsidRPr="00FB07CE">
        <w:t>Silo</w:t>
      </w:r>
      <w:r>
        <w:t xml:space="preserve"> n.n.</w:t>
      </w:r>
      <w:r w:rsidRPr="00FB07CE">
        <w:t>,</w:t>
      </w:r>
    </w:p>
    <w:p w:rsidR="00902C4B" w:rsidRPr="00FB07CE" w:rsidRDefault="00902C4B" w:rsidP="00902C4B">
      <w:pPr>
        <w:ind w:left="567"/>
      </w:pPr>
      <w:r w:rsidRPr="00FB07CE">
        <w:t>Hühnerhaus</w:t>
      </w:r>
      <w:r>
        <w:t xml:space="preserve"> n.n.</w:t>
      </w:r>
      <w:r w:rsidRPr="00FB07CE">
        <w:t>, und</w:t>
      </w:r>
    </w:p>
    <w:p w:rsidR="00902C4B" w:rsidRPr="00FB07CE" w:rsidRDefault="00902C4B" w:rsidP="00902C4B">
      <w:pPr>
        <w:ind w:left="567"/>
      </w:pPr>
      <w:r w:rsidRPr="00FB07CE">
        <w:t>144'240 m</w:t>
      </w:r>
      <w:r w:rsidRPr="00FB07CE">
        <w:rPr>
          <w:vertAlign w:val="superscript"/>
        </w:rPr>
        <w:t>2</w:t>
      </w:r>
      <w:r w:rsidRPr="00FB07CE">
        <w:t xml:space="preserve"> Gebäude, Strasse, Weg, Acker, Wiese, Weide, Gartenanlage, Hofraum, fliessendes Gewässer, geschlossener Wald, </w:t>
      </w:r>
      <w:proofErr w:type="spellStart"/>
      <w:r>
        <w:t>Kuhweid</w:t>
      </w:r>
      <w:proofErr w:type="spellEnd"/>
      <w:r w:rsidRPr="00FB07CE">
        <w:t>, Plan 2168, …</w:t>
      </w:r>
    </w:p>
    <w:p w:rsidR="00902C4B" w:rsidRPr="00FB07CE" w:rsidRDefault="00902C4B" w:rsidP="00902C4B">
      <w:pPr>
        <w:ind w:left="567"/>
      </w:pPr>
    </w:p>
    <w:p w:rsidR="00902C4B" w:rsidRPr="00FB07CE" w:rsidRDefault="00902C4B" w:rsidP="00902C4B">
      <w:pPr>
        <w:ind w:left="567"/>
        <w:rPr>
          <w:b/>
        </w:rPr>
      </w:pPr>
      <w:r w:rsidRPr="00FB07CE">
        <w:rPr>
          <w:b/>
        </w:rPr>
        <w:t>Erwerbtitel</w:t>
      </w:r>
    </w:p>
    <w:p w:rsidR="00902C4B" w:rsidRPr="00FB07CE" w:rsidRDefault="00902C4B" w:rsidP="00902C4B">
      <w:pPr>
        <w:ind w:left="567"/>
      </w:pPr>
      <w:r w:rsidRPr="00FB07CE">
        <w:t xml:space="preserve">Teilung, eingetragen am 2.9.1987 </w:t>
      </w:r>
    </w:p>
    <w:p w:rsidR="00902C4B" w:rsidRPr="00FB07CE" w:rsidRDefault="00902C4B" w:rsidP="00902C4B">
      <w:pPr>
        <w:ind w:left="567"/>
      </w:pPr>
      <w:r w:rsidRPr="00FB07CE">
        <w:t>Abtretung, eingetragen am 25.3.1988</w:t>
      </w:r>
    </w:p>
    <w:p w:rsidR="00902C4B" w:rsidRPr="00FB07CE" w:rsidRDefault="00902C4B" w:rsidP="00902C4B">
      <w:pPr>
        <w:ind w:left="567"/>
      </w:pPr>
      <w:r w:rsidRPr="00FB07CE">
        <w:t>Kauf, eingetragen am 25.3.1988</w:t>
      </w:r>
    </w:p>
    <w:p w:rsidR="00902C4B" w:rsidRPr="00FB07CE" w:rsidRDefault="00902C4B" w:rsidP="00902C4B">
      <w:pPr>
        <w:ind w:left="567"/>
      </w:pPr>
    </w:p>
    <w:p w:rsidR="00902C4B" w:rsidRPr="00FB07CE" w:rsidRDefault="00902C4B" w:rsidP="00902C4B">
      <w:pPr>
        <w:ind w:left="567"/>
        <w:rPr>
          <w:b/>
        </w:rPr>
      </w:pPr>
      <w:r w:rsidRPr="00FB07CE">
        <w:rPr>
          <w:b/>
        </w:rPr>
        <w:t>Dienstbarkeiten</w:t>
      </w:r>
    </w:p>
    <w:p w:rsidR="00902C4B" w:rsidRPr="00FB07CE" w:rsidRDefault="00902C4B" w:rsidP="00902C4B">
      <w:pPr>
        <w:tabs>
          <w:tab w:val="left" w:pos="1560"/>
          <w:tab w:val="left" w:pos="1843"/>
        </w:tabs>
        <w:ind w:left="567"/>
      </w:pPr>
      <w:r w:rsidRPr="00FB07CE">
        <w:t>Rechte:</w:t>
      </w:r>
      <w:r w:rsidRPr="00FB07CE">
        <w:tab/>
        <w:t>-</w:t>
      </w:r>
      <w:r w:rsidRPr="00FB07CE">
        <w:tab/>
        <w:t>Quellenrecht (Anteil) zL 471, 474, 482</w:t>
      </w:r>
    </w:p>
    <w:p w:rsidR="00902C4B" w:rsidRPr="00FB07CE" w:rsidRDefault="00902C4B" w:rsidP="00902C4B">
      <w:pPr>
        <w:tabs>
          <w:tab w:val="left" w:pos="1560"/>
          <w:tab w:val="left" w:pos="1843"/>
        </w:tabs>
        <w:ind w:left="567"/>
      </w:pPr>
      <w:r w:rsidRPr="00FB07CE">
        <w:tab/>
        <w:t>-</w:t>
      </w:r>
      <w:r w:rsidRPr="00FB07CE">
        <w:tab/>
        <w:t>Brunnenrecht am sog. Gassenbrunnen zL 482</w:t>
      </w:r>
    </w:p>
    <w:p w:rsidR="00902C4B" w:rsidRPr="00FB07CE" w:rsidRDefault="00902C4B" w:rsidP="00902C4B">
      <w:pPr>
        <w:tabs>
          <w:tab w:val="left" w:pos="1560"/>
          <w:tab w:val="left" w:pos="1843"/>
        </w:tabs>
        <w:ind w:left="567"/>
      </w:pPr>
      <w:r w:rsidRPr="00FB07CE">
        <w:tab/>
        <w:t>-</w:t>
      </w:r>
      <w:r w:rsidRPr="00FB07CE">
        <w:tab/>
        <w:t>Holzlass- und Abfuhrrecht zL 476</w:t>
      </w:r>
    </w:p>
    <w:p w:rsidR="00902C4B" w:rsidRPr="00FB07CE" w:rsidRDefault="00902C4B" w:rsidP="00902C4B">
      <w:pPr>
        <w:tabs>
          <w:tab w:val="left" w:pos="1560"/>
          <w:tab w:val="left" w:pos="1843"/>
        </w:tabs>
        <w:ind w:left="567"/>
      </w:pPr>
      <w:r w:rsidRPr="00FB07CE">
        <w:tab/>
        <w:t>-</w:t>
      </w:r>
      <w:r w:rsidRPr="00FB07CE">
        <w:tab/>
        <w:t>Holzabfuhrrecht zL 301</w:t>
      </w:r>
    </w:p>
    <w:p w:rsidR="00902C4B" w:rsidRPr="00FB07CE" w:rsidRDefault="00902C4B" w:rsidP="00902C4B">
      <w:pPr>
        <w:tabs>
          <w:tab w:val="left" w:pos="1560"/>
          <w:tab w:val="left" w:pos="1843"/>
        </w:tabs>
        <w:ind w:left="567"/>
      </w:pPr>
      <w:r w:rsidRPr="00FB07CE">
        <w:tab/>
        <w:t>-</w:t>
      </w:r>
      <w:r w:rsidRPr="00FB07CE">
        <w:tab/>
        <w:t xml:space="preserve">Holzabfuhrrecht zL </w:t>
      </w:r>
      <w:r>
        <w:t>Langnau</w:t>
      </w:r>
      <w:r w:rsidRPr="00FB07CE">
        <w:t xml:space="preserve"> 4</w:t>
      </w:r>
    </w:p>
    <w:p w:rsidR="00902C4B" w:rsidRPr="00FB07CE" w:rsidRDefault="00902C4B" w:rsidP="00902C4B">
      <w:pPr>
        <w:tabs>
          <w:tab w:val="left" w:pos="1560"/>
          <w:tab w:val="left" w:pos="1843"/>
        </w:tabs>
        <w:ind w:left="567"/>
      </w:pPr>
      <w:r w:rsidRPr="00FB07CE">
        <w:tab/>
        <w:t>-</w:t>
      </w:r>
      <w:r w:rsidRPr="00FB07CE">
        <w:tab/>
        <w:t>Fahrwegrecht zL 301</w:t>
      </w:r>
      <w:r>
        <w:t>, 328, 356, 407</w:t>
      </w:r>
    </w:p>
    <w:p w:rsidR="00902C4B" w:rsidRPr="00FB07CE" w:rsidRDefault="00902C4B" w:rsidP="00902C4B">
      <w:pPr>
        <w:tabs>
          <w:tab w:val="left" w:pos="1560"/>
          <w:tab w:val="left" w:pos="1843"/>
        </w:tabs>
        <w:ind w:left="567"/>
      </w:pPr>
      <w:r w:rsidRPr="00FB07CE">
        <w:tab/>
        <w:t>-</w:t>
      </w:r>
      <w:r w:rsidRPr="00FB07CE">
        <w:tab/>
        <w:t>Fahrwegrecht zL 482</w:t>
      </w:r>
    </w:p>
    <w:p w:rsidR="00902C4B" w:rsidRPr="00FB07CE" w:rsidRDefault="00902C4B" w:rsidP="00902C4B">
      <w:pPr>
        <w:tabs>
          <w:tab w:val="left" w:pos="1560"/>
          <w:tab w:val="left" w:pos="1843"/>
        </w:tabs>
        <w:ind w:left="567"/>
      </w:pPr>
      <w:r w:rsidRPr="00FB07CE">
        <w:t>Lasten:</w:t>
      </w:r>
      <w:r w:rsidRPr="00FB07CE">
        <w:tab/>
        <w:t>-</w:t>
      </w:r>
      <w:r w:rsidRPr="00FB07CE">
        <w:tab/>
        <w:t>Fahrwegrecht zG 301</w:t>
      </w:r>
    </w:p>
    <w:p w:rsidR="00902C4B" w:rsidRPr="00FB07CE" w:rsidRDefault="00902C4B" w:rsidP="00902C4B">
      <w:pPr>
        <w:tabs>
          <w:tab w:val="left" w:pos="1560"/>
          <w:tab w:val="left" w:pos="1843"/>
        </w:tabs>
        <w:ind w:left="567"/>
      </w:pPr>
      <w:r w:rsidRPr="00FB07CE">
        <w:tab/>
        <w:t>-</w:t>
      </w:r>
      <w:r w:rsidRPr="00FB07CE">
        <w:tab/>
        <w:t>Fahrwegrecht zG 482</w:t>
      </w:r>
    </w:p>
    <w:p w:rsidR="00902C4B" w:rsidRPr="00FB07CE" w:rsidRDefault="00902C4B" w:rsidP="00902C4B">
      <w:pPr>
        <w:tabs>
          <w:tab w:val="left" w:pos="1560"/>
          <w:tab w:val="left" w:pos="1843"/>
        </w:tabs>
        <w:ind w:left="567"/>
      </w:pPr>
      <w:r w:rsidRPr="00FB07CE">
        <w:tab/>
        <w:t>-</w:t>
      </w:r>
      <w:r w:rsidRPr="00FB07CE">
        <w:tab/>
        <w:t>Fahrwegrecht zG 482</w:t>
      </w:r>
    </w:p>
    <w:p w:rsidR="00902C4B" w:rsidRPr="00FB07CE" w:rsidRDefault="00902C4B" w:rsidP="00902C4B">
      <w:pPr>
        <w:tabs>
          <w:tab w:val="left" w:pos="1560"/>
          <w:tab w:val="left" w:pos="1843"/>
        </w:tabs>
        <w:ind w:left="567"/>
      </w:pPr>
      <w:r w:rsidRPr="00FB07CE">
        <w:tab/>
        <w:t>-</w:t>
      </w:r>
      <w:r w:rsidRPr="00FB07CE">
        <w:tab/>
        <w:t xml:space="preserve">Oeffentlicher Fahrweg zG Einwohnergemeinde </w:t>
      </w:r>
      <w:r>
        <w:t>Seldwyla</w:t>
      </w:r>
    </w:p>
    <w:p w:rsidR="00902C4B" w:rsidRPr="00FB07CE" w:rsidRDefault="00902C4B" w:rsidP="00902C4B">
      <w:pPr>
        <w:tabs>
          <w:tab w:val="left" w:pos="1560"/>
          <w:tab w:val="left" w:pos="1843"/>
        </w:tabs>
        <w:ind w:left="567"/>
      </w:pPr>
      <w:r w:rsidRPr="00FB07CE">
        <w:tab/>
        <w:t>-</w:t>
      </w:r>
      <w:r w:rsidRPr="00FB07CE">
        <w:tab/>
        <w:t>Fahrwegrecht zG 483</w:t>
      </w:r>
    </w:p>
    <w:p w:rsidR="00902C4B" w:rsidRPr="00FB07CE" w:rsidRDefault="00902C4B" w:rsidP="00902C4B">
      <w:pPr>
        <w:tabs>
          <w:tab w:val="left" w:pos="1560"/>
          <w:tab w:val="left" w:pos="1843"/>
        </w:tabs>
        <w:ind w:left="567"/>
      </w:pPr>
      <w:r w:rsidRPr="00FB07CE">
        <w:tab/>
        <w:t>-</w:t>
      </w:r>
      <w:r w:rsidRPr="00FB07CE">
        <w:tab/>
        <w:t>Wegrecht zG 356</w:t>
      </w:r>
    </w:p>
    <w:p w:rsidR="00902C4B" w:rsidRPr="00FB07CE" w:rsidRDefault="00902C4B" w:rsidP="00902C4B">
      <w:pPr>
        <w:tabs>
          <w:tab w:val="left" w:pos="1560"/>
          <w:tab w:val="left" w:pos="1843"/>
        </w:tabs>
        <w:ind w:left="567"/>
      </w:pPr>
      <w:r w:rsidRPr="00FB07CE">
        <w:tab/>
        <w:t>-</w:t>
      </w:r>
      <w:r w:rsidRPr="00FB07CE">
        <w:tab/>
        <w:t xml:space="preserve">Zu- und </w:t>
      </w:r>
      <w:proofErr w:type="spellStart"/>
      <w:r w:rsidRPr="00FB07CE">
        <w:t>Vonfahrtsrecht</w:t>
      </w:r>
      <w:proofErr w:type="spellEnd"/>
      <w:r w:rsidRPr="00FB07CE">
        <w:t xml:space="preserve"> zG 406</w:t>
      </w:r>
    </w:p>
    <w:p w:rsidR="00902C4B" w:rsidRPr="00FB07CE" w:rsidRDefault="00902C4B" w:rsidP="00902C4B">
      <w:pPr>
        <w:tabs>
          <w:tab w:val="left" w:pos="1560"/>
          <w:tab w:val="left" w:pos="1843"/>
        </w:tabs>
        <w:ind w:left="567"/>
      </w:pPr>
      <w:r w:rsidRPr="00FB07CE">
        <w:tab/>
        <w:t>-</w:t>
      </w:r>
      <w:r w:rsidRPr="00FB07CE">
        <w:tab/>
        <w:t>Brunnleitungsrecht zG 482</w:t>
      </w:r>
    </w:p>
    <w:p w:rsidR="00902C4B" w:rsidRPr="00FB07CE" w:rsidRDefault="00902C4B" w:rsidP="00902C4B">
      <w:pPr>
        <w:ind w:left="567"/>
      </w:pPr>
    </w:p>
    <w:p w:rsidR="00902C4B" w:rsidRPr="00FB07CE" w:rsidRDefault="00902C4B" w:rsidP="00902C4B">
      <w:pPr>
        <w:ind w:left="567"/>
        <w:rPr>
          <w:b/>
        </w:rPr>
      </w:pPr>
      <w:r w:rsidRPr="00FB07CE">
        <w:rPr>
          <w:b/>
        </w:rPr>
        <w:t>Grundlasten</w:t>
      </w:r>
    </w:p>
    <w:p w:rsidR="00902C4B" w:rsidRPr="00FB07CE" w:rsidRDefault="00902C4B" w:rsidP="00902C4B">
      <w:pPr>
        <w:tabs>
          <w:tab w:val="left" w:pos="1560"/>
          <w:tab w:val="left" w:pos="1843"/>
        </w:tabs>
        <w:ind w:left="567"/>
      </w:pPr>
      <w:r w:rsidRPr="00FB07CE">
        <w:t>Keine</w:t>
      </w:r>
    </w:p>
    <w:p w:rsidR="00902C4B" w:rsidRPr="00FB07CE" w:rsidRDefault="00902C4B" w:rsidP="00902C4B">
      <w:pPr>
        <w:ind w:left="567"/>
      </w:pPr>
    </w:p>
    <w:p w:rsidR="00902C4B" w:rsidRPr="00FB07CE" w:rsidRDefault="00902C4B" w:rsidP="00902C4B">
      <w:pPr>
        <w:ind w:left="567"/>
        <w:rPr>
          <w:b/>
        </w:rPr>
      </w:pPr>
      <w:r w:rsidRPr="00FB07CE">
        <w:rPr>
          <w:b/>
        </w:rPr>
        <w:t>Grundpfandrechte</w:t>
      </w:r>
    </w:p>
    <w:p w:rsidR="00902C4B" w:rsidRPr="00FB07CE" w:rsidRDefault="00902C4B" w:rsidP="00902C4B">
      <w:pPr>
        <w:tabs>
          <w:tab w:val="left" w:pos="851"/>
          <w:tab w:val="left" w:pos="1701"/>
          <w:tab w:val="decimal" w:pos="3119"/>
          <w:tab w:val="left" w:pos="3544"/>
        </w:tabs>
        <w:ind w:left="3544" w:hanging="2977"/>
      </w:pPr>
      <w:r w:rsidRPr="00FB07CE">
        <w:t>1.</w:t>
      </w:r>
      <w:r w:rsidRPr="00FB07CE">
        <w:tab/>
        <w:t>Rang:</w:t>
      </w:r>
      <w:r w:rsidRPr="00FB07CE">
        <w:tab/>
        <w:t>Fr.</w:t>
      </w:r>
      <w:r w:rsidRPr="00FB07CE">
        <w:tab/>
        <w:t>260'000.—</w:t>
      </w:r>
      <w:r w:rsidRPr="00FB07CE">
        <w:tab/>
        <w:t xml:space="preserve">10% Schuldbrief vom 13.7.2006, Beleg 2006/1725/0, zG </w:t>
      </w:r>
      <w:r>
        <w:t xml:space="preserve">Raiffeisenbank </w:t>
      </w:r>
      <w:proofErr w:type="spellStart"/>
      <w:r>
        <w:t>Bernerland</w:t>
      </w:r>
      <w:proofErr w:type="spellEnd"/>
    </w:p>
    <w:p w:rsidR="00902C4B" w:rsidRPr="00FB07CE" w:rsidRDefault="00902C4B" w:rsidP="00902C4B">
      <w:pPr>
        <w:tabs>
          <w:tab w:val="left" w:pos="851"/>
          <w:tab w:val="left" w:pos="1701"/>
          <w:tab w:val="decimal" w:pos="3119"/>
          <w:tab w:val="left" w:pos="3544"/>
        </w:tabs>
        <w:ind w:left="3544" w:hanging="2977"/>
      </w:pPr>
      <w:r w:rsidRPr="00FB07CE">
        <w:t>2.</w:t>
      </w:r>
      <w:r w:rsidRPr="00FB07CE">
        <w:tab/>
        <w:t>Rang:</w:t>
      </w:r>
      <w:r w:rsidRPr="00FB07CE">
        <w:tab/>
        <w:t>Fr.</w:t>
      </w:r>
      <w:r w:rsidRPr="00FB07CE">
        <w:tab/>
        <w:t>114'000.—</w:t>
      </w:r>
      <w:r w:rsidRPr="00FB07CE">
        <w:tab/>
        <w:t>10% Schuldbrief vom 13.7.2006, Beleg 2006/1725/0, zG BAK</w:t>
      </w:r>
    </w:p>
    <w:p w:rsidR="00902C4B" w:rsidRPr="00FB07CE" w:rsidRDefault="00902C4B" w:rsidP="00902C4B">
      <w:pPr>
        <w:tabs>
          <w:tab w:val="left" w:pos="851"/>
          <w:tab w:val="left" w:pos="1701"/>
          <w:tab w:val="decimal" w:pos="3119"/>
          <w:tab w:val="left" w:pos="3544"/>
        </w:tabs>
        <w:ind w:left="3544" w:hanging="2977"/>
      </w:pPr>
      <w:r w:rsidRPr="00FB07CE">
        <w:tab/>
      </w:r>
      <w:r w:rsidRPr="00FB07CE">
        <w:tab/>
      </w:r>
      <w:r w:rsidRPr="00FB07CE">
        <w:tab/>
      </w:r>
      <w:r w:rsidRPr="00FB07CE">
        <w:tab/>
        <w:t xml:space="preserve">beide Gesamtpfandrechte mit Nrn. </w:t>
      </w:r>
      <w:r>
        <w:t>Langnau</w:t>
      </w:r>
      <w:r w:rsidRPr="00FB07CE">
        <w:t xml:space="preserve"> 411 und </w:t>
      </w:r>
      <w:r>
        <w:t>Seldwyla</w:t>
      </w:r>
      <w:r w:rsidRPr="00FB07CE">
        <w:t xml:space="preserve"> 471, 472, 473, 474-2, 474-4, 475-2, 475-4, 476, 834, 836, 837</w:t>
      </w:r>
    </w:p>
    <w:p w:rsidR="00902C4B" w:rsidRPr="00FB07CE" w:rsidRDefault="00902C4B" w:rsidP="00902C4B">
      <w:pPr>
        <w:ind w:left="567"/>
      </w:pPr>
    </w:p>
    <w:p w:rsidR="00902C4B" w:rsidRPr="00FB07CE" w:rsidRDefault="00902C4B" w:rsidP="00902C4B">
      <w:pPr>
        <w:ind w:left="567"/>
        <w:rPr>
          <w:b/>
        </w:rPr>
      </w:pPr>
      <w:r w:rsidRPr="00FB07CE">
        <w:rPr>
          <w:b/>
        </w:rPr>
        <w:t>Vormerkungen</w:t>
      </w:r>
    </w:p>
    <w:p w:rsidR="00902C4B" w:rsidRPr="00FB07CE" w:rsidRDefault="00902C4B" w:rsidP="00902C4B">
      <w:pPr>
        <w:ind w:left="567"/>
      </w:pPr>
      <w:r w:rsidRPr="00FB07CE">
        <w:t xml:space="preserve">Gewinnanteilsrecht an 1/3 des Eigentums zG </w:t>
      </w:r>
      <w:r>
        <w:t xml:space="preserve">Moser </w:t>
      </w:r>
      <w:r w:rsidRPr="00FB07CE">
        <w:t>Ernst bz</w:t>
      </w:r>
      <w:r>
        <w:t>w. dessen Erben, bis 25.3.2013 (25.03.1988, Bel. 1988/784/0)</w:t>
      </w:r>
    </w:p>
    <w:p w:rsidR="00902C4B" w:rsidRPr="00FB07CE" w:rsidRDefault="00902C4B" w:rsidP="00902C4B">
      <w:pPr>
        <w:ind w:left="567"/>
      </w:pPr>
    </w:p>
    <w:p w:rsidR="00902C4B" w:rsidRDefault="00902C4B">
      <w:pPr>
        <w:spacing w:after="200"/>
        <w:rPr>
          <w:b/>
        </w:rPr>
      </w:pPr>
      <w:r>
        <w:rPr>
          <w:b/>
        </w:rPr>
        <w:br w:type="page"/>
      </w:r>
    </w:p>
    <w:p w:rsidR="00902C4B" w:rsidRPr="00FB07CE" w:rsidRDefault="00902C4B" w:rsidP="00902C4B">
      <w:pPr>
        <w:ind w:left="567"/>
        <w:rPr>
          <w:b/>
        </w:rPr>
      </w:pPr>
      <w:r w:rsidRPr="00FB07CE">
        <w:rPr>
          <w:b/>
        </w:rPr>
        <w:lastRenderedPageBreak/>
        <w:t>Anmerkungen</w:t>
      </w:r>
    </w:p>
    <w:p w:rsidR="00902C4B" w:rsidRPr="00FB07CE" w:rsidRDefault="00902C4B" w:rsidP="00902C4B">
      <w:pPr>
        <w:ind w:left="567"/>
      </w:pPr>
      <w:r w:rsidRPr="00FB07CE">
        <w:t xml:space="preserve">Landwirtschaftlicher Hochbau Nr. 34399-2; Umbau </w:t>
      </w:r>
      <w:proofErr w:type="spellStart"/>
      <w:r w:rsidRPr="00FB07CE">
        <w:t>Oekonomiegebäude</w:t>
      </w:r>
      <w:proofErr w:type="spellEnd"/>
      <w:r w:rsidRPr="00FB07CE">
        <w:t>; Bewilligung</w:t>
      </w:r>
      <w:r w:rsidRPr="00FB07CE">
        <w:t>s</w:t>
      </w:r>
      <w:r w:rsidRPr="00FB07CE">
        <w:t>pflicht für Handänderungen bis 31.12.2027</w:t>
      </w:r>
    </w:p>
    <w:p w:rsidR="00902C4B" w:rsidRPr="00FB07CE" w:rsidRDefault="00902C4B" w:rsidP="00902C4B">
      <w:pPr>
        <w:ind w:left="567"/>
      </w:pPr>
    </w:p>
    <w:p w:rsidR="00902C4B" w:rsidRPr="00FB07CE" w:rsidRDefault="00902C4B" w:rsidP="00902C4B">
      <w:pPr>
        <w:tabs>
          <w:tab w:val="right" w:pos="8222"/>
        </w:tabs>
        <w:ind w:left="567"/>
      </w:pPr>
    </w:p>
    <w:p w:rsidR="00902C4B" w:rsidRPr="00FB07CE" w:rsidRDefault="00902C4B" w:rsidP="00902C4B">
      <w:pPr>
        <w:ind w:left="567"/>
        <w:jc w:val="center"/>
        <w:rPr>
          <w:b/>
        </w:rPr>
      </w:pPr>
      <w:r w:rsidRPr="00FB07CE">
        <w:rPr>
          <w:b/>
        </w:rPr>
        <w:t xml:space="preserve">2. </w:t>
      </w:r>
      <w:r>
        <w:rPr>
          <w:b/>
        </w:rPr>
        <w:t>Seldwyla</w:t>
      </w:r>
      <w:r w:rsidRPr="00FB07CE">
        <w:rPr>
          <w:b/>
        </w:rPr>
        <w:t>-Grundbuchblatt Nr. 834</w:t>
      </w:r>
    </w:p>
    <w:p w:rsidR="00902C4B" w:rsidRPr="00FB07CE" w:rsidRDefault="00902C4B" w:rsidP="00902C4B">
      <w:pPr>
        <w:ind w:left="567"/>
      </w:pPr>
    </w:p>
    <w:p w:rsidR="00902C4B" w:rsidRPr="00FB07CE" w:rsidRDefault="00902C4B" w:rsidP="00902C4B">
      <w:pPr>
        <w:ind w:left="567"/>
      </w:pPr>
      <w:r w:rsidRPr="00FB07CE">
        <w:t>38'147 m</w:t>
      </w:r>
      <w:r w:rsidRPr="00FB07CE">
        <w:rPr>
          <w:vertAlign w:val="superscript"/>
        </w:rPr>
        <w:t>2</w:t>
      </w:r>
      <w:r w:rsidRPr="00FB07CE">
        <w:t xml:space="preserve"> Acker, Wiese, Weide, geschlossener Wald, </w:t>
      </w:r>
      <w:proofErr w:type="spellStart"/>
      <w:r>
        <w:t>Kuhweid</w:t>
      </w:r>
      <w:proofErr w:type="spellEnd"/>
      <w:r w:rsidRPr="00FB07CE">
        <w:t>, Plan 2169, …</w:t>
      </w:r>
    </w:p>
    <w:p w:rsidR="00902C4B" w:rsidRPr="00FB07CE" w:rsidRDefault="00902C4B" w:rsidP="00902C4B">
      <w:pPr>
        <w:ind w:left="567"/>
      </w:pPr>
    </w:p>
    <w:p w:rsidR="00902C4B" w:rsidRPr="00FB07CE" w:rsidRDefault="00902C4B" w:rsidP="00902C4B">
      <w:pPr>
        <w:ind w:left="567"/>
        <w:rPr>
          <w:b/>
        </w:rPr>
      </w:pPr>
      <w:r w:rsidRPr="00FB07CE">
        <w:rPr>
          <w:b/>
        </w:rPr>
        <w:t>Erwerbtitel</w:t>
      </w:r>
    </w:p>
    <w:p w:rsidR="00902C4B" w:rsidRPr="00FB07CE" w:rsidRDefault="00902C4B" w:rsidP="00902C4B">
      <w:pPr>
        <w:ind w:left="567"/>
      </w:pPr>
      <w:r w:rsidRPr="00FB07CE">
        <w:t>Wie Nr. 470</w:t>
      </w:r>
    </w:p>
    <w:p w:rsidR="00902C4B" w:rsidRPr="00FB07CE" w:rsidRDefault="00902C4B" w:rsidP="00902C4B">
      <w:pPr>
        <w:ind w:left="567"/>
      </w:pPr>
    </w:p>
    <w:p w:rsidR="00902C4B" w:rsidRPr="00FB07CE" w:rsidRDefault="00902C4B" w:rsidP="00902C4B">
      <w:pPr>
        <w:ind w:left="567"/>
        <w:rPr>
          <w:b/>
        </w:rPr>
      </w:pPr>
      <w:r w:rsidRPr="00FB07CE">
        <w:rPr>
          <w:b/>
        </w:rPr>
        <w:t>Dienstbarkeiten</w:t>
      </w:r>
    </w:p>
    <w:p w:rsidR="00902C4B" w:rsidRPr="00FB07CE" w:rsidRDefault="00902C4B" w:rsidP="00902C4B">
      <w:pPr>
        <w:tabs>
          <w:tab w:val="left" w:pos="1560"/>
          <w:tab w:val="left" w:pos="1843"/>
        </w:tabs>
        <w:ind w:left="567"/>
      </w:pPr>
      <w:r w:rsidRPr="00FB07CE">
        <w:t>Rechte:</w:t>
      </w:r>
      <w:r w:rsidRPr="00FB07CE">
        <w:tab/>
        <w:t>-</w:t>
      </w:r>
      <w:r w:rsidRPr="00FB07CE">
        <w:tab/>
        <w:t>Quellenrecht (Anteil) zL 471, 474, 482</w:t>
      </w:r>
    </w:p>
    <w:p w:rsidR="00902C4B" w:rsidRPr="00FB07CE" w:rsidRDefault="00902C4B" w:rsidP="00902C4B">
      <w:pPr>
        <w:tabs>
          <w:tab w:val="left" w:pos="1560"/>
          <w:tab w:val="left" w:pos="1843"/>
        </w:tabs>
        <w:ind w:left="567"/>
      </w:pPr>
      <w:r w:rsidRPr="00FB07CE">
        <w:tab/>
        <w:t>-</w:t>
      </w:r>
      <w:r w:rsidRPr="00FB07CE">
        <w:tab/>
        <w:t>Brunnenrecht am sog. Gassenbrunnen zL 482</w:t>
      </w:r>
    </w:p>
    <w:p w:rsidR="00902C4B" w:rsidRPr="00FB07CE" w:rsidRDefault="00902C4B" w:rsidP="00902C4B">
      <w:pPr>
        <w:tabs>
          <w:tab w:val="left" w:pos="1560"/>
          <w:tab w:val="left" w:pos="1843"/>
        </w:tabs>
        <w:ind w:left="567"/>
      </w:pPr>
      <w:r w:rsidRPr="00FB07CE">
        <w:tab/>
        <w:t>-</w:t>
      </w:r>
      <w:r w:rsidRPr="00FB07CE">
        <w:tab/>
        <w:t>Fahrwegrecht zL 301</w:t>
      </w:r>
      <w:r>
        <w:t>, 328, 356, 407</w:t>
      </w:r>
    </w:p>
    <w:p w:rsidR="00902C4B" w:rsidRPr="00FB07CE" w:rsidRDefault="00902C4B" w:rsidP="00902C4B">
      <w:pPr>
        <w:tabs>
          <w:tab w:val="left" w:pos="1560"/>
          <w:tab w:val="left" w:pos="1843"/>
        </w:tabs>
        <w:ind w:left="567"/>
      </w:pPr>
      <w:r w:rsidRPr="00FB07CE">
        <w:tab/>
        <w:t>-</w:t>
      </w:r>
      <w:r w:rsidRPr="00FB07CE">
        <w:tab/>
        <w:t>Zu- und Ausfahrtsrecht zL 835</w:t>
      </w:r>
    </w:p>
    <w:p w:rsidR="00902C4B" w:rsidRPr="00FB07CE" w:rsidRDefault="00902C4B" w:rsidP="00902C4B">
      <w:pPr>
        <w:tabs>
          <w:tab w:val="left" w:pos="1560"/>
          <w:tab w:val="left" w:pos="1843"/>
        </w:tabs>
        <w:ind w:left="567"/>
      </w:pPr>
      <w:r w:rsidRPr="00FB07CE">
        <w:t>Lasten:</w:t>
      </w:r>
      <w:r w:rsidRPr="00FB07CE">
        <w:tab/>
      </w:r>
      <w:r w:rsidRPr="00FB07CE">
        <w:tab/>
        <w:t>Keine</w:t>
      </w:r>
    </w:p>
    <w:p w:rsidR="00902C4B" w:rsidRPr="00FB07CE" w:rsidRDefault="00902C4B" w:rsidP="00902C4B">
      <w:pPr>
        <w:ind w:left="567"/>
      </w:pPr>
    </w:p>
    <w:p w:rsidR="00902C4B" w:rsidRPr="00FB07CE" w:rsidRDefault="00902C4B" w:rsidP="00902C4B">
      <w:pPr>
        <w:ind w:left="567"/>
        <w:rPr>
          <w:b/>
        </w:rPr>
      </w:pPr>
      <w:r w:rsidRPr="00FB07CE">
        <w:rPr>
          <w:b/>
        </w:rPr>
        <w:t>Grundlasten</w:t>
      </w:r>
    </w:p>
    <w:p w:rsidR="00902C4B" w:rsidRPr="00FB07CE" w:rsidRDefault="00902C4B" w:rsidP="00902C4B">
      <w:pPr>
        <w:tabs>
          <w:tab w:val="left" w:pos="1560"/>
          <w:tab w:val="left" w:pos="1843"/>
        </w:tabs>
        <w:ind w:left="567"/>
      </w:pPr>
      <w:r w:rsidRPr="00FB07CE">
        <w:t>Keine</w:t>
      </w:r>
    </w:p>
    <w:p w:rsidR="00902C4B" w:rsidRPr="00FB07CE" w:rsidRDefault="00902C4B" w:rsidP="00902C4B">
      <w:pPr>
        <w:ind w:left="567"/>
      </w:pPr>
    </w:p>
    <w:p w:rsidR="00902C4B" w:rsidRPr="00FB07CE" w:rsidRDefault="00902C4B" w:rsidP="00902C4B">
      <w:pPr>
        <w:ind w:left="567"/>
        <w:rPr>
          <w:b/>
        </w:rPr>
      </w:pPr>
      <w:r w:rsidRPr="00FB07CE">
        <w:rPr>
          <w:b/>
        </w:rPr>
        <w:t>Grundpfandrechte, Vor- und Anmerkungen</w:t>
      </w:r>
    </w:p>
    <w:p w:rsidR="00902C4B" w:rsidRPr="00FB07CE" w:rsidRDefault="00902C4B" w:rsidP="00902C4B">
      <w:pPr>
        <w:tabs>
          <w:tab w:val="left" w:pos="851"/>
          <w:tab w:val="left" w:pos="1701"/>
          <w:tab w:val="decimal" w:pos="3119"/>
          <w:tab w:val="left" w:pos="3544"/>
        </w:tabs>
        <w:ind w:left="567"/>
      </w:pPr>
      <w:r w:rsidRPr="00FB07CE">
        <w:t>wie Nr. 470</w:t>
      </w:r>
    </w:p>
    <w:p w:rsidR="00902C4B" w:rsidRDefault="00902C4B" w:rsidP="00902C4B">
      <w:pPr>
        <w:ind w:left="567"/>
      </w:pPr>
    </w:p>
    <w:p w:rsidR="00902C4B" w:rsidRDefault="00902C4B" w:rsidP="00902C4B">
      <w:pPr>
        <w:tabs>
          <w:tab w:val="right" w:pos="8222"/>
        </w:tabs>
        <w:ind w:left="567"/>
      </w:pPr>
    </w:p>
    <w:p w:rsidR="00902C4B" w:rsidRPr="00FB07CE" w:rsidRDefault="00902C4B" w:rsidP="00902C4B">
      <w:pPr>
        <w:tabs>
          <w:tab w:val="right" w:pos="8222"/>
        </w:tabs>
        <w:ind w:left="567"/>
      </w:pPr>
    </w:p>
    <w:p w:rsidR="00902C4B" w:rsidRPr="00FB07CE" w:rsidRDefault="00902C4B" w:rsidP="00902C4B">
      <w:pPr>
        <w:tabs>
          <w:tab w:val="right" w:pos="8222"/>
        </w:tabs>
        <w:ind w:left="567" w:hanging="567"/>
      </w:pPr>
      <w:r w:rsidRPr="00FB07CE">
        <w:t>2.</w:t>
      </w:r>
      <w:r w:rsidRPr="00FB07CE">
        <w:tab/>
        <w:t xml:space="preserve">Herr </w:t>
      </w:r>
      <w:r>
        <w:rPr>
          <w:b/>
        </w:rPr>
        <w:t>Max Muster</w:t>
      </w:r>
      <w:r w:rsidRPr="00FB07CE">
        <w:t xml:space="preserve"> ist Eigentümer der folgenden Grundstücke:</w:t>
      </w:r>
    </w:p>
    <w:p w:rsidR="00902C4B" w:rsidRPr="00FB07CE" w:rsidRDefault="00902C4B" w:rsidP="00902C4B">
      <w:pPr>
        <w:tabs>
          <w:tab w:val="right" w:pos="8222"/>
        </w:tabs>
        <w:ind w:left="567" w:hanging="425"/>
      </w:pPr>
    </w:p>
    <w:p w:rsidR="00902C4B" w:rsidRPr="00FB07CE" w:rsidRDefault="00902C4B" w:rsidP="00902C4B">
      <w:pPr>
        <w:ind w:left="567"/>
        <w:jc w:val="center"/>
        <w:rPr>
          <w:b/>
        </w:rPr>
      </w:pPr>
      <w:r w:rsidRPr="00FB07CE">
        <w:rPr>
          <w:b/>
        </w:rPr>
        <w:t xml:space="preserve">1. </w:t>
      </w:r>
      <w:r>
        <w:rPr>
          <w:b/>
        </w:rPr>
        <w:t>Seldwyla</w:t>
      </w:r>
      <w:r w:rsidRPr="00FB07CE">
        <w:rPr>
          <w:b/>
        </w:rPr>
        <w:t>-Grundbuchblatt Nr. 483-1</w:t>
      </w:r>
    </w:p>
    <w:p w:rsidR="00902C4B" w:rsidRPr="00FB07CE" w:rsidRDefault="00902C4B" w:rsidP="00902C4B">
      <w:pPr>
        <w:ind w:left="567"/>
      </w:pPr>
    </w:p>
    <w:p w:rsidR="00902C4B" w:rsidRPr="00FB07CE" w:rsidRDefault="00902C4B" w:rsidP="00902C4B">
      <w:pPr>
        <w:ind w:left="567"/>
      </w:pPr>
      <w:r w:rsidRPr="00FB07CE">
        <w:t>½ Miteigentum an Nr. 483</w:t>
      </w:r>
    </w:p>
    <w:p w:rsidR="00902C4B" w:rsidRPr="00FB07CE" w:rsidRDefault="00902C4B" w:rsidP="00902C4B">
      <w:pPr>
        <w:ind w:left="567"/>
      </w:pPr>
    </w:p>
    <w:p w:rsidR="00902C4B" w:rsidRPr="00FB07CE" w:rsidRDefault="00902C4B" w:rsidP="00902C4B">
      <w:pPr>
        <w:ind w:left="567"/>
        <w:rPr>
          <w:b/>
        </w:rPr>
      </w:pPr>
      <w:r w:rsidRPr="00FB07CE">
        <w:rPr>
          <w:b/>
        </w:rPr>
        <w:t>Erwerbtitel</w:t>
      </w:r>
    </w:p>
    <w:p w:rsidR="00902C4B" w:rsidRPr="00FB07CE" w:rsidRDefault="00902C4B" w:rsidP="00902C4B">
      <w:pPr>
        <w:ind w:left="567"/>
      </w:pPr>
      <w:r w:rsidRPr="00FB07CE">
        <w:t xml:space="preserve">Kauf, eingetragen den 21.1.1983 </w:t>
      </w:r>
    </w:p>
    <w:p w:rsidR="00902C4B" w:rsidRPr="00FB07CE" w:rsidRDefault="00902C4B" w:rsidP="00902C4B">
      <w:pPr>
        <w:ind w:left="567"/>
      </w:pPr>
    </w:p>
    <w:p w:rsidR="00902C4B" w:rsidRPr="00FB07CE" w:rsidRDefault="00902C4B" w:rsidP="00902C4B">
      <w:pPr>
        <w:ind w:left="567"/>
        <w:rPr>
          <w:b/>
        </w:rPr>
      </w:pPr>
      <w:r w:rsidRPr="00FB07CE">
        <w:rPr>
          <w:b/>
        </w:rPr>
        <w:t>Dienstbarkeiten, Grundlasten, Anmerkungen</w:t>
      </w:r>
    </w:p>
    <w:p w:rsidR="00902C4B" w:rsidRDefault="00902C4B" w:rsidP="00902C4B">
      <w:pPr>
        <w:tabs>
          <w:tab w:val="left" w:pos="1560"/>
          <w:tab w:val="left" w:pos="1843"/>
        </w:tabs>
        <w:ind w:left="567"/>
      </w:pPr>
      <w:r w:rsidRPr="00FB07CE">
        <w:t>Keine</w:t>
      </w:r>
    </w:p>
    <w:p w:rsidR="00902C4B" w:rsidRPr="00FB07CE" w:rsidRDefault="00902C4B" w:rsidP="00902C4B">
      <w:pPr>
        <w:tabs>
          <w:tab w:val="left" w:pos="1560"/>
          <w:tab w:val="left" w:pos="1843"/>
        </w:tabs>
        <w:ind w:left="567"/>
      </w:pPr>
    </w:p>
    <w:p w:rsidR="00902C4B" w:rsidRPr="00FB07CE" w:rsidRDefault="00902C4B" w:rsidP="00902C4B">
      <w:pPr>
        <w:ind w:left="567"/>
        <w:rPr>
          <w:b/>
        </w:rPr>
      </w:pPr>
      <w:r w:rsidRPr="00FB07CE">
        <w:rPr>
          <w:b/>
        </w:rPr>
        <w:t>Grundpfandrechte</w:t>
      </w:r>
    </w:p>
    <w:p w:rsidR="00902C4B" w:rsidRPr="00FB07CE" w:rsidRDefault="00902C4B" w:rsidP="00902C4B">
      <w:pPr>
        <w:tabs>
          <w:tab w:val="left" w:pos="851"/>
          <w:tab w:val="left" w:pos="1701"/>
          <w:tab w:val="decimal" w:pos="3119"/>
          <w:tab w:val="left" w:pos="3544"/>
        </w:tabs>
        <w:ind w:left="3544" w:hanging="2977"/>
      </w:pPr>
      <w:bookmarkStart w:id="210" w:name="OLE_LINK1"/>
      <w:bookmarkStart w:id="211" w:name="OLE_LINK2"/>
      <w:r w:rsidRPr="00FB07CE">
        <w:t>1.</w:t>
      </w:r>
      <w:r w:rsidRPr="00FB07CE">
        <w:tab/>
        <w:t>Rang:</w:t>
      </w:r>
      <w:r w:rsidRPr="00FB07CE">
        <w:tab/>
        <w:t>Fr.</w:t>
      </w:r>
      <w:r w:rsidRPr="00FB07CE">
        <w:tab/>
        <w:t>51'250.—</w:t>
      </w:r>
      <w:r w:rsidRPr="00FB07CE">
        <w:tab/>
        <w:t xml:space="preserve">MH, Grundpfandverschreibung vom 21.1.1983, Beleg 1983/159/0, zG </w:t>
      </w:r>
      <w:r>
        <w:t>Muster Ida</w:t>
      </w:r>
      <w:r w:rsidRPr="00FB07CE">
        <w:t>, geb. 6.4.1925</w:t>
      </w:r>
      <w:r>
        <w:t xml:space="preserve"> (Gesamtpfan</w:t>
      </w:r>
      <w:r>
        <w:t>d</w:t>
      </w:r>
      <w:r>
        <w:t>recht mit Nrn. 474-3, 475-3, 482-1, 483-1, 484-1, 835-1)</w:t>
      </w:r>
    </w:p>
    <w:p w:rsidR="00902C4B" w:rsidRDefault="00902C4B" w:rsidP="00902C4B">
      <w:pPr>
        <w:tabs>
          <w:tab w:val="left" w:pos="851"/>
          <w:tab w:val="left" w:pos="1701"/>
          <w:tab w:val="decimal" w:pos="3119"/>
          <w:tab w:val="left" w:pos="3544"/>
        </w:tabs>
        <w:ind w:left="3544" w:hanging="2977"/>
      </w:pPr>
      <w:r w:rsidRPr="00FB07CE">
        <w:t>2.</w:t>
      </w:r>
      <w:r w:rsidRPr="00FB07CE">
        <w:tab/>
        <w:t>Rang:</w:t>
      </w:r>
      <w:r w:rsidRPr="00FB07CE">
        <w:tab/>
        <w:t>Fr.</w:t>
      </w:r>
      <w:r w:rsidRPr="00FB07CE">
        <w:tab/>
        <w:t>50'000.—</w:t>
      </w:r>
      <w:r w:rsidRPr="00FB07CE">
        <w:tab/>
        <w:t xml:space="preserve">8% Schuldbrief vom 18.2.1988, Beleg 1988/448/0, zG </w:t>
      </w:r>
      <w:r>
        <w:t>Muster Heinz und Muster Max</w:t>
      </w:r>
      <w:r w:rsidRPr="00FB07CE">
        <w:t xml:space="preserve">, </w:t>
      </w:r>
    </w:p>
    <w:p w:rsidR="00902C4B" w:rsidRDefault="00902C4B" w:rsidP="00902C4B">
      <w:pPr>
        <w:tabs>
          <w:tab w:val="left" w:pos="851"/>
          <w:tab w:val="left" w:pos="1701"/>
          <w:tab w:val="decimal" w:pos="3119"/>
          <w:tab w:val="left" w:pos="3544"/>
        </w:tabs>
        <w:ind w:left="3544" w:hanging="2977"/>
      </w:pPr>
      <w:r w:rsidRPr="00FB07CE">
        <w:t>3.</w:t>
      </w:r>
      <w:r w:rsidRPr="00FB07CE">
        <w:tab/>
        <w:t>Rang:</w:t>
      </w:r>
      <w:r w:rsidRPr="00FB07CE">
        <w:tab/>
        <w:t>Fr.</w:t>
      </w:r>
      <w:r w:rsidRPr="00FB07CE">
        <w:tab/>
        <w:t>120'000.—</w:t>
      </w:r>
      <w:r w:rsidRPr="00FB07CE">
        <w:tab/>
        <w:t>10% Grundpfandverschreibung vom 15.4.1998, Beleg 1998/971/0, zG BAK</w:t>
      </w:r>
    </w:p>
    <w:p w:rsidR="00902C4B" w:rsidRPr="00FB07CE" w:rsidRDefault="00902C4B" w:rsidP="00902C4B">
      <w:pPr>
        <w:tabs>
          <w:tab w:val="left" w:pos="851"/>
          <w:tab w:val="left" w:pos="1701"/>
          <w:tab w:val="decimal" w:pos="3119"/>
          <w:tab w:val="left" w:pos="3544"/>
        </w:tabs>
        <w:ind w:left="3544" w:hanging="2977"/>
      </w:pPr>
      <w:r>
        <w:lastRenderedPageBreak/>
        <w:tab/>
      </w:r>
      <w:r>
        <w:tab/>
      </w:r>
      <w:r>
        <w:tab/>
      </w:r>
      <w:r>
        <w:tab/>
        <w:t>(die beiden letzteren Gesamtpfandrechte mit Nrn. 474-1, 474-3, 475-1, 475-3, 482-1, 482-2, 483-1, 483-2, 484-1, 484-2, 835-1, 835-2)</w:t>
      </w:r>
    </w:p>
    <w:bookmarkEnd w:id="210"/>
    <w:bookmarkEnd w:id="211"/>
    <w:p w:rsidR="00902C4B" w:rsidRPr="00FB07CE" w:rsidRDefault="00902C4B" w:rsidP="00902C4B">
      <w:pPr>
        <w:ind w:left="567"/>
      </w:pPr>
    </w:p>
    <w:p w:rsidR="00902C4B" w:rsidRPr="00FB07CE" w:rsidRDefault="00902C4B" w:rsidP="00902C4B">
      <w:pPr>
        <w:ind w:left="567"/>
        <w:rPr>
          <w:b/>
        </w:rPr>
      </w:pPr>
      <w:r w:rsidRPr="00FB07CE">
        <w:rPr>
          <w:b/>
        </w:rPr>
        <w:t>Vormerkungen</w:t>
      </w:r>
    </w:p>
    <w:p w:rsidR="00902C4B" w:rsidRPr="00FB07CE" w:rsidRDefault="00902C4B" w:rsidP="00902C4B">
      <w:pPr>
        <w:ind w:left="567"/>
      </w:pPr>
      <w:r w:rsidRPr="00FB07CE">
        <w:t>Abänderung des gesetzlichen Vorkaufsrechts (Miteigentum)</w:t>
      </w:r>
    </w:p>
    <w:p w:rsidR="00902C4B" w:rsidRPr="00FB07CE" w:rsidRDefault="00902C4B" w:rsidP="00902C4B">
      <w:pPr>
        <w:ind w:left="567"/>
      </w:pPr>
      <w:r w:rsidRPr="00FB07CE">
        <w:t>Gewinnanteilsrecht zG der Miterben bis 21.1.2008</w:t>
      </w:r>
    </w:p>
    <w:p w:rsidR="00902C4B" w:rsidRPr="00FB07CE" w:rsidRDefault="00902C4B" w:rsidP="00902C4B">
      <w:pPr>
        <w:ind w:left="567"/>
      </w:pPr>
    </w:p>
    <w:p w:rsidR="00902C4B" w:rsidRPr="00FB07CE" w:rsidRDefault="00902C4B" w:rsidP="00902C4B">
      <w:pPr>
        <w:tabs>
          <w:tab w:val="right" w:pos="8222"/>
        </w:tabs>
        <w:ind w:left="567"/>
      </w:pPr>
    </w:p>
    <w:p w:rsidR="00902C4B" w:rsidRPr="00FB07CE" w:rsidRDefault="00902C4B" w:rsidP="00902C4B">
      <w:pPr>
        <w:ind w:left="567"/>
        <w:jc w:val="center"/>
        <w:rPr>
          <w:b/>
        </w:rPr>
      </w:pPr>
      <w:r w:rsidRPr="00FB07CE">
        <w:rPr>
          <w:b/>
        </w:rPr>
        <w:t xml:space="preserve">2. </w:t>
      </w:r>
      <w:r>
        <w:rPr>
          <w:b/>
        </w:rPr>
        <w:t>Seldwyla</w:t>
      </w:r>
      <w:r w:rsidRPr="00FB07CE">
        <w:rPr>
          <w:b/>
        </w:rPr>
        <w:t>-Grundbuchblatt Nr. 483-2</w:t>
      </w:r>
    </w:p>
    <w:p w:rsidR="00902C4B" w:rsidRPr="00FB07CE" w:rsidRDefault="00902C4B" w:rsidP="00902C4B">
      <w:pPr>
        <w:ind w:left="567"/>
      </w:pPr>
    </w:p>
    <w:p w:rsidR="00902C4B" w:rsidRPr="00FB07CE" w:rsidRDefault="00902C4B" w:rsidP="00902C4B">
      <w:pPr>
        <w:ind w:left="567"/>
      </w:pPr>
      <w:r w:rsidRPr="00FB07CE">
        <w:t>½ Miteigentum an Nr. 483</w:t>
      </w:r>
    </w:p>
    <w:p w:rsidR="00902C4B" w:rsidRPr="00FB07CE" w:rsidRDefault="00902C4B" w:rsidP="00902C4B">
      <w:pPr>
        <w:ind w:left="567"/>
      </w:pPr>
    </w:p>
    <w:p w:rsidR="00902C4B" w:rsidRPr="00FB07CE" w:rsidRDefault="00902C4B" w:rsidP="00902C4B">
      <w:pPr>
        <w:ind w:left="567"/>
        <w:rPr>
          <w:b/>
        </w:rPr>
      </w:pPr>
      <w:r w:rsidRPr="00FB07CE">
        <w:rPr>
          <w:b/>
        </w:rPr>
        <w:t>Erwerbtitel</w:t>
      </w:r>
    </w:p>
    <w:p w:rsidR="00902C4B" w:rsidRPr="00FB07CE" w:rsidRDefault="00902C4B" w:rsidP="00902C4B">
      <w:pPr>
        <w:ind w:left="567"/>
      </w:pPr>
      <w:r w:rsidRPr="00FB07CE">
        <w:t xml:space="preserve">Kauf, eingetragen den 31.3.1994 </w:t>
      </w:r>
    </w:p>
    <w:p w:rsidR="00902C4B" w:rsidRPr="00FB07CE" w:rsidRDefault="00902C4B" w:rsidP="00902C4B">
      <w:pPr>
        <w:ind w:left="567"/>
      </w:pPr>
    </w:p>
    <w:p w:rsidR="00902C4B" w:rsidRPr="00FB07CE" w:rsidRDefault="00902C4B" w:rsidP="00902C4B">
      <w:pPr>
        <w:ind w:left="567"/>
        <w:rPr>
          <w:b/>
        </w:rPr>
      </w:pPr>
      <w:r w:rsidRPr="00FB07CE">
        <w:rPr>
          <w:b/>
        </w:rPr>
        <w:t>Dienstbarkeiten, Grundlasten, Anmerkungen</w:t>
      </w:r>
    </w:p>
    <w:p w:rsidR="00902C4B" w:rsidRPr="00FB07CE" w:rsidRDefault="00902C4B" w:rsidP="00902C4B">
      <w:pPr>
        <w:tabs>
          <w:tab w:val="left" w:pos="1560"/>
          <w:tab w:val="left" w:pos="1843"/>
        </w:tabs>
        <w:ind w:left="567"/>
      </w:pPr>
      <w:r w:rsidRPr="00FB07CE">
        <w:t>Keine</w:t>
      </w:r>
    </w:p>
    <w:p w:rsidR="00902C4B" w:rsidRPr="00FB07CE" w:rsidRDefault="00902C4B" w:rsidP="00902C4B">
      <w:pPr>
        <w:ind w:left="567"/>
      </w:pPr>
    </w:p>
    <w:p w:rsidR="00902C4B" w:rsidRPr="00FB07CE" w:rsidRDefault="00902C4B" w:rsidP="00902C4B">
      <w:pPr>
        <w:ind w:left="567"/>
        <w:rPr>
          <w:b/>
        </w:rPr>
      </w:pPr>
      <w:r w:rsidRPr="00FB07CE">
        <w:rPr>
          <w:b/>
        </w:rPr>
        <w:t>Grundpfandrechte</w:t>
      </w:r>
    </w:p>
    <w:p w:rsidR="00902C4B" w:rsidRPr="00FB07CE" w:rsidRDefault="00902C4B" w:rsidP="00902C4B">
      <w:pPr>
        <w:tabs>
          <w:tab w:val="left" w:pos="851"/>
          <w:tab w:val="left" w:pos="1701"/>
          <w:tab w:val="decimal" w:pos="3119"/>
          <w:tab w:val="left" w:pos="3544"/>
        </w:tabs>
        <w:ind w:left="3544" w:hanging="2977"/>
      </w:pPr>
      <w:r w:rsidRPr="00FB07CE">
        <w:t>1.</w:t>
      </w:r>
      <w:r w:rsidRPr="00FB07CE">
        <w:tab/>
        <w:t>Rang:</w:t>
      </w:r>
      <w:r w:rsidRPr="00FB07CE">
        <w:tab/>
        <w:t>Fr.</w:t>
      </w:r>
      <w:r w:rsidRPr="00FB07CE">
        <w:tab/>
        <w:t>51'250.—</w:t>
      </w:r>
      <w:r w:rsidRPr="00FB07CE">
        <w:tab/>
        <w:t xml:space="preserve">MH, Grundpfandverschreibung vom 21.1.1983, Beleg 1983/159/0, zG </w:t>
      </w:r>
      <w:r>
        <w:t>Muster Ernst</w:t>
      </w:r>
      <w:r w:rsidRPr="00FB07CE">
        <w:t xml:space="preserve">, geb. </w:t>
      </w:r>
      <w:r>
        <w:t>28.12.1916 (Gesam</w:t>
      </w:r>
      <w:r>
        <w:t>t</w:t>
      </w:r>
      <w:r>
        <w:t>pfandrecht mit Nrn. 474-1, 475-1, 482-2, 483-2, 484-2, 835-2)</w:t>
      </w:r>
    </w:p>
    <w:p w:rsidR="00902C4B" w:rsidRDefault="00902C4B" w:rsidP="00902C4B">
      <w:pPr>
        <w:tabs>
          <w:tab w:val="left" w:pos="851"/>
          <w:tab w:val="left" w:pos="1701"/>
          <w:tab w:val="decimal" w:pos="3119"/>
          <w:tab w:val="left" w:pos="3544"/>
        </w:tabs>
        <w:ind w:left="3544" w:hanging="2977"/>
      </w:pPr>
      <w:r w:rsidRPr="00FB07CE">
        <w:t>2.</w:t>
      </w:r>
      <w:r w:rsidRPr="00FB07CE">
        <w:tab/>
        <w:t>Rang:</w:t>
      </w:r>
      <w:r w:rsidRPr="00FB07CE">
        <w:tab/>
        <w:t>Fr.</w:t>
      </w:r>
      <w:r w:rsidRPr="00FB07CE">
        <w:tab/>
        <w:t>50'000.—</w:t>
      </w:r>
      <w:r w:rsidRPr="00FB07CE">
        <w:tab/>
        <w:t xml:space="preserve">8% Schuldbrief vom 18.2.1988, Beleg 1988/448/0, zG </w:t>
      </w:r>
      <w:r>
        <w:t>Muster Heinz und Muster Max</w:t>
      </w:r>
      <w:r w:rsidRPr="00FB07CE">
        <w:t xml:space="preserve">, </w:t>
      </w:r>
    </w:p>
    <w:p w:rsidR="00902C4B" w:rsidRDefault="00902C4B" w:rsidP="00902C4B">
      <w:pPr>
        <w:tabs>
          <w:tab w:val="left" w:pos="851"/>
          <w:tab w:val="left" w:pos="1701"/>
          <w:tab w:val="decimal" w:pos="3119"/>
          <w:tab w:val="left" w:pos="3544"/>
        </w:tabs>
        <w:ind w:left="3544" w:hanging="2977"/>
      </w:pPr>
      <w:r w:rsidRPr="00FB07CE">
        <w:t>3.</w:t>
      </w:r>
      <w:r w:rsidRPr="00FB07CE">
        <w:tab/>
        <w:t>Rang:</w:t>
      </w:r>
      <w:r w:rsidRPr="00FB07CE">
        <w:tab/>
        <w:t>Fr.</w:t>
      </w:r>
      <w:r w:rsidRPr="00FB07CE">
        <w:tab/>
        <w:t>120'000.—</w:t>
      </w:r>
      <w:r w:rsidRPr="00FB07CE">
        <w:tab/>
        <w:t>10% Grundpfandverschreibung vom 15.4.1998, Beleg 1998/971/0, zG BAK</w:t>
      </w:r>
    </w:p>
    <w:p w:rsidR="00902C4B" w:rsidRPr="00FB07CE" w:rsidRDefault="00902C4B" w:rsidP="00902C4B">
      <w:pPr>
        <w:tabs>
          <w:tab w:val="left" w:pos="851"/>
          <w:tab w:val="left" w:pos="1701"/>
          <w:tab w:val="decimal" w:pos="3119"/>
          <w:tab w:val="left" w:pos="3544"/>
        </w:tabs>
        <w:ind w:left="3544" w:hanging="2977"/>
      </w:pPr>
      <w:r>
        <w:tab/>
      </w:r>
      <w:r>
        <w:tab/>
      </w:r>
      <w:r>
        <w:tab/>
      </w:r>
      <w:r>
        <w:tab/>
        <w:t>(die beiden letzteren Gesamtpfandrechte mit Nrn. 474-1, 474-3, 475-1, 475-3, 482-1, 482-2, 483-1, 483-2, 484-1, 484-2, 835-1, 835-2)</w:t>
      </w:r>
    </w:p>
    <w:p w:rsidR="00902C4B" w:rsidRPr="00FB07CE" w:rsidRDefault="00902C4B" w:rsidP="00902C4B">
      <w:pPr>
        <w:ind w:left="567"/>
      </w:pPr>
    </w:p>
    <w:p w:rsidR="00902C4B" w:rsidRPr="00FB07CE" w:rsidRDefault="00902C4B" w:rsidP="00902C4B">
      <w:pPr>
        <w:ind w:left="567"/>
        <w:rPr>
          <w:b/>
        </w:rPr>
      </w:pPr>
      <w:r w:rsidRPr="00FB07CE">
        <w:rPr>
          <w:b/>
        </w:rPr>
        <w:t>Vormerkungen</w:t>
      </w:r>
    </w:p>
    <w:p w:rsidR="00902C4B" w:rsidRPr="00FB07CE" w:rsidRDefault="00902C4B" w:rsidP="00902C4B">
      <w:pPr>
        <w:ind w:left="567"/>
      </w:pPr>
      <w:r w:rsidRPr="00FB07CE">
        <w:t>Abänderung des gesetzlichen Vorkaufsrechts (Miteigentum)</w:t>
      </w:r>
    </w:p>
    <w:p w:rsidR="00902C4B" w:rsidRPr="00FB07CE" w:rsidRDefault="00902C4B" w:rsidP="00902C4B">
      <w:pPr>
        <w:ind w:left="567"/>
      </w:pPr>
      <w:r w:rsidRPr="00FB07CE">
        <w:t xml:space="preserve">VE Grundpfandrecht für Gewinnanspruch zG </w:t>
      </w:r>
      <w:r>
        <w:t xml:space="preserve">Muster </w:t>
      </w:r>
      <w:r w:rsidRPr="00FB07CE">
        <w:t>Heinz, 23.12.1962</w:t>
      </w:r>
    </w:p>
    <w:p w:rsidR="00902C4B" w:rsidRPr="00FB07CE" w:rsidRDefault="00902C4B" w:rsidP="00902C4B">
      <w:pPr>
        <w:ind w:left="567"/>
      </w:pPr>
      <w:r w:rsidRPr="00FB07CE">
        <w:t xml:space="preserve">Limitiertes Vorkaufsrecht bis 31.3.2004 zG </w:t>
      </w:r>
      <w:r>
        <w:t xml:space="preserve">Muster </w:t>
      </w:r>
      <w:r w:rsidRPr="00FB07CE">
        <w:t>Heinz</w:t>
      </w:r>
    </w:p>
    <w:p w:rsidR="00902C4B" w:rsidRPr="00FB07CE" w:rsidRDefault="00902C4B" w:rsidP="00902C4B">
      <w:pPr>
        <w:tabs>
          <w:tab w:val="right" w:pos="8222"/>
        </w:tabs>
        <w:ind w:left="567"/>
      </w:pPr>
    </w:p>
    <w:p w:rsidR="00902C4B" w:rsidRPr="00FB07CE" w:rsidRDefault="00902C4B" w:rsidP="00902C4B">
      <w:pPr>
        <w:tabs>
          <w:tab w:val="right" w:pos="8222"/>
        </w:tabs>
        <w:ind w:left="567"/>
      </w:pPr>
    </w:p>
    <w:p w:rsidR="00902C4B" w:rsidRPr="00FB07CE" w:rsidRDefault="00902C4B" w:rsidP="00902C4B">
      <w:pPr>
        <w:ind w:left="567"/>
        <w:jc w:val="center"/>
        <w:rPr>
          <w:b/>
        </w:rPr>
      </w:pPr>
      <w:r w:rsidRPr="00FB07CE">
        <w:rPr>
          <w:b/>
        </w:rPr>
        <w:t xml:space="preserve">3. </w:t>
      </w:r>
      <w:r>
        <w:rPr>
          <w:b/>
        </w:rPr>
        <w:t>Seldwyla</w:t>
      </w:r>
      <w:r w:rsidRPr="00FB07CE">
        <w:rPr>
          <w:b/>
        </w:rPr>
        <w:t>-Grundbuchblatt Nr. 835-1</w:t>
      </w:r>
    </w:p>
    <w:p w:rsidR="00902C4B" w:rsidRPr="00FB07CE" w:rsidRDefault="00902C4B" w:rsidP="00902C4B">
      <w:pPr>
        <w:ind w:left="567"/>
      </w:pPr>
    </w:p>
    <w:p w:rsidR="00902C4B" w:rsidRPr="00FB07CE" w:rsidRDefault="00902C4B" w:rsidP="00902C4B">
      <w:pPr>
        <w:ind w:left="567"/>
      </w:pPr>
      <w:r w:rsidRPr="00FB07CE">
        <w:t>½ Miteigentum an Nr. 835</w:t>
      </w:r>
    </w:p>
    <w:p w:rsidR="00902C4B" w:rsidRPr="00FB07CE" w:rsidRDefault="00902C4B" w:rsidP="00902C4B">
      <w:pPr>
        <w:ind w:left="567"/>
      </w:pPr>
    </w:p>
    <w:p w:rsidR="00902C4B" w:rsidRPr="00FB07CE" w:rsidRDefault="00902C4B" w:rsidP="00902C4B">
      <w:pPr>
        <w:ind w:left="567"/>
        <w:rPr>
          <w:b/>
        </w:rPr>
      </w:pPr>
      <w:r w:rsidRPr="00FB07CE">
        <w:rPr>
          <w:b/>
        </w:rPr>
        <w:t>Erwerbtitel</w:t>
      </w:r>
    </w:p>
    <w:p w:rsidR="00902C4B" w:rsidRPr="00FB07CE" w:rsidRDefault="00902C4B" w:rsidP="00902C4B">
      <w:pPr>
        <w:ind w:left="567"/>
      </w:pPr>
      <w:r w:rsidRPr="00FB07CE">
        <w:t xml:space="preserve">Kauf, eingetragen 21.1.1983 </w:t>
      </w:r>
    </w:p>
    <w:p w:rsidR="00902C4B" w:rsidRPr="00FB07CE" w:rsidRDefault="00902C4B" w:rsidP="00902C4B">
      <w:pPr>
        <w:ind w:left="567"/>
      </w:pPr>
      <w:r w:rsidRPr="00FB07CE">
        <w:t xml:space="preserve">Handänderung, eingetragen 19.1.1999 </w:t>
      </w:r>
    </w:p>
    <w:p w:rsidR="00902C4B" w:rsidRPr="00FB07CE" w:rsidRDefault="00902C4B" w:rsidP="00902C4B">
      <w:pPr>
        <w:ind w:left="567"/>
      </w:pPr>
      <w:r w:rsidRPr="00FB07CE">
        <w:t xml:space="preserve">Kauf, eingetragen 31.3.1994 </w:t>
      </w:r>
    </w:p>
    <w:p w:rsidR="00902C4B" w:rsidRPr="00FB07CE" w:rsidRDefault="00902C4B" w:rsidP="00902C4B">
      <w:pPr>
        <w:ind w:left="567"/>
      </w:pPr>
    </w:p>
    <w:p w:rsidR="00902C4B" w:rsidRPr="00FB07CE" w:rsidRDefault="00902C4B" w:rsidP="00902C4B">
      <w:pPr>
        <w:ind w:left="567"/>
        <w:rPr>
          <w:b/>
        </w:rPr>
      </w:pPr>
      <w:r w:rsidRPr="00FB07CE">
        <w:rPr>
          <w:b/>
        </w:rPr>
        <w:lastRenderedPageBreak/>
        <w:t>Dienstbarkeiten, Grundlasten und Anmerkungen</w:t>
      </w:r>
    </w:p>
    <w:p w:rsidR="00902C4B" w:rsidRPr="00FB07CE" w:rsidRDefault="00902C4B" w:rsidP="00902C4B">
      <w:pPr>
        <w:tabs>
          <w:tab w:val="left" w:pos="1560"/>
          <w:tab w:val="left" w:pos="1843"/>
        </w:tabs>
        <w:ind w:left="567"/>
      </w:pPr>
      <w:r w:rsidRPr="00FB07CE">
        <w:t>Keine</w:t>
      </w:r>
    </w:p>
    <w:p w:rsidR="00902C4B" w:rsidRPr="00FB07CE" w:rsidRDefault="00902C4B" w:rsidP="00902C4B">
      <w:pPr>
        <w:ind w:left="567"/>
      </w:pPr>
    </w:p>
    <w:p w:rsidR="00902C4B" w:rsidRPr="00FB07CE" w:rsidRDefault="00902C4B" w:rsidP="00902C4B">
      <w:pPr>
        <w:ind w:left="567"/>
        <w:rPr>
          <w:b/>
        </w:rPr>
      </w:pPr>
      <w:r w:rsidRPr="00FB07CE">
        <w:rPr>
          <w:b/>
        </w:rPr>
        <w:t>Grundpfandrechte und Vormerkungen</w:t>
      </w:r>
    </w:p>
    <w:p w:rsidR="00902C4B" w:rsidRPr="00FB07CE" w:rsidRDefault="00902C4B" w:rsidP="00902C4B">
      <w:pPr>
        <w:tabs>
          <w:tab w:val="left" w:pos="851"/>
          <w:tab w:val="left" w:pos="1701"/>
          <w:tab w:val="decimal" w:pos="3119"/>
          <w:tab w:val="left" w:pos="3544"/>
        </w:tabs>
        <w:ind w:left="567"/>
      </w:pPr>
      <w:r w:rsidRPr="00FB07CE">
        <w:t>wie Nr. 483-1</w:t>
      </w:r>
    </w:p>
    <w:p w:rsidR="00902C4B" w:rsidRPr="00FB07CE" w:rsidRDefault="00902C4B" w:rsidP="00902C4B">
      <w:pPr>
        <w:ind w:left="567"/>
      </w:pPr>
    </w:p>
    <w:p w:rsidR="00902C4B" w:rsidRPr="00FB07CE" w:rsidRDefault="00902C4B" w:rsidP="00902C4B">
      <w:pPr>
        <w:tabs>
          <w:tab w:val="right" w:pos="8222"/>
        </w:tabs>
        <w:ind w:left="567"/>
      </w:pPr>
    </w:p>
    <w:p w:rsidR="00902C4B" w:rsidRPr="00FB07CE" w:rsidRDefault="00902C4B" w:rsidP="00902C4B">
      <w:pPr>
        <w:ind w:left="567"/>
        <w:jc w:val="center"/>
        <w:rPr>
          <w:b/>
        </w:rPr>
      </w:pPr>
      <w:r w:rsidRPr="00FB07CE">
        <w:rPr>
          <w:b/>
        </w:rPr>
        <w:t xml:space="preserve">4. </w:t>
      </w:r>
      <w:r>
        <w:rPr>
          <w:b/>
        </w:rPr>
        <w:t>Seldwyla</w:t>
      </w:r>
      <w:r w:rsidRPr="00FB07CE">
        <w:rPr>
          <w:b/>
        </w:rPr>
        <w:t>-Grundbuchblatt Nr. 835-2</w:t>
      </w:r>
    </w:p>
    <w:p w:rsidR="00902C4B" w:rsidRPr="00FB07CE" w:rsidRDefault="00902C4B" w:rsidP="00902C4B">
      <w:pPr>
        <w:ind w:left="567"/>
      </w:pPr>
    </w:p>
    <w:p w:rsidR="00902C4B" w:rsidRPr="00FB07CE" w:rsidRDefault="00902C4B" w:rsidP="00902C4B">
      <w:pPr>
        <w:ind w:left="567"/>
      </w:pPr>
      <w:r w:rsidRPr="00FB07CE">
        <w:t>½ Miteigentum an Nr. 835</w:t>
      </w:r>
    </w:p>
    <w:p w:rsidR="00902C4B" w:rsidRPr="00FB07CE" w:rsidRDefault="00902C4B" w:rsidP="00902C4B">
      <w:pPr>
        <w:ind w:left="567"/>
      </w:pPr>
    </w:p>
    <w:p w:rsidR="00902C4B" w:rsidRPr="00FB07CE" w:rsidRDefault="00902C4B" w:rsidP="00902C4B">
      <w:pPr>
        <w:ind w:left="567"/>
        <w:rPr>
          <w:b/>
        </w:rPr>
      </w:pPr>
      <w:r w:rsidRPr="00FB07CE">
        <w:rPr>
          <w:b/>
        </w:rPr>
        <w:t>Erwerbtitel</w:t>
      </w:r>
    </w:p>
    <w:p w:rsidR="00902C4B" w:rsidRPr="00FB07CE" w:rsidRDefault="00902C4B" w:rsidP="00902C4B">
      <w:pPr>
        <w:ind w:left="567"/>
      </w:pPr>
      <w:r w:rsidRPr="00FB07CE">
        <w:t xml:space="preserve">Handänderung, eingetragen 19.1.1999 </w:t>
      </w:r>
    </w:p>
    <w:p w:rsidR="00902C4B" w:rsidRPr="00FB07CE" w:rsidRDefault="00902C4B" w:rsidP="00902C4B">
      <w:pPr>
        <w:ind w:left="567"/>
      </w:pPr>
      <w:r w:rsidRPr="00FB07CE">
        <w:t xml:space="preserve">Kauf, eingetragen 31.3.1994 </w:t>
      </w:r>
    </w:p>
    <w:p w:rsidR="00902C4B" w:rsidRPr="00FB07CE" w:rsidRDefault="00902C4B" w:rsidP="00902C4B">
      <w:pPr>
        <w:ind w:left="567"/>
      </w:pPr>
      <w:r w:rsidRPr="00FB07CE">
        <w:t xml:space="preserve">Kauf, eingetragen 21.1.1983 </w:t>
      </w:r>
    </w:p>
    <w:p w:rsidR="00902C4B" w:rsidRPr="00FB07CE" w:rsidRDefault="00902C4B" w:rsidP="00902C4B">
      <w:pPr>
        <w:ind w:left="567"/>
      </w:pPr>
    </w:p>
    <w:p w:rsidR="00902C4B" w:rsidRPr="00FB07CE" w:rsidRDefault="00902C4B" w:rsidP="00902C4B">
      <w:pPr>
        <w:ind w:left="567"/>
        <w:rPr>
          <w:b/>
        </w:rPr>
      </w:pPr>
      <w:r w:rsidRPr="00FB07CE">
        <w:rPr>
          <w:b/>
        </w:rPr>
        <w:t>Dienstbarkeiten, Grundlasten und Anmerkungen</w:t>
      </w:r>
    </w:p>
    <w:p w:rsidR="00902C4B" w:rsidRPr="00FB07CE" w:rsidRDefault="00902C4B" w:rsidP="00902C4B">
      <w:pPr>
        <w:tabs>
          <w:tab w:val="left" w:pos="1560"/>
          <w:tab w:val="left" w:pos="1843"/>
        </w:tabs>
        <w:ind w:left="567"/>
      </w:pPr>
      <w:r w:rsidRPr="00FB07CE">
        <w:t>Keine</w:t>
      </w:r>
    </w:p>
    <w:p w:rsidR="00902C4B" w:rsidRPr="00FB07CE" w:rsidRDefault="00902C4B" w:rsidP="00902C4B">
      <w:pPr>
        <w:ind w:left="567"/>
      </w:pPr>
    </w:p>
    <w:p w:rsidR="00902C4B" w:rsidRPr="00FB07CE" w:rsidRDefault="00902C4B" w:rsidP="00902C4B">
      <w:pPr>
        <w:ind w:left="567"/>
        <w:rPr>
          <w:b/>
        </w:rPr>
      </w:pPr>
      <w:r w:rsidRPr="00FB07CE">
        <w:rPr>
          <w:b/>
        </w:rPr>
        <w:t>Grundpfandrechte</w:t>
      </w:r>
      <w:r>
        <w:rPr>
          <w:b/>
        </w:rPr>
        <w:t xml:space="preserve"> und Vormerkungen</w:t>
      </w:r>
    </w:p>
    <w:p w:rsidR="00902C4B" w:rsidRPr="00FB07CE" w:rsidRDefault="00902C4B" w:rsidP="00902C4B">
      <w:pPr>
        <w:ind w:left="567"/>
      </w:pPr>
      <w:r w:rsidRPr="00FB07CE">
        <w:t>wie Nr. 483-2</w:t>
      </w:r>
    </w:p>
    <w:p w:rsidR="00902C4B" w:rsidRPr="00FB07CE" w:rsidRDefault="00902C4B" w:rsidP="00902C4B">
      <w:pPr>
        <w:ind w:left="567"/>
      </w:pPr>
    </w:p>
    <w:p w:rsidR="00902C4B" w:rsidRDefault="00902C4B" w:rsidP="00902C4B">
      <w:pPr>
        <w:ind w:left="567"/>
      </w:pPr>
    </w:p>
    <w:p w:rsidR="00902C4B" w:rsidRPr="00FB07CE" w:rsidRDefault="00902C4B" w:rsidP="00902C4B">
      <w:pPr>
        <w:ind w:left="567"/>
      </w:pPr>
    </w:p>
    <w:p w:rsidR="00902C4B" w:rsidRPr="00FB07CE" w:rsidRDefault="00902C4B" w:rsidP="00902C4B">
      <w:pPr>
        <w:ind w:left="567" w:hanging="567"/>
      </w:pPr>
      <w:r w:rsidRPr="00FB07CE">
        <w:t>3.</w:t>
      </w:r>
      <w:r w:rsidRPr="00FB07CE">
        <w:tab/>
        <w:t xml:space="preserve">Beschreibung der </w:t>
      </w:r>
      <w:r w:rsidRPr="00396087">
        <w:rPr>
          <w:b/>
        </w:rPr>
        <w:t>Hauptblätter</w:t>
      </w:r>
      <w:r w:rsidRPr="00FB07CE">
        <w:t>:</w:t>
      </w:r>
    </w:p>
    <w:p w:rsidR="00902C4B" w:rsidRPr="00FB07CE" w:rsidRDefault="00902C4B" w:rsidP="00902C4B">
      <w:pPr>
        <w:tabs>
          <w:tab w:val="right" w:pos="8222"/>
        </w:tabs>
        <w:ind w:left="567"/>
      </w:pPr>
    </w:p>
    <w:p w:rsidR="00902C4B" w:rsidRPr="00FB07CE" w:rsidRDefault="00902C4B" w:rsidP="00902C4B">
      <w:pPr>
        <w:tabs>
          <w:tab w:val="right" w:pos="8222"/>
        </w:tabs>
        <w:ind w:left="567"/>
      </w:pPr>
    </w:p>
    <w:p w:rsidR="00902C4B" w:rsidRPr="00FB07CE" w:rsidRDefault="00902C4B" w:rsidP="00902C4B">
      <w:pPr>
        <w:ind w:left="567"/>
        <w:jc w:val="center"/>
        <w:rPr>
          <w:b/>
        </w:rPr>
      </w:pPr>
      <w:r w:rsidRPr="00FB07CE">
        <w:rPr>
          <w:b/>
        </w:rPr>
        <w:t xml:space="preserve">1. </w:t>
      </w:r>
      <w:r>
        <w:rPr>
          <w:b/>
        </w:rPr>
        <w:t>Seldwyla</w:t>
      </w:r>
      <w:r w:rsidRPr="00FB07CE">
        <w:rPr>
          <w:b/>
        </w:rPr>
        <w:t>-Grundbuchblatt Nr. 483</w:t>
      </w:r>
    </w:p>
    <w:p w:rsidR="00902C4B" w:rsidRPr="00FB07CE" w:rsidRDefault="00902C4B" w:rsidP="00902C4B">
      <w:pPr>
        <w:ind w:left="567"/>
      </w:pPr>
    </w:p>
    <w:p w:rsidR="00902C4B" w:rsidRPr="00FB07CE" w:rsidRDefault="00902C4B" w:rsidP="00902C4B">
      <w:pPr>
        <w:ind w:left="567"/>
      </w:pPr>
      <w:r w:rsidRPr="00FB07CE">
        <w:t>2'187 m</w:t>
      </w:r>
      <w:r w:rsidRPr="00FB07CE">
        <w:rPr>
          <w:vertAlign w:val="superscript"/>
        </w:rPr>
        <w:t>2</w:t>
      </w:r>
      <w:r w:rsidRPr="00FB07CE">
        <w:t xml:space="preserve"> Acker, Wiese, Weide, Gartenanlage, Hofraum, </w:t>
      </w:r>
      <w:proofErr w:type="spellStart"/>
      <w:r>
        <w:t>Kuhweid</w:t>
      </w:r>
      <w:proofErr w:type="spellEnd"/>
      <w:r w:rsidRPr="00FB07CE">
        <w:t>, Plan 2168</w:t>
      </w:r>
    </w:p>
    <w:p w:rsidR="00902C4B" w:rsidRPr="00FB07CE" w:rsidRDefault="00902C4B" w:rsidP="00902C4B">
      <w:pPr>
        <w:ind w:left="567"/>
      </w:pPr>
    </w:p>
    <w:p w:rsidR="00902C4B" w:rsidRPr="00FB07CE" w:rsidRDefault="00902C4B" w:rsidP="00902C4B">
      <w:pPr>
        <w:ind w:left="567"/>
        <w:rPr>
          <w:b/>
        </w:rPr>
      </w:pPr>
      <w:r w:rsidRPr="00FB07CE">
        <w:rPr>
          <w:b/>
        </w:rPr>
        <w:t>Dienstbarkeiten</w:t>
      </w:r>
    </w:p>
    <w:p w:rsidR="00902C4B" w:rsidRPr="00FB07CE" w:rsidRDefault="00902C4B" w:rsidP="00902C4B">
      <w:pPr>
        <w:tabs>
          <w:tab w:val="left" w:pos="1560"/>
          <w:tab w:val="left" w:pos="1843"/>
        </w:tabs>
        <w:ind w:left="567"/>
      </w:pPr>
      <w:r w:rsidRPr="00FB07CE">
        <w:t>Rechte:</w:t>
      </w:r>
      <w:r w:rsidRPr="00FB07CE">
        <w:tab/>
        <w:t>-</w:t>
      </w:r>
      <w:r w:rsidRPr="00FB07CE">
        <w:tab/>
        <w:t>Fahrwegrecht zL 470</w:t>
      </w:r>
    </w:p>
    <w:p w:rsidR="00902C4B" w:rsidRPr="00FB07CE" w:rsidRDefault="00902C4B" w:rsidP="00902C4B">
      <w:pPr>
        <w:tabs>
          <w:tab w:val="left" w:pos="1560"/>
          <w:tab w:val="left" w:pos="1843"/>
        </w:tabs>
        <w:ind w:left="567"/>
      </w:pPr>
      <w:r w:rsidRPr="00FB07CE">
        <w:tab/>
        <w:t>-</w:t>
      </w:r>
      <w:r w:rsidRPr="00FB07CE">
        <w:tab/>
        <w:t>Fahrwegrecht zL 476</w:t>
      </w:r>
    </w:p>
    <w:p w:rsidR="00902C4B" w:rsidRPr="00FB07CE" w:rsidRDefault="00902C4B" w:rsidP="00902C4B">
      <w:pPr>
        <w:tabs>
          <w:tab w:val="left" w:pos="1560"/>
          <w:tab w:val="left" w:pos="1843"/>
        </w:tabs>
        <w:ind w:left="567"/>
      </w:pPr>
      <w:r w:rsidRPr="00FB07CE">
        <w:t>Lasten:</w:t>
      </w:r>
      <w:r w:rsidRPr="00FB07CE">
        <w:tab/>
      </w:r>
      <w:r w:rsidRPr="00FB07CE">
        <w:tab/>
        <w:t>Keine</w:t>
      </w:r>
    </w:p>
    <w:p w:rsidR="00902C4B" w:rsidRPr="00FB07CE" w:rsidRDefault="00902C4B" w:rsidP="00902C4B">
      <w:pPr>
        <w:ind w:left="567"/>
      </w:pPr>
    </w:p>
    <w:p w:rsidR="00902C4B" w:rsidRPr="00FB07CE" w:rsidRDefault="00902C4B" w:rsidP="00902C4B">
      <w:pPr>
        <w:ind w:left="567"/>
        <w:rPr>
          <w:b/>
        </w:rPr>
      </w:pPr>
      <w:r w:rsidRPr="00FB07CE">
        <w:rPr>
          <w:b/>
        </w:rPr>
        <w:t>Grundlasten und Vormerkungen</w:t>
      </w:r>
    </w:p>
    <w:p w:rsidR="00902C4B" w:rsidRPr="00FB07CE" w:rsidRDefault="00902C4B" w:rsidP="00902C4B">
      <w:pPr>
        <w:tabs>
          <w:tab w:val="left" w:pos="1560"/>
          <w:tab w:val="left" w:pos="1843"/>
        </w:tabs>
        <w:ind w:left="567"/>
      </w:pPr>
      <w:r w:rsidRPr="00FB07CE">
        <w:t>Keine</w:t>
      </w:r>
    </w:p>
    <w:p w:rsidR="00902C4B" w:rsidRPr="00FB07CE" w:rsidRDefault="00902C4B" w:rsidP="00902C4B">
      <w:pPr>
        <w:ind w:left="567"/>
      </w:pPr>
    </w:p>
    <w:p w:rsidR="00902C4B" w:rsidRPr="00FB07CE" w:rsidRDefault="00902C4B" w:rsidP="00902C4B">
      <w:pPr>
        <w:ind w:left="567"/>
        <w:rPr>
          <w:b/>
        </w:rPr>
      </w:pPr>
      <w:r w:rsidRPr="00FB07CE">
        <w:rPr>
          <w:b/>
        </w:rPr>
        <w:t>Grundpfandrechte</w:t>
      </w:r>
    </w:p>
    <w:p w:rsidR="00902C4B" w:rsidRPr="00FB07CE" w:rsidRDefault="00902C4B" w:rsidP="00902C4B">
      <w:pPr>
        <w:tabs>
          <w:tab w:val="left" w:pos="851"/>
          <w:tab w:val="left" w:pos="1701"/>
          <w:tab w:val="decimal" w:pos="3119"/>
          <w:tab w:val="left" w:pos="3544"/>
        </w:tabs>
        <w:ind w:left="3544" w:hanging="2977"/>
      </w:pPr>
      <w:r w:rsidRPr="00FB07CE">
        <w:t>1.</w:t>
      </w:r>
      <w:r w:rsidRPr="00FB07CE">
        <w:tab/>
        <w:t>Rang:</w:t>
      </w:r>
      <w:r w:rsidRPr="00FB07CE">
        <w:tab/>
        <w:t>Fr.</w:t>
      </w:r>
      <w:r w:rsidRPr="00FB07CE">
        <w:tab/>
        <w:t>10'000.—</w:t>
      </w:r>
      <w:r w:rsidRPr="00FB07CE">
        <w:tab/>
        <w:t xml:space="preserve">5% Schuldbrief </w:t>
      </w:r>
      <w:r>
        <w:t xml:space="preserve">(Pfandobligation) </w:t>
      </w:r>
      <w:r w:rsidRPr="00FB07CE">
        <w:t xml:space="preserve">vom 05.12.1871, Beleg 13/195, zG </w:t>
      </w:r>
      <w:r>
        <w:t>BEKB (Gesamtpfandrecht auf Nrn. 482, 483, 484, 835)</w:t>
      </w:r>
    </w:p>
    <w:p w:rsidR="00902C4B" w:rsidRPr="00FB07CE" w:rsidRDefault="00902C4B" w:rsidP="00902C4B">
      <w:pPr>
        <w:tabs>
          <w:tab w:val="left" w:pos="851"/>
          <w:tab w:val="left" w:pos="1701"/>
          <w:tab w:val="decimal" w:pos="3119"/>
          <w:tab w:val="left" w:pos="3544"/>
        </w:tabs>
        <w:ind w:left="3544" w:hanging="2977"/>
      </w:pPr>
      <w:r w:rsidRPr="00FB07CE">
        <w:t>2.</w:t>
      </w:r>
      <w:r w:rsidRPr="00FB07CE">
        <w:tab/>
        <w:t>Rang:</w:t>
      </w:r>
      <w:r w:rsidRPr="00FB07CE">
        <w:tab/>
        <w:t>Fr.</w:t>
      </w:r>
      <w:r w:rsidRPr="00FB07CE">
        <w:tab/>
        <w:t>10'000.—</w:t>
      </w:r>
      <w:r w:rsidRPr="00FB07CE">
        <w:tab/>
        <w:t xml:space="preserve">6,5% Schuldbrief vom 05.04.1938, Beleg II/2364, zG </w:t>
      </w:r>
      <w:r>
        <w:t>BEKB</w:t>
      </w:r>
    </w:p>
    <w:p w:rsidR="00902C4B" w:rsidRPr="00FB07CE" w:rsidRDefault="00902C4B" w:rsidP="00902C4B">
      <w:pPr>
        <w:tabs>
          <w:tab w:val="left" w:pos="851"/>
          <w:tab w:val="left" w:pos="1701"/>
          <w:tab w:val="decimal" w:pos="3119"/>
          <w:tab w:val="left" w:pos="3544"/>
        </w:tabs>
        <w:ind w:left="3544" w:hanging="2977"/>
      </w:pPr>
      <w:r w:rsidRPr="00FB07CE">
        <w:t>3.</w:t>
      </w:r>
      <w:r w:rsidRPr="00FB07CE">
        <w:tab/>
        <w:t>Rang:</w:t>
      </w:r>
      <w:r w:rsidRPr="00FB07CE">
        <w:tab/>
        <w:t>Fr.</w:t>
      </w:r>
      <w:r w:rsidRPr="00FB07CE">
        <w:tab/>
        <w:t>20'000.—</w:t>
      </w:r>
      <w:r w:rsidRPr="00FB07CE">
        <w:tab/>
        <w:t xml:space="preserve">6% Schuldbrief vom 27.07.1949, Beleg E III/2710, zG </w:t>
      </w:r>
      <w:r>
        <w:t>BEKB</w:t>
      </w:r>
    </w:p>
    <w:p w:rsidR="00902C4B" w:rsidRDefault="00902C4B" w:rsidP="00902C4B">
      <w:pPr>
        <w:tabs>
          <w:tab w:val="left" w:pos="851"/>
          <w:tab w:val="left" w:pos="1701"/>
          <w:tab w:val="decimal" w:pos="3119"/>
          <w:tab w:val="left" w:pos="3544"/>
        </w:tabs>
        <w:ind w:left="3544" w:hanging="2977"/>
      </w:pPr>
      <w:r w:rsidRPr="00FB07CE">
        <w:lastRenderedPageBreak/>
        <w:t>4.</w:t>
      </w:r>
      <w:r w:rsidRPr="00FB07CE">
        <w:tab/>
        <w:t>Rang:</w:t>
      </w:r>
      <w:r w:rsidRPr="00FB07CE">
        <w:tab/>
        <w:t>Fr.</w:t>
      </w:r>
      <w:r w:rsidRPr="00FB07CE">
        <w:tab/>
        <w:t>70'000.—</w:t>
      </w:r>
      <w:r w:rsidRPr="00FB07CE">
        <w:tab/>
        <w:t xml:space="preserve">6% Schuldbrief vom 29.11.1979, Beleg 1979/3074/0, zG </w:t>
      </w:r>
      <w:r>
        <w:t xml:space="preserve">Raiffeisenbank </w:t>
      </w:r>
      <w:proofErr w:type="spellStart"/>
      <w:r>
        <w:t>Bernerland</w:t>
      </w:r>
      <w:proofErr w:type="spellEnd"/>
    </w:p>
    <w:p w:rsidR="00902C4B" w:rsidRPr="00FB07CE" w:rsidRDefault="00902C4B" w:rsidP="00902C4B">
      <w:pPr>
        <w:tabs>
          <w:tab w:val="left" w:pos="851"/>
          <w:tab w:val="left" w:pos="1701"/>
          <w:tab w:val="decimal" w:pos="3119"/>
          <w:tab w:val="left" w:pos="3544"/>
        </w:tabs>
        <w:ind w:left="3544" w:hanging="2977"/>
      </w:pPr>
      <w:r>
        <w:tab/>
      </w:r>
      <w:r>
        <w:tab/>
      </w:r>
      <w:r>
        <w:tab/>
      </w:r>
      <w:r>
        <w:tab/>
        <w:t>(die drei letzteren Gesamtpfandrechte auf Nrn. 474-1, 474-3, 475-1, 475-3, 482, 483, 484, 835)</w:t>
      </w:r>
    </w:p>
    <w:p w:rsidR="00902C4B" w:rsidRPr="00FB07CE" w:rsidRDefault="00902C4B" w:rsidP="00902C4B">
      <w:pPr>
        <w:ind w:left="567"/>
      </w:pPr>
    </w:p>
    <w:p w:rsidR="00902C4B" w:rsidRPr="00FB07CE" w:rsidRDefault="00902C4B" w:rsidP="00902C4B">
      <w:pPr>
        <w:ind w:left="567"/>
        <w:rPr>
          <w:b/>
        </w:rPr>
      </w:pPr>
      <w:r w:rsidRPr="00FB07CE">
        <w:rPr>
          <w:b/>
        </w:rPr>
        <w:t>Anmerkungen</w:t>
      </w:r>
    </w:p>
    <w:p w:rsidR="00902C4B" w:rsidRPr="00FB07CE" w:rsidRDefault="00902C4B" w:rsidP="00902C4B">
      <w:pPr>
        <w:ind w:left="567"/>
      </w:pPr>
      <w:r w:rsidRPr="00FB07CE">
        <w:t>Miteigentumsanteile verpfändet</w:t>
      </w:r>
    </w:p>
    <w:p w:rsidR="00902C4B" w:rsidRPr="00FB07CE" w:rsidRDefault="00902C4B" w:rsidP="00902C4B">
      <w:pPr>
        <w:ind w:left="567"/>
      </w:pPr>
      <w:r w:rsidRPr="00FB07CE">
        <w:t>Landwirtschaftlicher Hochbau</w:t>
      </w:r>
      <w:r>
        <w:t xml:space="preserve"> Nr. 11707, Gebäuderationalisierungen; </w:t>
      </w:r>
      <w:r w:rsidRPr="00FB07CE">
        <w:t>Bewilligung</w:t>
      </w:r>
      <w:r w:rsidRPr="00FB07CE">
        <w:t>s</w:t>
      </w:r>
      <w:r w:rsidRPr="00FB07CE">
        <w:t>pflicht für Handänderungen bis 31.12.2019</w:t>
      </w:r>
    </w:p>
    <w:p w:rsidR="00902C4B" w:rsidRPr="00FB07CE" w:rsidRDefault="00902C4B" w:rsidP="00902C4B">
      <w:pPr>
        <w:ind w:left="567"/>
      </w:pPr>
      <w:r w:rsidRPr="00FB07CE">
        <w:t>Rückerstattungspflicht gemäss IBG bis 15.1.2023</w:t>
      </w:r>
    </w:p>
    <w:p w:rsidR="00902C4B" w:rsidRPr="00FB07CE" w:rsidRDefault="00902C4B" w:rsidP="00902C4B">
      <w:pPr>
        <w:tabs>
          <w:tab w:val="right" w:pos="8222"/>
        </w:tabs>
        <w:ind w:left="567"/>
      </w:pPr>
    </w:p>
    <w:p w:rsidR="00902C4B" w:rsidRPr="00FB07CE" w:rsidRDefault="00902C4B" w:rsidP="00902C4B">
      <w:pPr>
        <w:tabs>
          <w:tab w:val="right" w:pos="8222"/>
        </w:tabs>
        <w:ind w:left="567"/>
      </w:pPr>
    </w:p>
    <w:p w:rsidR="00902C4B" w:rsidRPr="00FB07CE" w:rsidRDefault="00902C4B" w:rsidP="00902C4B">
      <w:pPr>
        <w:ind w:left="567"/>
        <w:jc w:val="center"/>
        <w:rPr>
          <w:b/>
        </w:rPr>
      </w:pPr>
      <w:r w:rsidRPr="00FB07CE">
        <w:rPr>
          <w:b/>
        </w:rPr>
        <w:t xml:space="preserve">2. </w:t>
      </w:r>
      <w:r>
        <w:rPr>
          <w:b/>
        </w:rPr>
        <w:t>Seldwyla</w:t>
      </w:r>
      <w:r w:rsidRPr="00FB07CE">
        <w:rPr>
          <w:b/>
        </w:rPr>
        <w:t>-Grundbuchblatt Nr. 835</w:t>
      </w:r>
    </w:p>
    <w:p w:rsidR="00902C4B" w:rsidRPr="00FB07CE" w:rsidRDefault="00902C4B" w:rsidP="00902C4B">
      <w:pPr>
        <w:ind w:left="567"/>
      </w:pPr>
    </w:p>
    <w:p w:rsidR="00902C4B" w:rsidRPr="00FB07CE" w:rsidRDefault="00902C4B" w:rsidP="00902C4B">
      <w:pPr>
        <w:ind w:left="567"/>
      </w:pPr>
      <w:r w:rsidRPr="00FB07CE">
        <w:t>4'502 m</w:t>
      </w:r>
      <w:r w:rsidRPr="00FB07CE">
        <w:rPr>
          <w:vertAlign w:val="superscript"/>
        </w:rPr>
        <w:t>2</w:t>
      </w:r>
      <w:r w:rsidRPr="00FB07CE">
        <w:t xml:space="preserve"> Strasse, Weg, Acker, Wiese, Weide, </w:t>
      </w:r>
      <w:proofErr w:type="spellStart"/>
      <w:r>
        <w:t>Kuhweid</w:t>
      </w:r>
      <w:proofErr w:type="spellEnd"/>
      <w:r w:rsidRPr="00FB07CE">
        <w:t>, Plan 2179</w:t>
      </w:r>
    </w:p>
    <w:p w:rsidR="00902C4B" w:rsidRPr="00FB07CE" w:rsidRDefault="00902C4B" w:rsidP="00902C4B">
      <w:pPr>
        <w:ind w:left="567"/>
      </w:pPr>
    </w:p>
    <w:p w:rsidR="00902C4B" w:rsidRPr="00FB07CE" w:rsidRDefault="00902C4B" w:rsidP="00902C4B">
      <w:pPr>
        <w:ind w:left="567"/>
        <w:rPr>
          <w:b/>
        </w:rPr>
      </w:pPr>
      <w:r w:rsidRPr="00FB07CE">
        <w:rPr>
          <w:b/>
        </w:rPr>
        <w:t>Dienstbarkeiten</w:t>
      </w:r>
    </w:p>
    <w:p w:rsidR="00902C4B" w:rsidRPr="00FB07CE" w:rsidRDefault="00902C4B" w:rsidP="00902C4B">
      <w:pPr>
        <w:tabs>
          <w:tab w:val="left" w:pos="1560"/>
          <w:tab w:val="left" w:pos="1843"/>
        </w:tabs>
        <w:ind w:left="567"/>
      </w:pPr>
      <w:r w:rsidRPr="00FB07CE">
        <w:t>Rechte:</w:t>
      </w:r>
      <w:r w:rsidRPr="00FB07CE">
        <w:tab/>
      </w:r>
      <w:r w:rsidRPr="00FB07CE">
        <w:tab/>
        <w:t>Keine</w:t>
      </w:r>
    </w:p>
    <w:p w:rsidR="00902C4B" w:rsidRPr="00FB07CE" w:rsidRDefault="00902C4B" w:rsidP="00902C4B">
      <w:pPr>
        <w:tabs>
          <w:tab w:val="left" w:pos="1560"/>
          <w:tab w:val="left" w:pos="1843"/>
        </w:tabs>
        <w:ind w:left="567"/>
      </w:pPr>
      <w:r w:rsidRPr="00FB07CE">
        <w:t>Lasten:</w:t>
      </w:r>
      <w:r w:rsidRPr="00FB07CE">
        <w:tab/>
        <w:t>-</w:t>
      </w:r>
      <w:r w:rsidRPr="00FB07CE">
        <w:tab/>
        <w:t>SDR Quellenrecht zG 764</w:t>
      </w:r>
    </w:p>
    <w:p w:rsidR="00902C4B" w:rsidRPr="00FB07CE" w:rsidRDefault="00902C4B" w:rsidP="00902C4B">
      <w:pPr>
        <w:tabs>
          <w:tab w:val="left" w:pos="1560"/>
          <w:tab w:val="left" w:pos="1843"/>
        </w:tabs>
        <w:ind w:left="567"/>
      </w:pPr>
      <w:r w:rsidRPr="00FB07CE">
        <w:tab/>
        <w:t>-</w:t>
      </w:r>
      <w:r w:rsidRPr="00FB07CE">
        <w:tab/>
        <w:t>Zu- und Ausfahrtsrecht zG 834</w:t>
      </w:r>
    </w:p>
    <w:p w:rsidR="00902C4B" w:rsidRPr="00FB07CE" w:rsidRDefault="00902C4B" w:rsidP="00902C4B">
      <w:pPr>
        <w:tabs>
          <w:tab w:val="left" w:pos="1560"/>
          <w:tab w:val="left" w:pos="1843"/>
        </w:tabs>
        <w:ind w:left="567"/>
      </w:pPr>
      <w:r w:rsidRPr="00FB07CE">
        <w:tab/>
        <w:t>-</w:t>
      </w:r>
      <w:r w:rsidRPr="00FB07CE">
        <w:tab/>
        <w:t>Landwirtschaftliches Fuss- und Fahrwegrecht zG Linden 2199</w:t>
      </w:r>
    </w:p>
    <w:p w:rsidR="00902C4B" w:rsidRPr="00FB07CE" w:rsidRDefault="00902C4B" w:rsidP="00902C4B">
      <w:pPr>
        <w:ind w:left="567"/>
      </w:pPr>
    </w:p>
    <w:p w:rsidR="00902C4B" w:rsidRPr="00FB07CE" w:rsidRDefault="00902C4B" w:rsidP="00902C4B">
      <w:pPr>
        <w:ind w:left="567"/>
        <w:rPr>
          <w:b/>
        </w:rPr>
      </w:pPr>
      <w:r w:rsidRPr="00FB07CE">
        <w:rPr>
          <w:b/>
        </w:rPr>
        <w:t>Grundlasten, Vormerkungen</w:t>
      </w:r>
    </w:p>
    <w:p w:rsidR="00902C4B" w:rsidRPr="00FB07CE" w:rsidRDefault="00902C4B" w:rsidP="00902C4B">
      <w:pPr>
        <w:tabs>
          <w:tab w:val="left" w:pos="1560"/>
          <w:tab w:val="left" w:pos="1843"/>
        </w:tabs>
        <w:ind w:left="567"/>
      </w:pPr>
      <w:r w:rsidRPr="00FB07CE">
        <w:t>Keine</w:t>
      </w:r>
    </w:p>
    <w:p w:rsidR="00902C4B" w:rsidRPr="00FB07CE" w:rsidRDefault="00902C4B" w:rsidP="00902C4B">
      <w:pPr>
        <w:ind w:left="567"/>
      </w:pPr>
    </w:p>
    <w:p w:rsidR="00902C4B" w:rsidRPr="00FB07CE" w:rsidRDefault="00902C4B" w:rsidP="00902C4B">
      <w:pPr>
        <w:ind w:left="567"/>
        <w:rPr>
          <w:b/>
        </w:rPr>
      </w:pPr>
      <w:r w:rsidRPr="00FB07CE">
        <w:rPr>
          <w:b/>
        </w:rPr>
        <w:t>Grundpfandrechte</w:t>
      </w:r>
    </w:p>
    <w:p w:rsidR="00902C4B" w:rsidRPr="00FB07CE" w:rsidRDefault="00902C4B" w:rsidP="00902C4B">
      <w:pPr>
        <w:tabs>
          <w:tab w:val="left" w:pos="851"/>
          <w:tab w:val="left" w:pos="1701"/>
          <w:tab w:val="decimal" w:pos="3119"/>
          <w:tab w:val="left" w:pos="3544"/>
        </w:tabs>
        <w:ind w:left="567"/>
      </w:pPr>
      <w:r w:rsidRPr="00FB07CE">
        <w:t>wie Nr. 483</w:t>
      </w:r>
    </w:p>
    <w:p w:rsidR="00902C4B" w:rsidRPr="00FB07CE" w:rsidRDefault="00902C4B" w:rsidP="00902C4B">
      <w:pPr>
        <w:ind w:left="567"/>
      </w:pPr>
    </w:p>
    <w:p w:rsidR="00902C4B" w:rsidRPr="00FB07CE" w:rsidRDefault="00902C4B" w:rsidP="00902C4B">
      <w:pPr>
        <w:ind w:left="567"/>
        <w:rPr>
          <w:b/>
        </w:rPr>
      </w:pPr>
      <w:r w:rsidRPr="00FB07CE">
        <w:rPr>
          <w:b/>
        </w:rPr>
        <w:t>Anmerkungen</w:t>
      </w:r>
    </w:p>
    <w:p w:rsidR="00902C4B" w:rsidRPr="00FB07CE" w:rsidRDefault="00902C4B" w:rsidP="00902C4B">
      <w:pPr>
        <w:ind w:left="567"/>
      </w:pPr>
      <w:r w:rsidRPr="00FB07CE">
        <w:t>Miteigentumsanteile verpfändet</w:t>
      </w:r>
    </w:p>
    <w:p w:rsidR="00902C4B" w:rsidRPr="00FB07CE" w:rsidRDefault="00902C4B" w:rsidP="00902C4B">
      <w:pPr>
        <w:ind w:left="567"/>
      </w:pPr>
      <w:r w:rsidRPr="00FB07CE">
        <w:t>Landwirtschaftlicher Hochbau Nr. 11707, Art. 84 – 89 LG, 23 + 24 VBWG; Gebäuderat</w:t>
      </w:r>
      <w:r w:rsidRPr="00FB07CE">
        <w:t>i</w:t>
      </w:r>
      <w:r w:rsidRPr="00FB07CE">
        <w:t>onalisierungen; Bewilligungspflicht für Handänderungen bis 31.12.2019</w:t>
      </w:r>
    </w:p>
    <w:p w:rsidR="00902C4B" w:rsidRDefault="00902C4B" w:rsidP="00902C4B">
      <w:pPr>
        <w:ind w:left="567"/>
      </w:pPr>
    </w:p>
    <w:p w:rsidR="00902C4B" w:rsidRPr="00FB07CE" w:rsidRDefault="00902C4B" w:rsidP="00902C4B">
      <w:pPr>
        <w:ind w:left="567"/>
      </w:pPr>
    </w:p>
    <w:p w:rsidR="00902C4B" w:rsidRPr="00FB07CE" w:rsidRDefault="00902C4B" w:rsidP="00902C4B">
      <w:pPr>
        <w:tabs>
          <w:tab w:val="right" w:pos="8222"/>
        </w:tabs>
        <w:ind w:left="567"/>
      </w:pPr>
    </w:p>
    <w:p w:rsidR="00902C4B" w:rsidRPr="00FB07CE" w:rsidRDefault="00902C4B" w:rsidP="00902C4B">
      <w:pPr>
        <w:tabs>
          <w:tab w:val="right" w:pos="8222"/>
        </w:tabs>
        <w:ind w:left="567" w:hanging="567"/>
      </w:pPr>
      <w:r>
        <w:t>4</w:t>
      </w:r>
      <w:r w:rsidRPr="00FB07CE">
        <w:t>.</w:t>
      </w:r>
      <w:r w:rsidRPr="00FB07CE">
        <w:tab/>
      </w:r>
      <w:r w:rsidRPr="004339C9">
        <w:rPr>
          <w:b/>
        </w:rPr>
        <w:t>Löschung Vormerkungen</w:t>
      </w:r>
    </w:p>
    <w:p w:rsidR="00902C4B" w:rsidRDefault="00902C4B" w:rsidP="00902C4B">
      <w:pPr>
        <w:ind w:left="567"/>
      </w:pPr>
      <w:r>
        <w:t>Die auf Seldwyla-GB Nrn. 482-1 bis 484-1, 482-2 bis 484-2, 474-1, 474-3, 475-1, 475-3, 835-1 und 835-2 eingetragene Vormerkung „Abänderung des gesetzlichen Vorkauf</w:t>
      </w:r>
      <w:r>
        <w:t>s</w:t>
      </w:r>
      <w:r>
        <w:t>rechts (Miteigentum)“, eingetragen am 21.1.1983, Beleg …, ist im Grundbuch vollstä</w:t>
      </w:r>
      <w:r>
        <w:t>n</w:t>
      </w:r>
      <w:r>
        <w:t>dig zu löschen, wozu hiermit Herr Max Muster seine Einwilligung erteilt.</w:t>
      </w:r>
    </w:p>
    <w:p w:rsidR="00902C4B" w:rsidRDefault="00902C4B" w:rsidP="00902C4B">
      <w:pPr>
        <w:ind w:left="567"/>
      </w:pPr>
      <w:r>
        <w:t>Die auf Seldwyla-GB Nrn. 482-1 bis 484-1, 474-2, 475-2 und 835-1 eingetragene Vo</w:t>
      </w:r>
      <w:r>
        <w:t>r</w:t>
      </w:r>
      <w:r>
        <w:t>merkung „Gewinnanteilsrecht zG der Miterben bis 21.1.2008“, eingetragen am 21.01.1983, Beleg …, ist im Grundbuch infolge Zeitablaufes ganz zu löschen.</w:t>
      </w:r>
    </w:p>
    <w:p w:rsidR="00902C4B" w:rsidRDefault="00902C4B" w:rsidP="00902C4B">
      <w:pPr>
        <w:ind w:left="567"/>
      </w:pPr>
      <w:r>
        <w:t>Die auf Seldwyla-GB Nrn. 482-2 bis 484-2, 474-1, 475-1 und 835-2 eingetragene Vo</w:t>
      </w:r>
      <w:r>
        <w:t>r</w:t>
      </w:r>
      <w:r>
        <w:t>merkung „Limitiertes Vorkaufsrecht bis 31.3.2004 zG Muster Heinz“, eingetragen am 31.03.1994, Beleg …, ist im Grundbuch infolge Zeitablaufes ganz zu löschen.</w:t>
      </w:r>
    </w:p>
    <w:p w:rsidR="00902C4B" w:rsidRPr="00FB07CE" w:rsidRDefault="00902C4B" w:rsidP="00902C4B">
      <w:pPr>
        <w:ind w:left="567"/>
      </w:pPr>
    </w:p>
    <w:p w:rsidR="00902C4B" w:rsidRPr="00FB07CE" w:rsidRDefault="00902C4B">
      <w:pPr>
        <w:tabs>
          <w:tab w:val="right" w:pos="8222"/>
        </w:tabs>
        <w:ind w:left="567"/>
      </w:pPr>
    </w:p>
    <w:p w:rsidR="00902C4B" w:rsidRPr="00FB07CE" w:rsidRDefault="00902C4B">
      <w:pPr>
        <w:tabs>
          <w:tab w:val="right" w:pos="8222"/>
        </w:tabs>
        <w:ind w:left="567"/>
      </w:pPr>
    </w:p>
    <w:p w:rsidR="00902C4B" w:rsidRPr="00934A46" w:rsidRDefault="00902C4B">
      <w:pPr>
        <w:tabs>
          <w:tab w:val="right" w:pos="8222"/>
        </w:tabs>
        <w:ind w:left="567"/>
        <w:rPr>
          <w:b/>
          <w:sz w:val="28"/>
          <w:szCs w:val="28"/>
        </w:rPr>
      </w:pPr>
      <w:r w:rsidRPr="00934A46">
        <w:rPr>
          <w:b/>
          <w:sz w:val="28"/>
          <w:szCs w:val="28"/>
        </w:rPr>
        <w:t>II. Tausch</w:t>
      </w:r>
    </w:p>
    <w:p w:rsidR="00902C4B" w:rsidRPr="00FB07CE" w:rsidRDefault="00902C4B">
      <w:pPr>
        <w:tabs>
          <w:tab w:val="right" w:pos="8222"/>
        </w:tabs>
        <w:ind w:left="567"/>
      </w:pPr>
    </w:p>
    <w:p w:rsidR="00902C4B" w:rsidRPr="00FB07CE" w:rsidRDefault="00902C4B" w:rsidP="00902C4B">
      <w:pPr>
        <w:ind w:left="567" w:hanging="567"/>
      </w:pPr>
      <w:r w:rsidRPr="00FB07CE">
        <w:t>1.</w:t>
      </w:r>
      <w:r w:rsidRPr="00FB07CE">
        <w:tab/>
      </w:r>
      <w:r w:rsidRPr="00FB07CE">
        <w:rPr>
          <w:b/>
        </w:rPr>
        <w:t>Vereinigung Nr. 483 mit Nr. 470</w:t>
      </w:r>
    </w:p>
    <w:p w:rsidR="00902C4B" w:rsidRPr="00FB07CE" w:rsidRDefault="00902C4B" w:rsidP="00902C4B">
      <w:pPr>
        <w:tabs>
          <w:tab w:val="right" w:pos="8647"/>
        </w:tabs>
        <w:ind w:left="567"/>
      </w:pPr>
      <w:r w:rsidRPr="00FB07CE">
        <w:t xml:space="preserve">Herr </w:t>
      </w:r>
      <w:r>
        <w:t>Max Muster</w:t>
      </w:r>
      <w:r w:rsidRPr="00FB07CE">
        <w:t xml:space="preserve"> überträgt dem Herrn </w:t>
      </w:r>
      <w:r>
        <w:t>Hans Moser</w:t>
      </w:r>
      <w:r w:rsidRPr="00FB07CE">
        <w:t xml:space="preserve"> tauschweise sein</w:t>
      </w:r>
    </w:p>
    <w:p w:rsidR="00902C4B" w:rsidRPr="00FB07CE" w:rsidRDefault="00902C4B" w:rsidP="00902C4B">
      <w:pPr>
        <w:tabs>
          <w:tab w:val="right" w:pos="8647"/>
        </w:tabs>
        <w:ind w:left="567"/>
      </w:pPr>
      <w:r w:rsidRPr="00FB07CE">
        <w:t xml:space="preserve">Grundstück Nr. 483 im Halte von </w:t>
      </w:r>
      <w:r w:rsidRPr="00FB07CE">
        <w:tab/>
        <w:t>2'187 m</w:t>
      </w:r>
      <w:r w:rsidRPr="00FB07CE">
        <w:rPr>
          <w:vertAlign w:val="superscript"/>
        </w:rPr>
        <w:t>2</w:t>
      </w:r>
      <w:r w:rsidRPr="00FB07CE">
        <w:t xml:space="preserve"> Land</w:t>
      </w:r>
    </w:p>
    <w:p w:rsidR="00902C4B" w:rsidRPr="00FB07CE" w:rsidRDefault="00902C4B" w:rsidP="00902C4B">
      <w:pPr>
        <w:tabs>
          <w:tab w:val="right" w:pos="8647"/>
        </w:tabs>
        <w:ind w:left="567"/>
      </w:pPr>
      <w:r w:rsidRPr="00FB07CE">
        <w:t xml:space="preserve">Dieses wird gemäss Plan und Messurkunde zur </w:t>
      </w:r>
      <w:proofErr w:type="spellStart"/>
      <w:r w:rsidRPr="00FB07CE">
        <w:t>Planände</w:t>
      </w:r>
      <w:proofErr w:type="spellEnd"/>
      <w:r w:rsidRPr="00FB07CE">
        <w:t>-</w:t>
      </w:r>
    </w:p>
    <w:p w:rsidR="00902C4B" w:rsidRPr="00FB07CE" w:rsidRDefault="00902C4B" w:rsidP="00902C4B">
      <w:pPr>
        <w:tabs>
          <w:tab w:val="right" w:pos="8647"/>
        </w:tabs>
        <w:ind w:left="567"/>
      </w:pPr>
      <w:proofErr w:type="spellStart"/>
      <w:r w:rsidRPr="00FB07CE">
        <w:t>rung</w:t>
      </w:r>
      <w:proofErr w:type="spellEnd"/>
      <w:r w:rsidRPr="00FB07CE">
        <w:t xml:space="preserve"> Nr. 2007/01 von </w:t>
      </w:r>
      <w:r>
        <w:t>Seldwyla</w:t>
      </w:r>
      <w:r w:rsidRPr="00FB07CE">
        <w:t>, ausgestellt am 21.03.</w:t>
      </w:r>
    </w:p>
    <w:p w:rsidR="00902C4B" w:rsidRDefault="00902C4B" w:rsidP="00902C4B">
      <w:pPr>
        <w:tabs>
          <w:tab w:val="right" w:pos="8647"/>
        </w:tabs>
        <w:ind w:left="567"/>
      </w:pPr>
      <w:r w:rsidRPr="00FB07CE">
        <w:t>2007 durch den Nachführungsgeometer</w:t>
      </w:r>
      <w:r>
        <w:t xml:space="preserve"> von Seldwyla, </w:t>
      </w:r>
      <w:r w:rsidRPr="00FB07CE">
        <w:t xml:space="preserve">mit </w:t>
      </w:r>
    </w:p>
    <w:p w:rsidR="00902C4B" w:rsidRDefault="00902C4B" w:rsidP="00902C4B">
      <w:pPr>
        <w:tabs>
          <w:tab w:val="right" w:pos="8647"/>
        </w:tabs>
        <w:ind w:left="567"/>
      </w:pPr>
      <w:r w:rsidRPr="00FB07CE">
        <w:t xml:space="preserve">dem, dem Herrn </w:t>
      </w:r>
      <w:r>
        <w:t>Hans Moser</w:t>
      </w:r>
      <w:r w:rsidRPr="00FB07CE">
        <w:t xml:space="preserve"> gehörenden Grundstück </w:t>
      </w:r>
    </w:p>
    <w:p w:rsidR="00902C4B" w:rsidRPr="00FB07CE" w:rsidRDefault="00902C4B" w:rsidP="00902C4B">
      <w:pPr>
        <w:tabs>
          <w:tab w:val="right" w:pos="8647"/>
        </w:tabs>
        <w:ind w:left="567"/>
      </w:pPr>
      <w:r w:rsidRPr="00FB07CE">
        <w:t xml:space="preserve">Nr. 470 im Halte von </w:t>
      </w:r>
      <w:r w:rsidRPr="00FB07CE">
        <w:tab/>
      </w:r>
      <w:r w:rsidRPr="00FB07CE">
        <w:rPr>
          <w:u w:val="single"/>
        </w:rPr>
        <w:t>144'240 m</w:t>
      </w:r>
      <w:r w:rsidRPr="00FB07CE">
        <w:rPr>
          <w:u w:val="single"/>
          <w:vertAlign w:val="superscript"/>
        </w:rPr>
        <w:t>2</w:t>
      </w:r>
      <w:r w:rsidRPr="00FB07CE">
        <w:rPr>
          <w:u w:val="single"/>
        </w:rPr>
        <w:t xml:space="preserve"> Land</w:t>
      </w:r>
    </w:p>
    <w:p w:rsidR="00902C4B" w:rsidRPr="00FB07CE" w:rsidRDefault="00902C4B" w:rsidP="00902C4B">
      <w:pPr>
        <w:tabs>
          <w:tab w:val="right" w:pos="8647"/>
        </w:tabs>
        <w:ind w:left="567"/>
      </w:pPr>
      <w:r w:rsidRPr="00FB07CE">
        <w:t>vereinigt, so dass</w:t>
      </w:r>
    </w:p>
    <w:p w:rsidR="00902C4B" w:rsidRPr="00FB07CE" w:rsidRDefault="00902C4B" w:rsidP="00902C4B">
      <w:pPr>
        <w:tabs>
          <w:tab w:val="right" w:pos="8647"/>
        </w:tabs>
        <w:ind w:left="567"/>
      </w:pPr>
      <w:r w:rsidRPr="00FB07CE">
        <w:rPr>
          <w:b/>
        </w:rPr>
        <w:t>Grundstück Nr. 470 neu</w:t>
      </w:r>
      <w:r w:rsidRPr="00FB07CE">
        <w:tab/>
        <w:t>146'427 m</w:t>
      </w:r>
      <w:r w:rsidRPr="00FB07CE">
        <w:rPr>
          <w:vertAlign w:val="superscript"/>
        </w:rPr>
        <w:t>2</w:t>
      </w:r>
      <w:r w:rsidRPr="00FB07CE">
        <w:t xml:space="preserve"> Land</w:t>
      </w:r>
    </w:p>
    <w:p w:rsidR="00902C4B" w:rsidRPr="00FB07CE" w:rsidRDefault="00902C4B" w:rsidP="00902C4B">
      <w:pPr>
        <w:tabs>
          <w:tab w:val="right" w:pos="8647"/>
        </w:tabs>
        <w:ind w:left="567"/>
      </w:pPr>
      <w:r w:rsidRPr="00FB07CE">
        <w:t>hält (Gebäude, Strasse, Weg, Acker, Wiese, Weide, Garten-</w:t>
      </w:r>
      <w:r w:rsidRPr="00FB07CE">
        <w:tab/>
        <w:t>============</w:t>
      </w:r>
    </w:p>
    <w:p w:rsidR="00902C4B" w:rsidRPr="00FB07CE" w:rsidRDefault="00902C4B" w:rsidP="00902C4B">
      <w:pPr>
        <w:tabs>
          <w:tab w:val="right" w:pos="8647"/>
        </w:tabs>
        <w:ind w:left="567"/>
      </w:pPr>
      <w:proofErr w:type="spellStart"/>
      <w:r w:rsidRPr="00FB07CE">
        <w:t>anlage</w:t>
      </w:r>
      <w:proofErr w:type="spellEnd"/>
      <w:r w:rsidRPr="00FB07CE">
        <w:t xml:space="preserve">, Hofraum, fliessendes Gewässer, geschlossener Wald, samt den Gebäuden Nrn. 39, </w:t>
      </w:r>
      <w:proofErr w:type="spellStart"/>
      <w:r w:rsidRPr="00FB07CE">
        <w:t>39A</w:t>
      </w:r>
      <w:proofErr w:type="spellEnd"/>
      <w:r w:rsidRPr="00FB07CE">
        <w:t xml:space="preserve">, </w:t>
      </w:r>
      <w:proofErr w:type="spellStart"/>
      <w:r w:rsidRPr="00FB07CE">
        <w:t>39B</w:t>
      </w:r>
      <w:proofErr w:type="spellEnd"/>
      <w:r w:rsidRPr="00FB07CE">
        <w:t xml:space="preserve">, </w:t>
      </w:r>
      <w:proofErr w:type="spellStart"/>
      <w:r w:rsidRPr="00FB07CE">
        <w:t>39D</w:t>
      </w:r>
      <w:proofErr w:type="spellEnd"/>
      <w:r w:rsidRPr="00FB07CE">
        <w:t xml:space="preserve">, 3 Gebäude n.n., </w:t>
      </w:r>
      <w:proofErr w:type="spellStart"/>
      <w:r>
        <w:t>Kuhweid</w:t>
      </w:r>
      <w:proofErr w:type="spellEnd"/>
      <w:r w:rsidRPr="00FB07CE">
        <w:t>, Plan 2168, …).</w:t>
      </w:r>
    </w:p>
    <w:p w:rsidR="00902C4B" w:rsidRPr="00FB07CE" w:rsidRDefault="00902C4B" w:rsidP="00902C4B">
      <w:pPr>
        <w:tabs>
          <w:tab w:val="right" w:pos="8647"/>
        </w:tabs>
        <w:ind w:left="567"/>
      </w:pPr>
    </w:p>
    <w:p w:rsidR="00902C4B" w:rsidRPr="00FB07CE" w:rsidRDefault="00902C4B" w:rsidP="00902C4B">
      <w:pPr>
        <w:ind w:left="567"/>
      </w:pPr>
      <w:r w:rsidRPr="00FB07CE">
        <w:t>Grundstück Nr. 483 ist zu schliessen.</w:t>
      </w:r>
    </w:p>
    <w:p w:rsidR="00902C4B" w:rsidRPr="00FB07CE" w:rsidRDefault="00902C4B" w:rsidP="00902C4B">
      <w:pPr>
        <w:ind w:left="567"/>
      </w:pPr>
    </w:p>
    <w:p w:rsidR="00902C4B" w:rsidRPr="00FB07CE" w:rsidRDefault="00902C4B" w:rsidP="00902C4B">
      <w:pPr>
        <w:ind w:left="567" w:hanging="567"/>
      </w:pPr>
      <w:r w:rsidRPr="00FB07CE">
        <w:t>2.</w:t>
      </w:r>
      <w:r w:rsidRPr="00FB07CE">
        <w:tab/>
      </w:r>
      <w:r w:rsidRPr="00F22074">
        <w:rPr>
          <w:b/>
        </w:rPr>
        <w:t>Bereinigungen</w:t>
      </w:r>
    </w:p>
    <w:p w:rsidR="00902C4B" w:rsidRPr="00FB07CE" w:rsidRDefault="00902C4B" w:rsidP="00902C4B">
      <w:pPr>
        <w:tabs>
          <w:tab w:val="left" w:pos="5387"/>
          <w:tab w:val="left" w:pos="6521"/>
          <w:tab w:val="left" w:pos="7655"/>
        </w:tabs>
        <w:ind w:left="567"/>
      </w:pPr>
      <w:r w:rsidRPr="00FB07CE">
        <w:t>Die Dienstbarkeiten, Grundpfandrechte, Vor- und Anmerkungen sind wie folgt zu bere</w:t>
      </w:r>
      <w:r w:rsidRPr="00FB07CE">
        <w:t>i</w:t>
      </w:r>
      <w:r w:rsidRPr="00FB07CE">
        <w:t>nigen, wobei „x“ belassen bzw. übertragen und „o“ nicht übertragen bzw. löschen b</w:t>
      </w:r>
      <w:r w:rsidRPr="00FB07CE">
        <w:t>e</w:t>
      </w:r>
      <w:r w:rsidRPr="00FB07CE">
        <w:t>deutet</w:t>
      </w:r>
      <w:r>
        <w:t xml:space="preserve"> (auf Doppeleinträge ist zu verzichten)</w:t>
      </w:r>
      <w:r w:rsidRPr="00FB07CE">
        <w:t>:</w:t>
      </w:r>
    </w:p>
    <w:p w:rsidR="00902C4B" w:rsidRPr="00FB07CE" w:rsidRDefault="00902C4B" w:rsidP="00902C4B">
      <w:pPr>
        <w:pBdr>
          <w:top w:val="single" w:sz="4" w:space="1" w:color="auto"/>
          <w:left w:val="single" w:sz="4" w:space="1" w:color="auto"/>
          <w:bottom w:val="single" w:sz="4" w:space="1" w:color="auto"/>
          <w:right w:val="single" w:sz="4" w:space="1" w:color="auto"/>
        </w:pBdr>
        <w:tabs>
          <w:tab w:val="bar" w:pos="5670"/>
          <w:tab w:val="left" w:pos="5954"/>
          <w:tab w:val="bar" w:pos="7513"/>
          <w:tab w:val="left" w:pos="7655"/>
        </w:tabs>
        <w:ind w:left="567"/>
      </w:pPr>
      <w:r w:rsidRPr="00FB07CE">
        <w:tab/>
        <w:t>Zuwachs</w:t>
      </w:r>
      <w:r w:rsidRPr="00FB07CE">
        <w:tab/>
        <w:t>Nr. 470</w:t>
      </w:r>
    </w:p>
    <w:p w:rsidR="00902C4B" w:rsidRPr="00FB07CE" w:rsidRDefault="00902C4B" w:rsidP="00902C4B">
      <w:pPr>
        <w:pBdr>
          <w:top w:val="single" w:sz="4" w:space="1" w:color="auto"/>
          <w:left w:val="single" w:sz="4" w:space="1" w:color="auto"/>
          <w:bottom w:val="single" w:sz="4" w:space="1" w:color="auto"/>
          <w:right w:val="single" w:sz="4" w:space="1" w:color="auto"/>
        </w:pBdr>
        <w:tabs>
          <w:tab w:val="bar" w:pos="5670"/>
          <w:tab w:val="left" w:pos="5954"/>
          <w:tab w:val="bar" w:pos="7513"/>
          <w:tab w:val="left" w:pos="7655"/>
        </w:tabs>
        <w:ind w:left="567"/>
      </w:pPr>
      <w:r w:rsidRPr="00FB07CE">
        <w:tab/>
        <w:t>zu 470</w:t>
      </w:r>
    </w:p>
    <w:p w:rsidR="00902C4B" w:rsidRPr="00FB07CE" w:rsidRDefault="00902C4B" w:rsidP="00902C4B">
      <w:pPr>
        <w:pBdr>
          <w:top w:val="single" w:sz="4" w:space="1" w:color="auto"/>
          <w:left w:val="single" w:sz="4" w:space="1" w:color="auto"/>
          <w:bottom w:val="single" w:sz="4" w:space="1" w:color="auto"/>
          <w:right w:val="single" w:sz="4" w:space="1" w:color="auto"/>
        </w:pBdr>
        <w:tabs>
          <w:tab w:val="bar" w:pos="5670"/>
          <w:tab w:val="left" w:pos="5954"/>
          <w:tab w:val="bar" w:pos="7513"/>
          <w:tab w:val="left" w:pos="7655"/>
        </w:tabs>
        <w:ind w:left="567"/>
      </w:pPr>
      <w:r w:rsidRPr="00FB07CE">
        <w:tab/>
        <w:t>(Ex Nr. 483)</w:t>
      </w:r>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rPr>
          <w:b/>
        </w:rPr>
        <w:t>Dienstbarkeiten</w:t>
      </w:r>
      <w:r w:rsidRPr="00FB07CE">
        <w:t xml:space="preserve"> auf Nr. 470:</w:t>
      </w:r>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t>Quellenrecht (Anteil) zL 471, 474, 482</w:t>
      </w:r>
      <w:r w:rsidRPr="00FB07CE">
        <w:tab/>
        <w:t>x</w:t>
      </w:r>
      <w:r w:rsidRPr="00FB07CE">
        <w:tab/>
      </w:r>
      <w:proofErr w:type="spellStart"/>
      <w:r w:rsidRPr="00FB07CE">
        <w:t>x</w:t>
      </w:r>
      <w:proofErr w:type="spellEnd"/>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t>Brunnenrecht am sog. Gassenbrunnen zL 482</w:t>
      </w:r>
      <w:r w:rsidRPr="00FB07CE">
        <w:tab/>
        <w:t>x</w:t>
      </w:r>
      <w:r w:rsidRPr="00FB07CE">
        <w:tab/>
      </w:r>
      <w:proofErr w:type="spellStart"/>
      <w:r w:rsidRPr="00FB07CE">
        <w:t>x</w:t>
      </w:r>
      <w:proofErr w:type="spellEnd"/>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t>Holzlass- und Abfuhrrecht zL 476</w:t>
      </w:r>
      <w:r w:rsidRPr="00FB07CE">
        <w:tab/>
      </w:r>
      <w:r>
        <w:t>o</w:t>
      </w:r>
      <w:r>
        <w:tab/>
      </w:r>
      <w:proofErr w:type="spellStart"/>
      <w:r>
        <w:t>o</w:t>
      </w:r>
      <w:proofErr w:type="spellEnd"/>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t>Holzabfuhrrecht zL 301</w:t>
      </w:r>
      <w:r w:rsidRPr="00FB07CE">
        <w:tab/>
      </w:r>
      <w:r>
        <w:t>x</w:t>
      </w:r>
      <w:r>
        <w:tab/>
      </w:r>
      <w:proofErr w:type="spellStart"/>
      <w:r>
        <w:t>x</w:t>
      </w:r>
      <w:proofErr w:type="spellEnd"/>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t xml:space="preserve">Holzabfuhrrecht zL </w:t>
      </w:r>
      <w:r>
        <w:t>Langnau</w:t>
      </w:r>
      <w:r w:rsidRPr="00FB07CE">
        <w:t xml:space="preserve"> 4</w:t>
      </w:r>
      <w:r w:rsidRPr="00FB07CE">
        <w:tab/>
      </w:r>
      <w:r>
        <w:t>x</w:t>
      </w:r>
      <w:r>
        <w:tab/>
      </w:r>
      <w:proofErr w:type="spellStart"/>
      <w:r>
        <w:t>x</w:t>
      </w:r>
      <w:proofErr w:type="spellEnd"/>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t>Fahrwegrecht zL 301</w:t>
      </w:r>
      <w:r>
        <w:t>, 328, 356, 407</w:t>
      </w:r>
      <w:r w:rsidRPr="00FB07CE">
        <w:tab/>
      </w:r>
      <w:r>
        <w:t>x</w:t>
      </w:r>
      <w:r>
        <w:tab/>
      </w:r>
      <w:proofErr w:type="spellStart"/>
      <w:r>
        <w:t>x</w:t>
      </w:r>
      <w:proofErr w:type="spellEnd"/>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t>Fahrwegrecht zL 482</w:t>
      </w:r>
      <w:r w:rsidRPr="00FB07CE">
        <w:tab/>
      </w:r>
      <w:r>
        <w:t>x</w:t>
      </w:r>
      <w:r>
        <w:tab/>
      </w:r>
      <w:proofErr w:type="spellStart"/>
      <w:r>
        <w:t>x</w:t>
      </w:r>
      <w:proofErr w:type="spellEnd"/>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t>Fahrwegrecht zG 301</w:t>
      </w:r>
      <w:r w:rsidRPr="00FB07CE">
        <w:tab/>
      </w:r>
      <w:r>
        <w:t>x</w:t>
      </w:r>
      <w:r>
        <w:tab/>
      </w:r>
      <w:proofErr w:type="spellStart"/>
      <w:r>
        <w:t>x</w:t>
      </w:r>
      <w:proofErr w:type="spellEnd"/>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t>Fahrwegrecht zG 482</w:t>
      </w:r>
      <w:r w:rsidRPr="00FB07CE">
        <w:tab/>
      </w:r>
      <w:r>
        <w:t>x</w:t>
      </w:r>
      <w:r>
        <w:tab/>
      </w:r>
      <w:proofErr w:type="spellStart"/>
      <w:r>
        <w:t>x</w:t>
      </w:r>
      <w:proofErr w:type="spellEnd"/>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t>Fahrwegrecht zG 482</w:t>
      </w:r>
      <w:r w:rsidRPr="00FB07CE">
        <w:tab/>
      </w:r>
      <w:r>
        <w:t>x</w:t>
      </w:r>
      <w:r>
        <w:tab/>
      </w:r>
      <w:proofErr w:type="spellStart"/>
      <w:r>
        <w:t>x</w:t>
      </w:r>
      <w:proofErr w:type="spellEnd"/>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t xml:space="preserve">Oeffentl. Fahrweg zG EG </w:t>
      </w:r>
      <w:r>
        <w:t>Seldwyla</w:t>
      </w:r>
      <w:r w:rsidRPr="00FB07CE">
        <w:tab/>
      </w:r>
      <w:r>
        <w:t>x</w:t>
      </w:r>
      <w:r>
        <w:tab/>
      </w:r>
      <w:proofErr w:type="spellStart"/>
      <w:r>
        <w:t>x</w:t>
      </w:r>
      <w:proofErr w:type="spellEnd"/>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t>Fahrwegrecht zG 483</w:t>
      </w:r>
      <w:r w:rsidRPr="00FB07CE">
        <w:tab/>
        <w:t>o</w:t>
      </w:r>
      <w:r w:rsidRPr="00FB07CE">
        <w:tab/>
      </w:r>
      <w:proofErr w:type="spellStart"/>
      <w:r w:rsidRPr="00FB07CE">
        <w:t>o</w:t>
      </w:r>
      <w:proofErr w:type="spellEnd"/>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t>Wegrecht zG 356</w:t>
      </w:r>
      <w:r w:rsidRPr="00FB07CE">
        <w:tab/>
      </w:r>
      <w:r>
        <w:t>x</w:t>
      </w:r>
      <w:r>
        <w:tab/>
      </w:r>
      <w:proofErr w:type="spellStart"/>
      <w:r>
        <w:t>x</w:t>
      </w:r>
      <w:proofErr w:type="spellEnd"/>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t xml:space="preserve">Zu- und </w:t>
      </w:r>
      <w:proofErr w:type="spellStart"/>
      <w:r w:rsidRPr="00FB07CE">
        <w:t>Vonfahrtsrecht</w:t>
      </w:r>
      <w:proofErr w:type="spellEnd"/>
      <w:r w:rsidRPr="00FB07CE">
        <w:t xml:space="preserve"> zG 406</w:t>
      </w:r>
      <w:r w:rsidRPr="00FB07CE">
        <w:tab/>
      </w:r>
      <w:r>
        <w:t>x</w:t>
      </w:r>
      <w:r>
        <w:tab/>
      </w:r>
      <w:proofErr w:type="spellStart"/>
      <w:r>
        <w:t>x</w:t>
      </w:r>
      <w:proofErr w:type="spellEnd"/>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t>Brunnleitungsrecht zG 482</w:t>
      </w:r>
      <w:r w:rsidRPr="00FB07CE">
        <w:tab/>
      </w:r>
      <w:r>
        <w:t>x</w:t>
      </w:r>
      <w:r>
        <w:tab/>
      </w:r>
      <w:proofErr w:type="spellStart"/>
      <w:r>
        <w:t>x</w:t>
      </w:r>
      <w:proofErr w:type="spellEnd"/>
    </w:p>
    <w:p w:rsidR="00902C4B" w:rsidRDefault="00902C4B">
      <w:pPr>
        <w:spacing w:after="200"/>
        <w:rPr>
          <w:b/>
        </w:rPr>
      </w:pPr>
      <w:r>
        <w:rPr>
          <w:b/>
        </w:rPr>
        <w:br w:type="page"/>
      </w:r>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rPr>
          <w:b/>
        </w:rPr>
        <w:lastRenderedPageBreak/>
        <w:t>Dienstbarkeiten</w:t>
      </w:r>
      <w:r w:rsidRPr="00FB07CE">
        <w:t xml:space="preserve"> auf Nr. 483:</w:t>
      </w:r>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t>Fahrwegrecht zL 470</w:t>
      </w:r>
      <w:r w:rsidRPr="00FB07CE">
        <w:tab/>
        <w:t>o</w:t>
      </w:r>
      <w:r>
        <w:tab/>
      </w:r>
      <w:proofErr w:type="spellStart"/>
      <w:r>
        <w:t>o</w:t>
      </w:r>
      <w:proofErr w:type="spellEnd"/>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t>Fahrwegrecht zL 476</w:t>
      </w:r>
      <w:r w:rsidRPr="00FB07CE">
        <w:tab/>
      </w:r>
      <w:r>
        <w:t>o</w:t>
      </w:r>
      <w:r>
        <w:tab/>
      </w:r>
      <w:proofErr w:type="spellStart"/>
      <w:r>
        <w:t>o</w:t>
      </w:r>
      <w:proofErr w:type="spellEnd"/>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rPr>
          <w:b/>
        </w:rPr>
        <w:t>Grundpfandrechte</w:t>
      </w:r>
      <w:r w:rsidRPr="00FB07CE">
        <w:t xml:space="preserve"> auf Nr. 470:</w:t>
      </w:r>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t>1. Rang SB Fr. 260'000.—</w:t>
      </w:r>
      <w:r w:rsidRPr="00FB07CE">
        <w:tab/>
      </w:r>
      <w:r>
        <w:t>x</w:t>
      </w:r>
      <w:r>
        <w:tab/>
      </w:r>
      <w:proofErr w:type="spellStart"/>
      <w:r>
        <w:t>x</w:t>
      </w:r>
      <w:proofErr w:type="spellEnd"/>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t>2. Rang SB Fr. 114'000.—</w:t>
      </w:r>
      <w:r w:rsidRPr="00FB07CE">
        <w:tab/>
      </w:r>
      <w:r>
        <w:t>x</w:t>
      </w:r>
      <w:r>
        <w:tab/>
      </w:r>
      <w:proofErr w:type="spellStart"/>
      <w:r>
        <w:t>x</w:t>
      </w:r>
      <w:proofErr w:type="spellEnd"/>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rPr>
          <w:b/>
        </w:rPr>
        <w:t>Grundpfandrechte</w:t>
      </w:r>
      <w:r w:rsidRPr="00FB07CE">
        <w:t xml:space="preserve"> auf Nr. 483:</w:t>
      </w:r>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t>1. Rang SB Fr. 10'000.—</w:t>
      </w:r>
      <w:r w:rsidRPr="00FB07CE">
        <w:tab/>
      </w:r>
      <w:r>
        <w:t>o</w:t>
      </w:r>
      <w:r>
        <w:tab/>
      </w:r>
      <w:proofErr w:type="spellStart"/>
      <w:r>
        <w:t>o</w:t>
      </w:r>
      <w:proofErr w:type="spellEnd"/>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t>2. Rang SB Fr. 10'000.—</w:t>
      </w:r>
      <w:r w:rsidRPr="00FB07CE">
        <w:tab/>
      </w:r>
      <w:r>
        <w:t>o</w:t>
      </w:r>
      <w:r>
        <w:tab/>
      </w:r>
      <w:proofErr w:type="spellStart"/>
      <w:r>
        <w:t>o</w:t>
      </w:r>
      <w:proofErr w:type="spellEnd"/>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t>3. Rang SB Fr. 20'000.—</w:t>
      </w:r>
      <w:r w:rsidRPr="00FB07CE">
        <w:tab/>
      </w:r>
      <w:r>
        <w:t>o</w:t>
      </w:r>
      <w:r>
        <w:tab/>
      </w:r>
      <w:proofErr w:type="spellStart"/>
      <w:r>
        <w:t>o</w:t>
      </w:r>
      <w:proofErr w:type="spellEnd"/>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t>4. Rang SB Fr. 70'000.—</w:t>
      </w:r>
      <w:r w:rsidRPr="00FB07CE">
        <w:tab/>
      </w:r>
      <w:r>
        <w:t>o</w:t>
      </w:r>
      <w:r>
        <w:tab/>
      </w:r>
      <w:proofErr w:type="spellStart"/>
      <w:r>
        <w:t>o</w:t>
      </w:r>
      <w:proofErr w:type="spellEnd"/>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rPr>
          <w:b/>
        </w:rPr>
        <w:t>Grundpfandrechte</w:t>
      </w:r>
      <w:r>
        <w:t xml:space="preserve"> auf Nr. 483-1:</w:t>
      </w:r>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t>1. Rang PfV Fr. 51'250.—</w:t>
      </w:r>
      <w:r w:rsidRPr="00FB07CE">
        <w:tab/>
      </w:r>
      <w:r>
        <w:t>o</w:t>
      </w:r>
      <w:r>
        <w:tab/>
      </w:r>
      <w:proofErr w:type="spellStart"/>
      <w:r>
        <w:t>o</w:t>
      </w:r>
      <w:proofErr w:type="spellEnd"/>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t>2. Rang SB Fr. 50'000.—</w:t>
      </w:r>
      <w:r w:rsidRPr="00FB07CE">
        <w:tab/>
      </w:r>
      <w:r>
        <w:t>o</w:t>
      </w:r>
      <w:r>
        <w:tab/>
      </w:r>
      <w:proofErr w:type="spellStart"/>
      <w:r>
        <w:t>o</w:t>
      </w:r>
      <w:proofErr w:type="spellEnd"/>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t>3. Rang PfV Fr. 120'000.–</w:t>
      </w:r>
      <w:r w:rsidRPr="00FB07CE">
        <w:tab/>
      </w:r>
      <w:r>
        <w:t>o</w:t>
      </w:r>
      <w:r>
        <w:tab/>
      </w:r>
      <w:proofErr w:type="spellStart"/>
      <w:r>
        <w:t>o</w:t>
      </w:r>
      <w:proofErr w:type="spellEnd"/>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rPr>
          <w:b/>
        </w:rPr>
        <w:t>Grundpfandrechte</w:t>
      </w:r>
      <w:r w:rsidRPr="00FB07CE">
        <w:t xml:space="preserve"> auf Nr. 483-2:</w:t>
      </w:r>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t>1. Rang PfV Fr. 51'250.—</w:t>
      </w:r>
      <w:r w:rsidRPr="00FB07CE">
        <w:tab/>
      </w:r>
      <w:r>
        <w:t>o</w:t>
      </w:r>
      <w:r>
        <w:tab/>
      </w:r>
      <w:proofErr w:type="spellStart"/>
      <w:r>
        <w:t>o</w:t>
      </w:r>
      <w:proofErr w:type="spellEnd"/>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t>2. Rang SB Fr. 50'000.—</w:t>
      </w:r>
      <w:r w:rsidRPr="00FB07CE">
        <w:tab/>
      </w:r>
      <w:r>
        <w:t>o</w:t>
      </w:r>
      <w:r>
        <w:tab/>
      </w:r>
      <w:proofErr w:type="spellStart"/>
      <w:r>
        <w:t>o</w:t>
      </w:r>
      <w:proofErr w:type="spellEnd"/>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t>3. Rang PfV Fr. 120'000.–</w:t>
      </w:r>
      <w:r w:rsidRPr="00FB07CE">
        <w:tab/>
      </w:r>
      <w:r>
        <w:t>o</w:t>
      </w:r>
      <w:r>
        <w:tab/>
      </w:r>
      <w:proofErr w:type="spellStart"/>
      <w:r>
        <w:t>o</w:t>
      </w:r>
      <w:proofErr w:type="spellEnd"/>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rPr>
          <w:b/>
        </w:rPr>
        <w:t>Vormerkungen</w:t>
      </w:r>
      <w:r w:rsidRPr="00FB07CE">
        <w:t xml:space="preserve"> auf Nr. 470:</w:t>
      </w:r>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t xml:space="preserve">Gewinnanteilsrecht an 1/3 des Eigentums zG </w:t>
      </w:r>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t xml:space="preserve">Moser </w:t>
      </w:r>
      <w:r w:rsidRPr="00FB07CE">
        <w:t>Ernst bzw. dessen Erben, bis 25.3.2013</w:t>
      </w:r>
      <w:r w:rsidRPr="00FB07CE">
        <w:tab/>
      </w:r>
      <w:r>
        <w:t>x</w:t>
      </w:r>
      <w:r>
        <w:tab/>
      </w:r>
      <w:proofErr w:type="spellStart"/>
      <w:r>
        <w:t>x</w:t>
      </w:r>
      <w:proofErr w:type="spellEnd"/>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rPr>
          <w:b/>
        </w:rPr>
        <w:t>Vormerkungen</w:t>
      </w:r>
      <w:r w:rsidRPr="00FB07CE">
        <w:t xml:space="preserve"> auf Nr. 483-1:</w:t>
      </w:r>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t>Keine</w:t>
      </w:r>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rPr>
          <w:b/>
        </w:rPr>
        <w:t>Vormerkungen</w:t>
      </w:r>
      <w:r w:rsidRPr="00FB07CE">
        <w:t xml:space="preserve"> auf Nr. 483-2:</w:t>
      </w:r>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t xml:space="preserve">VE </w:t>
      </w:r>
      <w:proofErr w:type="spellStart"/>
      <w:r w:rsidRPr="00FB07CE">
        <w:t>GpfR</w:t>
      </w:r>
      <w:proofErr w:type="spellEnd"/>
      <w:r w:rsidRPr="00FB07CE">
        <w:t xml:space="preserve"> für Gewinnanspruch</w:t>
      </w:r>
      <w:r w:rsidRPr="00FB07CE">
        <w:tab/>
      </w:r>
      <w:r>
        <w:t>o</w:t>
      </w:r>
      <w:r>
        <w:tab/>
      </w:r>
      <w:proofErr w:type="spellStart"/>
      <w:r>
        <w:t>o</w:t>
      </w:r>
      <w:proofErr w:type="spellEnd"/>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rPr>
          <w:b/>
        </w:rPr>
        <w:t>Anmerkungen</w:t>
      </w:r>
      <w:r w:rsidRPr="00FB07CE">
        <w:t xml:space="preserve"> auf Nr. 470:</w:t>
      </w:r>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t>LL Hochbau 34399-2; …</w:t>
      </w:r>
      <w:r w:rsidRPr="00FB07CE">
        <w:tab/>
      </w:r>
      <w:r>
        <w:t>x</w:t>
      </w:r>
      <w:r>
        <w:tab/>
      </w:r>
      <w:proofErr w:type="spellStart"/>
      <w:r>
        <w:t>x</w:t>
      </w:r>
      <w:proofErr w:type="spellEnd"/>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rPr>
          <w:b/>
        </w:rPr>
        <w:t>Anmerkungen</w:t>
      </w:r>
      <w:r w:rsidRPr="00FB07CE">
        <w:t xml:space="preserve"> auf Nr. 483:</w:t>
      </w:r>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t>Miteigentumsanteile verpfändet</w:t>
      </w:r>
      <w:r w:rsidRPr="00FB07CE">
        <w:tab/>
      </w:r>
      <w:r>
        <w:t>o</w:t>
      </w:r>
      <w:r>
        <w:tab/>
      </w:r>
      <w:proofErr w:type="spellStart"/>
      <w:r>
        <w:t>o</w:t>
      </w:r>
      <w:proofErr w:type="spellEnd"/>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t>LL Hochbau 11707, …</w:t>
      </w:r>
      <w:r w:rsidRPr="00FB07CE">
        <w:tab/>
      </w:r>
      <w:r>
        <w:t>o</w:t>
      </w:r>
      <w:r>
        <w:tab/>
      </w:r>
      <w:proofErr w:type="spellStart"/>
      <w:r>
        <w:t>o</w:t>
      </w:r>
      <w:proofErr w:type="spellEnd"/>
    </w:p>
    <w:p w:rsidR="00902C4B" w:rsidRPr="00FB07CE" w:rsidRDefault="00902C4B" w:rsidP="00902C4B">
      <w:pPr>
        <w:pBdr>
          <w:top w:val="single" w:sz="4" w:space="1" w:color="auto"/>
          <w:left w:val="single" w:sz="4" w:space="1" w:color="auto"/>
          <w:bottom w:val="single" w:sz="4" w:space="1" w:color="auto"/>
          <w:right w:val="single" w:sz="4" w:space="1" w:color="auto"/>
          <w:between w:val="single" w:sz="4" w:space="1" w:color="auto"/>
          <w:bar w:val="single" w:sz="4" w:color="auto"/>
        </w:pBdr>
        <w:tabs>
          <w:tab w:val="bar" w:pos="5670"/>
          <w:tab w:val="left" w:pos="6521"/>
          <w:tab w:val="bar" w:pos="7513"/>
          <w:tab w:val="left" w:pos="8080"/>
        </w:tabs>
        <w:ind w:left="567"/>
      </w:pPr>
      <w:r w:rsidRPr="00FB07CE">
        <w:t>Rückerstattungspflicht …</w:t>
      </w:r>
      <w:r w:rsidRPr="00FB07CE">
        <w:tab/>
      </w:r>
      <w:r>
        <w:t>o</w:t>
      </w:r>
      <w:r>
        <w:tab/>
      </w:r>
      <w:proofErr w:type="spellStart"/>
      <w:r>
        <w:t>o</w:t>
      </w:r>
      <w:proofErr w:type="spellEnd"/>
    </w:p>
    <w:p w:rsidR="00902C4B" w:rsidRDefault="00902C4B">
      <w:pPr>
        <w:ind w:left="567"/>
      </w:pPr>
      <w:r>
        <w:t>Bezüglich der Ausdehnung der Rechte auf den Zuwachs ergeben sich für die Belast</w:t>
      </w:r>
      <w:r>
        <w:t>e</w:t>
      </w:r>
      <w:r>
        <w:t>ten keine Mehrbelastungen.</w:t>
      </w:r>
    </w:p>
    <w:p w:rsidR="00902C4B" w:rsidRDefault="00902C4B">
      <w:pPr>
        <w:ind w:left="567"/>
      </w:pPr>
      <w:r>
        <w:t>Zur Ganz- bzw. Teil-Löschung der Dienstbarkeiten wird hiermit von den Vertragsparte</w:t>
      </w:r>
      <w:r>
        <w:t>i</w:t>
      </w:r>
      <w:r>
        <w:t>en ausdrücklich die Einwilligung erteilt.</w:t>
      </w:r>
    </w:p>
    <w:p w:rsidR="00902C4B" w:rsidRDefault="00902C4B">
      <w:pPr>
        <w:ind w:left="567"/>
      </w:pPr>
      <w:r>
        <w:t>Für die Eigentümer-Grundpfandtitel wird hiermit die Pfandentlassungsbewilligung erteilt.</w:t>
      </w:r>
    </w:p>
    <w:p w:rsidR="00902C4B" w:rsidRPr="00FB07CE" w:rsidRDefault="00902C4B">
      <w:pPr>
        <w:ind w:left="567"/>
      </w:pPr>
      <w:r>
        <w:t>Das Grundbuchamt wird um Durchführung des Löschverfahrens im Sinne von Art. 744 ZGB ersucht.</w:t>
      </w:r>
    </w:p>
    <w:p w:rsidR="00902C4B" w:rsidRDefault="00902C4B">
      <w:pPr>
        <w:ind w:left="567"/>
      </w:pPr>
    </w:p>
    <w:p w:rsidR="00902C4B" w:rsidRPr="00FB07CE" w:rsidRDefault="00902C4B">
      <w:pPr>
        <w:ind w:left="567"/>
      </w:pPr>
    </w:p>
    <w:p w:rsidR="00902C4B" w:rsidRPr="00FB07CE" w:rsidRDefault="00902C4B" w:rsidP="00902C4B">
      <w:pPr>
        <w:ind w:left="567" w:hanging="567"/>
      </w:pPr>
      <w:r w:rsidRPr="00FB07CE">
        <w:lastRenderedPageBreak/>
        <w:t>3.</w:t>
      </w:r>
      <w:r w:rsidRPr="00FB07CE">
        <w:tab/>
      </w:r>
      <w:r w:rsidRPr="00FB07CE">
        <w:rPr>
          <w:b/>
        </w:rPr>
        <w:t>Vereinigung Teilstück von Nr. 834 mit Nr. 835</w:t>
      </w:r>
    </w:p>
    <w:p w:rsidR="00902C4B" w:rsidRPr="00FB07CE" w:rsidRDefault="00902C4B" w:rsidP="00902C4B">
      <w:pPr>
        <w:ind w:left="567"/>
      </w:pPr>
      <w:r w:rsidRPr="00FB07CE">
        <w:t xml:space="preserve">Herr </w:t>
      </w:r>
      <w:r>
        <w:t>Hans Moser</w:t>
      </w:r>
      <w:r w:rsidRPr="00FB07CE">
        <w:t xml:space="preserve"> überträgt dem Herrn </w:t>
      </w:r>
      <w:r>
        <w:t>Max Muster</w:t>
      </w:r>
      <w:r w:rsidRPr="00FB07CE">
        <w:t xml:space="preserve"> gegentauschweise von seinem </w:t>
      </w:r>
    </w:p>
    <w:p w:rsidR="00902C4B" w:rsidRPr="00FB07CE" w:rsidRDefault="00902C4B" w:rsidP="00902C4B">
      <w:pPr>
        <w:tabs>
          <w:tab w:val="right" w:pos="8647"/>
        </w:tabs>
        <w:ind w:left="567"/>
      </w:pPr>
      <w:r w:rsidRPr="00FB07CE">
        <w:t>Grundstück Nr. 834 im Halte von</w:t>
      </w:r>
      <w:r w:rsidRPr="00FB07CE">
        <w:tab/>
        <w:t>38'147 m</w:t>
      </w:r>
      <w:r w:rsidRPr="00FB07CE">
        <w:rPr>
          <w:vertAlign w:val="superscript"/>
        </w:rPr>
        <w:t>2</w:t>
      </w:r>
      <w:r w:rsidRPr="00FB07CE">
        <w:t xml:space="preserve"> Land</w:t>
      </w:r>
    </w:p>
    <w:p w:rsidR="00902C4B" w:rsidRPr="00FB07CE" w:rsidRDefault="00902C4B" w:rsidP="00902C4B">
      <w:pPr>
        <w:tabs>
          <w:tab w:val="right" w:pos="8647"/>
        </w:tabs>
        <w:ind w:left="567"/>
      </w:pPr>
      <w:r w:rsidRPr="00FB07CE">
        <w:t xml:space="preserve">gemäss gleichen Plan und Messurkunde zur Planänderung </w:t>
      </w:r>
    </w:p>
    <w:p w:rsidR="00902C4B" w:rsidRPr="00FB07CE" w:rsidRDefault="00902C4B" w:rsidP="00902C4B">
      <w:pPr>
        <w:tabs>
          <w:tab w:val="right" w:pos="8647"/>
        </w:tabs>
        <w:ind w:left="567"/>
      </w:pPr>
      <w:r w:rsidRPr="00FB07CE">
        <w:t xml:space="preserve">Nr. 2007/01 von </w:t>
      </w:r>
      <w:r>
        <w:t>Seldwyla</w:t>
      </w:r>
      <w:r w:rsidRPr="00FB07CE">
        <w:t>,</w:t>
      </w:r>
    </w:p>
    <w:p w:rsidR="00902C4B" w:rsidRPr="00FB07CE" w:rsidRDefault="00902C4B" w:rsidP="00902C4B">
      <w:pPr>
        <w:tabs>
          <w:tab w:val="right" w:pos="8647"/>
        </w:tabs>
        <w:ind w:left="567"/>
      </w:pPr>
      <w:r w:rsidRPr="00FB07CE">
        <w:t>ein Teil-Stück von</w:t>
      </w:r>
      <w:r w:rsidRPr="00FB07CE">
        <w:tab/>
      </w:r>
      <w:r w:rsidRPr="00FB07CE">
        <w:rPr>
          <w:u w:val="single"/>
        </w:rPr>
        <w:t>2'189 m</w:t>
      </w:r>
      <w:r w:rsidRPr="00FB07CE">
        <w:rPr>
          <w:u w:val="single"/>
          <w:vertAlign w:val="superscript"/>
        </w:rPr>
        <w:t>2</w:t>
      </w:r>
      <w:r w:rsidRPr="00FB07CE">
        <w:rPr>
          <w:u w:val="single"/>
        </w:rPr>
        <w:t xml:space="preserve"> Land</w:t>
      </w:r>
    </w:p>
    <w:p w:rsidR="00902C4B" w:rsidRPr="00FB07CE" w:rsidRDefault="00902C4B" w:rsidP="00902C4B">
      <w:pPr>
        <w:tabs>
          <w:tab w:val="right" w:pos="8647"/>
        </w:tabs>
        <w:ind w:left="567"/>
      </w:pPr>
      <w:r w:rsidRPr="00FB07CE">
        <w:t>Nach diesem Abgang hält</w:t>
      </w:r>
    </w:p>
    <w:p w:rsidR="00902C4B" w:rsidRPr="00FB07CE" w:rsidRDefault="00902C4B" w:rsidP="00902C4B">
      <w:pPr>
        <w:tabs>
          <w:tab w:val="right" w:pos="8647"/>
        </w:tabs>
        <w:ind w:left="567"/>
      </w:pPr>
      <w:r w:rsidRPr="00FB07CE">
        <w:rPr>
          <w:b/>
        </w:rPr>
        <w:t>Grundstück Nr. 834 neu</w:t>
      </w:r>
      <w:r w:rsidRPr="00FB07CE">
        <w:tab/>
        <w:t>35'958 m</w:t>
      </w:r>
      <w:r w:rsidRPr="00FB07CE">
        <w:rPr>
          <w:vertAlign w:val="superscript"/>
        </w:rPr>
        <w:t>2</w:t>
      </w:r>
      <w:r w:rsidRPr="00FB07CE">
        <w:t xml:space="preserve"> Land</w:t>
      </w:r>
    </w:p>
    <w:p w:rsidR="00902C4B" w:rsidRPr="00FB07CE" w:rsidRDefault="00902C4B" w:rsidP="00902C4B">
      <w:pPr>
        <w:tabs>
          <w:tab w:val="right" w:pos="8647"/>
        </w:tabs>
        <w:ind w:left="567"/>
      </w:pPr>
      <w:r w:rsidRPr="00FB07CE">
        <w:t xml:space="preserve">hält (Acker, Wiese, Weide, geschlossener Wald, </w:t>
      </w:r>
      <w:proofErr w:type="spellStart"/>
      <w:r w:rsidRPr="00FB07CE">
        <w:t>Aeber</w:t>
      </w:r>
      <w:proofErr w:type="spellEnd"/>
      <w:r w:rsidRPr="00FB07CE">
        <w:t>-</w:t>
      </w:r>
      <w:r w:rsidRPr="00FB07CE">
        <w:tab/>
        <w:t>===========</w:t>
      </w:r>
    </w:p>
    <w:p w:rsidR="00902C4B" w:rsidRPr="00FB07CE" w:rsidRDefault="00902C4B" w:rsidP="00902C4B">
      <w:pPr>
        <w:tabs>
          <w:tab w:val="right" w:pos="8647"/>
        </w:tabs>
        <w:ind w:left="567"/>
      </w:pPr>
      <w:proofErr w:type="spellStart"/>
      <w:r w:rsidRPr="00FB07CE">
        <w:t>sold</w:t>
      </w:r>
      <w:proofErr w:type="spellEnd"/>
      <w:r w:rsidRPr="00FB07CE">
        <w:t>, Plan 2169, …).</w:t>
      </w:r>
    </w:p>
    <w:p w:rsidR="00902C4B" w:rsidRPr="00FB07CE" w:rsidRDefault="00902C4B" w:rsidP="00902C4B">
      <w:pPr>
        <w:tabs>
          <w:tab w:val="right" w:pos="8647"/>
        </w:tabs>
        <w:ind w:left="567"/>
      </w:pPr>
    </w:p>
    <w:p w:rsidR="00902C4B" w:rsidRPr="00FB07CE" w:rsidRDefault="00902C4B" w:rsidP="00902C4B">
      <w:pPr>
        <w:tabs>
          <w:tab w:val="right" w:pos="8647"/>
        </w:tabs>
        <w:ind w:left="567"/>
      </w:pPr>
      <w:r w:rsidRPr="00FB07CE">
        <w:t xml:space="preserve">Das an Herrn </w:t>
      </w:r>
      <w:r>
        <w:t>Max Muster</w:t>
      </w:r>
      <w:r w:rsidRPr="00FB07CE">
        <w:t xml:space="preserve"> übertragene </w:t>
      </w:r>
    </w:p>
    <w:p w:rsidR="00902C4B" w:rsidRPr="00FB07CE" w:rsidRDefault="00902C4B" w:rsidP="00902C4B">
      <w:pPr>
        <w:tabs>
          <w:tab w:val="right" w:pos="8647"/>
        </w:tabs>
        <w:ind w:left="567"/>
      </w:pPr>
      <w:r w:rsidRPr="00FB07CE">
        <w:t>Teilstück (ab Nr. 834) von</w:t>
      </w:r>
      <w:r w:rsidRPr="00FB07CE">
        <w:tab/>
        <w:t>2'189 m</w:t>
      </w:r>
      <w:r w:rsidRPr="00FB07CE">
        <w:rPr>
          <w:vertAlign w:val="superscript"/>
        </w:rPr>
        <w:t>2</w:t>
      </w:r>
      <w:r w:rsidRPr="00FB07CE">
        <w:t xml:space="preserve"> Land</w:t>
      </w:r>
    </w:p>
    <w:p w:rsidR="00902C4B" w:rsidRPr="00FB07CE" w:rsidRDefault="00902C4B" w:rsidP="00902C4B">
      <w:pPr>
        <w:tabs>
          <w:tab w:val="right" w:pos="8647"/>
        </w:tabs>
        <w:ind w:left="567"/>
      </w:pPr>
      <w:r w:rsidRPr="00FB07CE">
        <w:t>wird gemäss gleichen Plan und Messurkunde zur Plan-</w:t>
      </w:r>
    </w:p>
    <w:p w:rsidR="00902C4B" w:rsidRPr="00FB07CE" w:rsidRDefault="00902C4B" w:rsidP="00902C4B">
      <w:pPr>
        <w:tabs>
          <w:tab w:val="right" w:pos="8647"/>
        </w:tabs>
        <w:ind w:left="567"/>
      </w:pPr>
      <w:proofErr w:type="spellStart"/>
      <w:r w:rsidRPr="00FB07CE">
        <w:t>änderung</w:t>
      </w:r>
      <w:proofErr w:type="spellEnd"/>
      <w:r w:rsidRPr="00FB07CE">
        <w:t xml:space="preserve"> Nr. 2007/01 von </w:t>
      </w:r>
      <w:r>
        <w:t>Seldwyla</w:t>
      </w:r>
      <w:r w:rsidRPr="00FB07CE">
        <w:t>, mit dem, dem</w:t>
      </w:r>
    </w:p>
    <w:p w:rsidR="00902C4B" w:rsidRPr="00FB07CE" w:rsidRDefault="00902C4B" w:rsidP="00902C4B">
      <w:pPr>
        <w:tabs>
          <w:tab w:val="right" w:pos="8647"/>
        </w:tabs>
        <w:ind w:left="567"/>
      </w:pPr>
      <w:r w:rsidRPr="00FB07CE">
        <w:t xml:space="preserve">Herrn </w:t>
      </w:r>
      <w:r>
        <w:t>Max Muster</w:t>
      </w:r>
      <w:r w:rsidRPr="00FB07CE">
        <w:t xml:space="preserve"> gehörenden</w:t>
      </w:r>
    </w:p>
    <w:p w:rsidR="00902C4B" w:rsidRPr="00FB07CE" w:rsidRDefault="00902C4B" w:rsidP="00902C4B">
      <w:pPr>
        <w:tabs>
          <w:tab w:val="right" w:pos="8647"/>
        </w:tabs>
        <w:ind w:left="567"/>
      </w:pPr>
      <w:r w:rsidRPr="00FB07CE">
        <w:t>Grundstück Nr. 835 im Halte von</w:t>
      </w:r>
      <w:r w:rsidRPr="00FB07CE">
        <w:tab/>
      </w:r>
      <w:r w:rsidRPr="00FB07CE">
        <w:rPr>
          <w:u w:val="single"/>
        </w:rPr>
        <w:t>4'502 m</w:t>
      </w:r>
      <w:r w:rsidRPr="00FB07CE">
        <w:rPr>
          <w:u w:val="single"/>
          <w:vertAlign w:val="superscript"/>
        </w:rPr>
        <w:t>2</w:t>
      </w:r>
      <w:r w:rsidRPr="00FB07CE">
        <w:rPr>
          <w:u w:val="single"/>
        </w:rPr>
        <w:t xml:space="preserve"> Land</w:t>
      </w:r>
    </w:p>
    <w:p w:rsidR="00902C4B" w:rsidRPr="00FB07CE" w:rsidRDefault="00902C4B" w:rsidP="00902C4B">
      <w:pPr>
        <w:tabs>
          <w:tab w:val="right" w:pos="8647"/>
        </w:tabs>
        <w:ind w:left="567"/>
      </w:pPr>
      <w:r w:rsidRPr="00FB07CE">
        <w:t>vereinigt, so dass</w:t>
      </w:r>
    </w:p>
    <w:p w:rsidR="00902C4B" w:rsidRPr="00FB07CE" w:rsidRDefault="00902C4B" w:rsidP="00902C4B">
      <w:pPr>
        <w:tabs>
          <w:tab w:val="right" w:pos="8647"/>
        </w:tabs>
        <w:ind w:left="567"/>
      </w:pPr>
      <w:r w:rsidRPr="00FB07CE">
        <w:rPr>
          <w:b/>
        </w:rPr>
        <w:t>Grundstück Nr. 835 neu</w:t>
      </w:r>
      <w:r w:rsidRPr="00FB07CE">
        <w:tab/>
        <w:t>6'691 m</w:t>
      </w:r>
      <w:r w:rsidRPr="00FB07CE">
        <w:rPr>
          <w:vertAlign w:val="superscript"/>
        </w:rPr>
        <w:t>2</w:t>
      </w:r>
      <w:r w:rsidRPr="00FB07CE">
        <w:t xml:space="preserve"> Land</w:t>
      </w:r>
    </w:p>
    <w:p w:rsidR="00902C4B" w:rsidRPr="00FB07CE" w:rsidRDefault="00902C4B" w:rsidP="00902C4B">
      <w:pPr>
        <w:tabs>
          <w:tab w:val="right" w:pos="8647"/>
        </w:tabs>
        <w:ind w:left="567"/>
      </w:pPr>
      <w:r w:rsidRPr="00FB07CE">
        <w:t xml:space="preserve">hält (Strasse, Weg, Acker, Wiese, Weide, </w:t>
      </w:r>
      <w:proofErr w:type="spellStart"/>
      <w:r>
        <w:t>Kuhweid</w:t>
      </w:r>
      <w:proofErr w:type="spellEnd"/>
      <w:r w:rsidRPr="00FB07CE">
        <w:t xml:space="preserve">, Plan </w:t>
      </w:r>
      <w:r w:rsidRPr="00FB07CE">
        <w:tab/>
        <w:t>==========</w:t>
      </w:r>
    </w:p>
    <w:p w:rsidR="00902C4B" w:rsidRPr="00FB07CE" w:rsidRDefault="00902C4B" w:rsidP="00902C4B">
      <w:pPr>
        <w:tabs>
          <w:tab w:val="right" w:pos="8647"/>
        </w:tabs>
        <w:ind w:left="567"/>
      </w:pPr>
      <w:r w:rsidRPr="00FB07CE">
        <w:t>2179).</w:t>
      </w:r>
    </w:p>
    <w:p w:rsidR="00902C4B" w:rsidRPr="00FB07CE" w:rsidRDefault="00902C4B">
      <w:pPr>
        <w:ind w:left="567"/>
      </w:pPr>
    </w:p>
    <w:p w:rsidR="00902C4B" w:rsidRPr="00FB07CE" w:rsidRDefault="00902C4B">
      <w:pPr>
        <w:ind w:left="567"/>
      </w:pPr>
    </w:p>
    <w:p w:rsidR="00902C4B" w:rsidRPr="00FB07CE" w:rsidRDefault="00902C4B" w:rsidP="00902C4B">
      <w:pPr>
        <w:ind w:left="567" w:hanging="567"/>
      </w:pPr>
      <w:r w:rsidRPr="00FB07CE">
        <w:t>4.</w:t>
      </w:r>
      <w:r w:rsidRPr="00FB07CE">
        <w:tab/>
      </w:r>
      <w:r w:rsidRPr="00F22074">
        <w:rPr>
          <w:b/>
        </w:rPr>
        <w:t>Bereinigungen</w:t>
      </w:r>
    </w:p>
    <w:p w:rsidR="00902C4B" w:rsidRPr="00FB07CE" w:rsidRDefault="00902C4B" w:rsidP="00902C4B">
      <w:pPr>
        <w:tabs>
          <w:tab w:val="left" w:pos="5387"/>
          <w:tab w:val="left" w:pos="6521"/>
          <w:tab w:val="left" w:pos="7655"/>
        </w:tabs>
        <w:ind w:left="567"/>
      </w:pPr>
      <w:r w:rsidRPr="00FB07CE">
        <w:t>Die Dienstbarkeiten, Grundpfandrechte, Vor- und Anmerkungen sind wie folgt zu bere</w:t>
      </w:r>
      <w:r w:rsidRPr="00FB07CE">
        <w:t>i</w:t>
      </w:r>
      <w:r w:rsidRPr="00FB07CE">
        <w:t>nigen, wobei „x“ belassen bzw. übertragen und „o“ nicht übertragen bzw. löschen b</w:t>
      </w:r>
      <w:r w:rsidRPr="00FB07CE">
        <w:t>e</w:t>
      </w:r>
      <w:r w:rsidRPr="00FB07CE">
        <w:t>deutet</w:t>
      </w:r>
      <w:r>
        <w:t xml:space="preserve"> (auf Doppeleinträge ist zu verzichten)</w:t>
      </w:r>
      <w:r w:rsidRPr="00FB07CE">
        <w:t>:</w:t>
      </w:r>
    </w:p>
    <w:p w:rsidR="00902C4B" w:rsidRPr="00FB07CE" w:rsidRDefault="00902C4B" w:rsidP="00902C4B">
      <w:pPr>
        <w:pBdr>
          <w:top w:val="single" w:sz="4" w:space="1" w:color="auto"/>
          <w:left w:val="single" w:sz="4" w:space="4" w:color="auto"/>
          <w:bottom w:val="single" w:sz="4" w:space="1" w:color="auto"/>
          <w:right w:val="single" w:sz="4" w:space="4" w:color="auto"/>
        </w:pBdr>
        <w:tabs>
          <w:tab w:val="bar" w:pos="5245"/>
          <w:tab w:val="left" w:pos="5387"/>
          <w:tab w:val="bar" w:pos="6379"/>
          <w:tab w:val="left" w:pos="6521"/>
          <w:tab w:val="bar" w:pos="7513"/>
          <w:tab w:val="left" w:pos="7655"/>
        </w:tabs>
        <w:ind w:left="567"/>
      </w:pPr>
      <w:r w:rsidRPr="00FB07CE">
        <w:tab/>
        <w:t>Nr. 834</w:t>
      </w:r>
      <w:r w:rsidRPr="00FB07CE">
        <w:tab/>
        <w:t>Abgang</w:t>
      </w:r>
      <w:r w:rsidRPr="00FB07CE">
        <w:tab/>
        <w:t>Nr. 835</w:t>
      </w:r>
    </w:p>
    <w:p w:rsidR="00902C4B" w:rsidRPr="00FB07CE" w:rsidRDefault="00902C4B" w:rsidP="00902C4B">
      <w:pPr>
        <w:pBdr>
          <w:top w:val="single" w:sz="4" w:space="1" w:color="auto"/>
          <w:left w:val="single" w:sz="4" w:space="4" w:color="auto"/>
          <w:bottom w:val="single" w:sz="4" w:space="1" w:color="auto"/>
          <w:right w:val="single" w:sz="4" w:space="4" w:color="auto"/>
        </w:pBdr>
        <w:tabs>
          <w:tab w:val="bar" w:pos="5245"/>
          <w:tab w:val="left" w:pos="5387"/>
          <w:tab w:val="bar" w:pos="6379"/>
          <w:tab w:val="left" w:pos="6521"/>
          <w:tab w:val="bar" w:pos="7513"/>
          <w:tab w:val="left" w:pos="7655"/>
        </w:tabs>
        <w:ind w:left="567"/>
      </w:pPr>
      <w:r w:rsidRPr="00FB07CE">
        <w:tab/>
      </w:r>
      <w:r w:rsidRPr="00FB07CE">
        <w:tab/>
        <w:t>von 834</w:t>
      </w:r>
    </w:p>
    <w:p w:rsidR="00902C4B" w:rsidRPr="00FB07CE" w:rsidRDefault="00902C4B" w:rsidP="00902C4B">
      <w:pPr>
        <w:pBdr>
          <w:top w:val="single" w:sz="4" w:space="1" w:color="auto"/>
          <w:left w:val="single" w:sz="4" w:space="4" w:color="auto"/>
          <w:bottom w:val="single" w:sz="4" w:space="1" w:color="auto"/>
          <w:right w:val="single" w:sz="4" w:space="4" w:color="auto"/>
        </w:pBdr>
        <w:tabs>
          <w:tab w:val="bar" w:pos="5245"/>
          <w:tab w:val="left" w:pos="5387"/>
          <w:tab w:val="bar" w:pos="6379"/>
          <w:tab w:val="left" w:pos="6521"/>
          <w:tab w:val="bar" w:pos="7513"/>
          <w:tab w:val="left" w:pos="7655"/>
        </w:tabs>
        <w:ind w:left="567"/>
      </w:pPr>
      <w:r w:rsidRPr="00FB07CE">
        <w:tab/>
      </w:r>
      <w:r w:rsidRPr="00FB07CE">
        <w:tab/>
        <w:t>an 835</w:t>
      </w:r>
    </w:p>
    <w:p w:rsidR="00902C4B" w:rsidRPr="00FB07CE" w:rsidRDefault="00902C4B" w:rsidP="00902C4B">
      <w:pPr>
        <w:pBdr>
          <w:top w:val="single" w:sz="4" w:space="1" w:color="auto"/>
          <w:left w:val="single" w:sz="4" w:space="4" w:color="auto"/>
          <w:bottom w:val="single" w:sz="4" w:space="1" w:color="auto"/>
          <w:right w:val="single" w:sz="4" w:space="4" w:color="auto"/>
          <w:between w:val="single" w:sz="4" w:space="1" w:color="auto"/>
          <w:bar w:val="single" w:sz="4" w:color="auto"/>
        </w:pBdr>
        <w:tabs>
          <w:tab w:val="bar" w:pos="5245"/>
          <w:tab w:val="left" w:pos="5812"/>
          <w:tab w:val="bar" w:pos="6379"/>
          <w:tab w:val="left" w:pos="6946"/>
          <w:tab w:val="bar" w:pos="7513"/>
          <w:tab w:val="left" w:pos="8080"/>
        </w:tabs>
        <w:ind w:left="567"/>
      </w:pPr>
      <w:r w:rsidRPr="00FB07CE">
        <w:rPr>
          <w:b/>
        </w:rPr>
        <w:t>Dienstbarkeiten</w:t>
      </w:r>
      <w:r w:rsidRPr="00FB07CE">
        <w:t xml:space="preserve"> auf Nr. 834:</w:t>
      </w:r>
    </w:p>
    <w:p w:rsidR="00902C4B" w:rsidRPr="00FB07CE" w:rsidRDefault="00902C4B" w:rsidP="00902C4B">
      <w:pPr>
        <w:pBdr>
          <w:top w:val="single" w:sz="4" w:space="1" w:color="auto"/>
          <w:left w:val="single" w:sz="4" w:space="4" w:color="auto"/>
          <w:bottom w:val="single" w:sz="4" w:space="1" w:color="auto"/>
          <w:right w:val="single" w:sz="4" w:space="4" w:color="auto"/>
          <w:between w:val="single" w:sz="4" w:space="1" w:color="auto"/>
          <w:bar w:val="single" w:sz="4" w:color="auto"/>
        </w:pBdr>
        <w:tabs>
          <w:tab w:val="bar" w:pos="5245"/>
          <w:tab w:val="left" w:pos="5812"/>
          <w:tab w:val="bar" w:pos="6379"/>
          <w:tab w:val="left" w:pos="6946"/>
          <w:tab w:val="bar" w:pos="7513"/>
          <w:tab w:val="left" w:pos="8080"/>
        </w:tabs>
        <w:ind w:left="567"/>
      </w:pPr>
      <w:r w:rsidRPr="00FB07CE">
        <w:t>Quellenrecht (Anteil) zL 471, 474, 482</w:t>
      </w:r>
      <w:r>
        <w:tab/>
        <w:t>x</w:t>
      </w:r>
      <w:r>
        <w:tab/>
        <w:t>o</w:t>
      </w:r>
    </w:p>
    <w:p w:rsidR="00902C4B" w:rsidRPr="00FB07CE" w:rsidRDefault="00902C4B" w:rsidP="00902C4B">
      <w:pPr>
        <w:pBdr>
          <w:top w:val="single" w:sz="4" w:space="1" w:color="auto"/>
          <w:left w:val="single" w:sz="4" w:space="4" w:color="auto"/>
          <w:bottom w:val="single" w:sz="4" w:space="1" w:color="auto"/>
          <w:right w:val="single" w:sz="4" w:space="4" w:color="auto"/>
          <w:between w:val="single" w:sz="4" w:space="1" w:color="auto"/>
          <w:bar w:val="single" w:sz="4" w:color="auto"/>
        </w:pBdr>
        <w:tabs>
          <w:tab w:val="bar" w:pos="5245"/>
          <w:tab w:val="left" w:pos="5812"/>
          <w:tab w:val="bar" w:pos="6379"/>
          <w:tab w:val="left" w:pos="6946"/>
          <w:tab w:val="bar" w:pos="7513"/>
          <w:tab w:val="left" w:pos="8080"/>
        </w:tabs>
        <w:ind w:left="567"/>
      </w:pPr>
      <w:r w:rsidRPr="00FB07CE">
        <w:t>Brunnenrecht am sog. Gassenbrunnen …</w:t>
      </w:r>
      <w:r>
        <w:tab/>
        <w:t>o</w:t>
      </w:r>
      <w:r>
        <w:tab/>
      </w:r>
      <w:proofErr w:type="spellStart"/>
      <w:r>
        <w:t>o</w:t>
      </w:r>
      <w:proofErr w:type="spellEnd"/>
    </w:p>
    <w:p w:rsidR="00902C4B" w:rsidRPr="00FB07CE" w:rsidRDefault="00902C4B" w:rsidP="00902C4B">
      <w:pPr>
        <w:pBdr>
          <w:top w:val="single" w:sz="4" w:space="1" w:color="auto"/>
          <w:left w:val="single" w:sz="4" w:space="4" w:color="auto"/>
          <w:bottom w:val="single" w:sz="4" w:space="1" w:color="auto"/>
          <w:right w:val="single" w:sz="4" w:space="4" w:color="auto"/>
          <w:between w:val="single" w:sz="4" w:space="1" w:color="auto"/>
          <w:bar w:val="single" w:sz="4" w:color="auto"/>
        </w:pBdr>
        <w:tabs>
          <w:tab w:val="bar" w:pos="5245"/>
          <w:tab w:val="left" w:pos="5812"/>
          <w:tab w:val="bar" w:pos="6379"/>
          <w:tab w:val="left" w:pos="6946"/>
          <w:tab w:val="bar" w:pos="7513"/>
          <w:tab w:val="left" w:pos="8080"/>
        </w:tabs>
        <w:ind w:left="567"/>
      </w:pPr>
      <w:r w:rsidRPr="00FB07CE">
        <w:t>Fahrwegrecht zL 301</w:t>
      </w:r>
      <w:r>
        <w:t>, 328, 356, 407</w:t>
      </w:r>
      <w:r>
        <w:tab/>
        <w:t>o</w:t>
      </w:r>
      <w:r>
        <w:tab/>
      </w:r>
      <w:proofErr w:type="spellStart"/>
      <w:r>
        <w:t>o</w:t>
      </w:r>
      <w:proofErr w:type="spellEnd"/>
    </w:p>
    <w:p w:rsidR="00902C4B" w:rsidRPr="00FB07CE" w:rsidRDefault="00902C4B" w:rsidP="00902C4B">
      <w:pPr>
        <w:pBdr>
          <w:top w:val="single" w:sz="4" w:space="1" w:color="auto"/>
          <w:left w:val="single" w:sz="4" w:space="4" w:color="auto"/>
          <w:bottom w:val="single" w:sz="4" w:space="1" w:color="auto"/>
          <w:right w:val="single" w:sz="4" w:space="4" w:color="auto"/>
          <w:between w:val="single" w:sz="4" w:space="1" w:color="auto"/>
          <w:bar w:val="single" w:sz="4" w:color="auto"/>
        </w:pBdr>
        <w:tabs>
          <w:tab w:val="bar" w:pos="5245"/>
          <w:tab w:val="left" w:pos="5812"/>
          <w:tab w:val="bar" w:pos="6379"/>
          <w:tab w:val="left" w:pos="6946"/>
          <w:tab w:val="bar" w:pos="7513"/>
          <w:tab w:val="left" w:pos="8080"/>
        </w:tabs>
        <w:ind w:left="567"/>
      </w:pPr>
      <w:r w:rsidRPr="00FB07CE">
        <w:t>Zu- und Ausfahrtsrecht zL 835</w:t>
      </w:r>
      <w:r>
        <w:tab/>
        <w:t>x</w:t>
      </w:r>
      <w:r>
        <w:tab/>
        <w:t>o</w:t>
      </w:r>
    </w:p>
    <w:p w:rsidR="00902C4B" w:rsidRPr="00FB07CE" w:rsidRDefault="00902C4B" w:rsidP="00902C4B">
      <w:pPr>
        <w:pBdr>
          <w:top w:val="single" w:sz="4" w:space="1" w:color="auto"/>
          <w:left w:val="single" w:sz="4" w:space="4" w:color="auto"/>
          <w:bottom w:val="single" w:sz="4" w:space="1" w:color="auto"/>
          <w:right w:val="single" w:sz="4" w:space="4" w:color="auto"/>
          <w:between w:val="single" w:sz="4" w:space="1" w:color="auto"/>
          <w:bar w:val="single" w:sz="4" w:color="auto"/>
        </w:pBdr>
        <w:tabs>
          <w:tab w:val="bar" w:pos="5245"/>
          <w:tab w:val="left" w:pos="5812"/>
          <w:tab w:val="bar" w:pos="6379"/>
          <w:tab w:val="left" w:pos="6946"/>
          <w:tab w:val="bar" w:pos="7513"/>
          <w:tab w:val="left" w:pos="8080"/>
        </w:tabs>
        <w:ind w:left="567"/>
      </w:pPr>
      <w:r w:rsidRPr="00FB07CE">
        <w:rPr>
          <w:b/>
        </w:rPr>
        <w:t>Dienstbarkeiten</w:t>
      </w:r>
      <w:r w:rsidRPr="00FB07CE">
        <w:t xml:space="preserve"> auf Nr. 835:</w:t>
      </w:r>
    </w:p>
    <w:p w:rsidR="00902C4B" w:rsidRPr="00FB07CE" w:rsidRDefault="00902C4B" w:rsidP="00902C4B">
      <w:pPr>
        <w:pBdr>
          <w:top w:val="single" w:sz="4" w:space="1" w:color="auto"/>
          <w:left w:val="single" w:sz="4" w:space="4" w:color="auto"/>
          <w:bottom w:val="single" w:sz="4" w:space="1" w:color="auto"/>
          <w:right w:val="single" w:sz="4" w:space="4" w:color="auto"/>
          <w:between w:val="single" w:sz="4" w:space="1" w:color="auto"/>
          <w:bar w:val="single" w:sz="4" w:color="auto"/>
        </w:pBdr>
        <w:tabs>
          <w:tab w:val="bar" w:pos="5245"/>
          <w:tab w:val="left" w:pos="5812"/>
          <w:tab w:val="bar" w:pos="6379"/>
          <w:tab w:val="left" w:pos="6946"/>
          <w:tab w:val="bar" w:pos="7513"/>
          <w:tab w:val="left" w:pos="8080"/>
        </w:tabs>
        <w:ind w:left="567"/>
      </w:pPr>
      <w:r w:rsidRPr="00FB07CE">
        <w:t>SDR Quellenrecht zG 764</w:t>
      </w:r>
      <w:r>
        <w:tab/>
      </w:r>
      <w:r>
        <w:tab/>
        <w:t>x</w:t>
      </w:r>
      <w:r>
        <w:tab/>
      </w:r>
      <w:proofErr w:type="spellStart"/>
      <w:r>
        <w:t>x</w:t>
      </w:r>
      <w:proofErr w:type="spellEnd"/>
    </w:p>
    <w:p w:rsidR="00902C4B" w:rsidRPr="00FB07CE" w:rsidRDefault="00902C4B" w:rsidP="00902C4B">
      <w:pPr>
        <w:pBdr>
          <w:top w:val="single" w:sz="4" w:space="1" w:color="auto"/>
          <w:left w:val="single" w:sz="4" w:space="4" w:color="auto"/>
          <w:bottom w:val="single" w:sz="4" w:space="1" w:color="auto"/>
          <w:right w:val="single" w:sz="4" w:space="4" w:color="auto"/>
          <w:between w:val="single" w:sz="4" w:space="1" w:color="auto"/>
          <w:bar w:val="single" w:sz="4" w:color="auto"/>
        </w:pBdr>
        <w:tabs>
          <w:tab w:val="bar" w:pos="5245"/>
          <w:tab w:val="left" w:pos="5812"/>
          <w:tab w:val="bar" w:pos="6379"/>
          <w:tab w:val="left" w:pos="6946"/>
          <w:tab w:val="bar" w:pos="7513"/>
          <w:tab w:val="left" w:pos="8080"/>
        </w:tabs>
        <w:ind w:left="567"/>
      </w:pPr>
      <w:r w:rsidRPr="00FB07CE">
        <w:t>Zu- und Ausfahrtsrecht zG 834</w:t>
      </w:r>
      <w:r>
        <w:tab/>
      </w:r>
      <w:r>
        <w:tab/>
        <w:t>x</w:t>
      </w:r>
      <w:r>
        <w:tab/>
      </w:r>
      <w:proofErr w:type="spellStart"/>
      <w:r>
        <w:t>x</w:t>
      </w:r>
      <w:proofErr w:type="spellEnd"/>
    </w:p>
    <w:p w:rsidR="00902C4B" w:rsidRPr="00FB07CE" w:rsidRDefault="00902C4B" w:rsidP="00902C4B">
      <w:pPr>
        <w:pBdr>
          <w:top w:val="single" w:sz="4" w:space="1" w:color="auto"/>
          <w:left w:val="single" w:sz="4" w:space="4" w:color="auto"/>
          <w:bottom w:val="single" w:sz="4" w:space="1" w:color="auto"/>
          <w:right w:val="single" w:sz="4" w:space="4" w:color="auto"/>
          <w:between w:val="single" w:sz="4" w:space="1" w:color="auto"/>
          <w:bar w:val="single" w:sz="4" w:color="auto"/>
        </w:pBdr>
        <w:tabs>
          <w:tab w:val="bar" w:pos="5245"/>
          <w:tab w:val="left" w:pos="5812"/>
          <w:tab w:val="bar" w:pos="6379"/>
          <w:tab w:val="left" w:pos="6946"/>
          <w:tab w:val="bar" w:pos="7513"/>
          <w:tab w:val="left" w:pos="8080"/>
        </w:tabs>
        <w:ind w:left="567"/>
      </w:pPr>
      <w:proofErr w:type="spellStart"/>
      <w:r w:rsidRPr="00FB07CE">
        <w:t>Landw</w:t>
      </w:r>
      <w:proofErr w:type="spellEnd"/>
      <w:r w:rsidRPr="00FB07CE">
        <w:t xml:space="preserve">. Fuss- und Fahrwegrecht </w:t>
      </w:r>
    </w:p>
    <w:p w:rsidR="00902C4B" w:rsidRPr="00FB07CE" w:rsidRDefault="00902C4B" w:rsidP="00902C4B">
      <w:pPr>
        <w:pBdr>
          <w:top w:val="single" w:sz="4" w:space="1" w:color="auto"/>
          <w:left w:val="single" w:sz="4" w:space="4" w:color="auto"/>
          <w:bottom w:val="single" w:sz="4" w:space="1" w:color="auto"/>
          <w:right w:val="single" w:sz="4" w:space="4" w:color="auto"/>
          <w:between w:val="single" w:sz="4" w:space="1" w:color="auto"/>
          <w:bar w:val="single" w:sz="4" w:color="auto"/>
        </w:pBdr>
        <w:tabs>
          <w:tab w:val="bar" w:pos="5245"/>
          <w:tab w:val="left" w:pos="5812"/>
          <w:tab w:val="bar" w:pos="6379"/>
          <w:tab w:val="left" w:pos="6946"/>
          <w:tab w:val="bar" w:pos="7513"/>
          <w:tab w:val="left" w:pos="8080"/>
        </w:tabs>
        <w:ind w:left="567"/>
      </w:pPr>
      <w:r w:rsidRPr="00FB07CE">
        <w:t xml:space="preserve">zG </w:t>
      </w:r>
      <w:r>
        <w:t xml:space="preserve">Langnau </w:t>
      </w:r>
      <w:r w:rsidRPr="00FB07CE">
        <w:t>2199</w:t>
      </w:r>
      <w:r>
        <w:tab/>
      </w:r>
      <w:r>
        <w:tab/>
        <w:t>x</w:t>
      </w:r>
      <w:r>
        <w:tab/>
      </w:r>
      <w:proofErr w:type="spellStart"/>
      <w:r>
        <w:t>x</w:t>
      </w:r>
      <w:proofErr w:type="spellEnd"/>
    </w:p>
    <w:p w:rsidR="00902C4B" w:rsidRPr="00FB07CE" w:rsidRDefault="00902C4B" w:rsidP="00902C4B">
      <w:pPr>
        <w:pBdr>
          <w:top w:val="single" w:sz="4" w:space="1" w:color="auto"/>
          <w:left w:val="single" w:sz="4" w:space="4" w:color="auto"/>
          <w:bottom w:val="single" w:sz="4" w:space="1" w:color="auto"/>
          <w:right w:val="single" w:sz="4" w:space="4" w:color="auto"/>
          <w:between w:val="single" w:sz="4" w:space="1" w:color="auto"/>
          <w:bar w:val="single" w:sz="4" w:color="auto"/>
        </w:pBdr>
        <w:tabs>
          <w:tab w:val="bar" w:pos="5245"/>
          <w:tab w:val="left" w:pos="5812"/>
          <w:tab w:val="bar" w:pos="6379"/>
          <w:tab w:val="left" w:pos="6946"/>
          <w:tab w:val="bar" w:pos="7513"/>
          <w:tab w:val="left" w:pos="8080"/>
        </w:tabs>
        <w:ind w:left="567"/>
      </w:pPr>
      <w:r w:rsidRPr="00FB07CE">
        <w:rPr>
          <w:b/>
        </w:rPr>
        <w:t>Grundpfandrechte</w:t>
      </w:r>
      <w:r>
        <w:t xml:space="preserve"> auf Nr. 834</w:t>
      </w:r>
      <w:r w:rsidRPr="00FB07CE">
        <w:t>:</w:t>
      </w:r>
    </w:p>
    <w:p w:rsidR="00902C4B" w:rsidRPr="00FB07CE" w:rsidRDefault="00902C4B" w:rsidP="00902C4B">
      <w:pPr>
        <w:pBdr>
          <w:top w:val="single" w:sz="4" w:space="1" w:color="auto"/>
          <w:left w:val="single" w:sz="4" w:space="4" w:color="auto"/>
          <w:bottom w:val="single" w:sz="4" w:space="1" w:color="auto"/>
          <w:right w:val="single" w:sz="4" w:space="4" w:color="auto"/>
          <w:between w:val="single" w:sz="4" w:space="1" w:color="auto"/>
          <w:bar w:val="single" w:sz="4" w:color="auto"/>
        </w:pBdr>
        <w:tabs>
          <w:tab w:val="bar" w:pos="5245"/>
          <w:tab w:val="left" w:pos="5812"/>
          <w:tab w:val="bar" w:pos="6379"/>
          <w:tab w:val="left" w:pos="6946"/>
          <w:tab w:val="bar" w:pos="7513"/>
          <w:tab w:val="left" w:pos="8080"/>
        </w:tabs>
        <w:ind w:left="567"/>
      </w:pPr>
      <w:r w:rsidRPr="00FB07CE">
        <w:t>1. Rang SB Fr. 260'000.—</w:t>
      </w:r>
      <w:r w:rsidRPr="00FB07CE">
        <w:tab/>
      </w:r>
      <w:r>
        <w:t>x</w:t>
      </w:r>
      <w:r>
        <w:tab/>
        <w:t>o</w:t>
      </w:r>
    </w:p>
    <w:p w:rsidR="00902C4B" w:rsidRPr="00FB07CE" w:rsidRDefault="00902C4B" w:rsidP="00902C4B">
      <w:pPr>
        <w:pBdr>
          <w:top w:val="single" w:sz="4" w:space="1" w:color="auto"/>
          <w:left w:val="single" w:sz="4" w:space="4" w:color="auto"/>
          <w:bottom w:val="single" w:sz="4" w:space="1" w:color="auto"/>
          <w:right w:val="single" w:sz="4" w:space="4" w:color="auto"/>
          <w:between w:val="single" w:sz="4" w:space="1" w:color="auto"/>
          <w:bar w:val="single" w:sz="4" w:color="auto"/>
        </w:pBdr>
        <w:tabs>
          <w:tab w:val="bar" w:pos="5245"/>
          <w:tab w:val="left" w:pos="5812"/>
          <w:tab w:val="bar" w:pos="6379"/>
          <w:tab w:val="left" w:pos="6946"/>
          <w:tab w:val="bar" w:pos="7513"/>
          <w:tab w:val="left" w:pos="8080"/>
        </w:tabs>
        <w:ind w:left="567"/>
      </w:pPr>
      <w:r w:rsidRPr="00FB07CE">
        <w:t>2. Rang SB Fr. 114'000.—</w:t>
      </w:r>
      <w:r w:rsidRPr="00FB07CE">
        <w:tab/>
      </w:r>
      <w:r>
        <w:t>x</w:t>
      </w:r>
      <w:r>
        <w:tab/>
        <w:t>o</w:t>
      </w:r>
    </w:p>
    <w:p w:rsidR="00902C4B" w:rsidRDefault="00902C4B">
      <w:pPr>
        <w:spacing w:after="200"/>
        <w:rPr>
          <w:b/>
        </w:rPr>
      </w:pPr>
      <w:r>
        <w:rPr>
          <w:b/>
        </w:rPr>
        <w:br w:type="page"/>
      </w:r>
    </w:p>
    <w:p w:rsidR="00902C4B" w:rsidRPr="00FB07CE" w:rsidRDefault="00902C4B" w:rsidP="00902C4B">
      <w:pPr>
        <w:pBdr>
          <w:top w:val="single" w:sz="4" w:space="1" w:color="auto"/>
          <w:left w:val="single" w:sz="4" w:space="4" w:color="auto"/>
          <w:bottom w:val="single" w:sz="4" w:space="1" w:color="auto"/>
          <w:right w:val="single" w:sz="4" w:space="4" w:color="auto"/>
          <w:between w:val="single" w:sz="4" w:space="1" w:color="auto"/>
          <w:bar w:val="single" w:sz="4" w:color="auto"/>
        </w:pBdr>
        <w:tabs>
          <w:tab w:val="bar" w:pos="5245"/>
          <w:tab w:val="left" w:pos="5812"/>
          <w:tab w:val="bar" w:pos="6379"/>
          <w:tab w:val="left" w:pos="6946"/>
          <w:tab w:val="bar" w:pos="7513"/>
          <w:tab w:val="left" w:pos="8080"/>
        </w:tabs>
        <w:ind w:left="567"/>
      </w:pPr>
      <w:r w:rsidRPr="00FB07CE">
        <w:rPr>
          <w:b/>
        </w:rPr>
        <w:lastRenderedPageBreak/>
        <w:t>Grundpfandrechte</w:t>
      </w:r>
      <w:r>
        <w:t xml:space="preserve"> auf Nr. 835</w:t>
      </w:r>
      <w:r w:rsidRPr="00FB07CE">
        <w:t>:</w:t>
      </w:r>
    </w:p>
    <w:p w:rsidR="00902C4B" w:rsidRPr="00FB07CE" w:rsidRDefault="00902C4B" w:rsidP="00902C4B">
      <w:pPr>
        <w:pBdr>
          <w:top w:val="single" w:sz="4" w:space="1" w:color="auto"/>
          <w:left w:val="single" w:sz="4" w:space="4" w:color="auto"/>
          <w:bottom w:val="single" w:sz="4" w:space="1" w:color="auto"/>
          <w:right w:val="single" w:sz="4" w:space="4" w:color="auto"/>
          <w:between w:val="single" w:sz="4" w:space="1" w:color="auto"/>
          <w:bar w:val="single" w:sz="4" w:color="auto"/>
        </w:pBdr>
        <w:tabs>
          <w:tab w:val="bar" w:pos="5245"/>
          <w:tab w:val="left" w:pos="5812"/>
          <w:tab w:val="bar" w:pos="6379"/>
          <w:tab w:val="left" w:pos="6946"/>
          <w:tab w:val="bar" w:pos="7513"/>
          <w:tab w:val="left" w:pos="8080"/>
        </w:tabs>
        <w:ind w:left="567"/>
      </w:pPr>
      <w:r w:rsidRPr="00FB07CE">
        <w:t>1. Rang SB Fr. 10'000.—</w:t>
      </w:r>
      <w:r w:rsidRPr="00FB07CE">
        <w:tab/>
      </w:r>
      <w:r>
        <w:tab/>
        <w:t>x</w:t>
      </w:r>
      <w:r>
        <w:tab/>
      </w:r>
      <w:proofErr w:type="spellStart"/>
      <w:r>
        <w:t>x</w:t>
      </w:r>
      <w:proofErr w:type="spellEnd"/>
    </w:p>
    <w:p w:rsidR="00902C4B" w:rsidRPr="00FB07CE" w:rsidRDefault="00902C4B" w:rsidP="00902C4B">
      <w:pPr>
        <w:pBdr>
          <w:top w:val="single" w:sz="4" w:space="1" w:color="auto"/>
          <w:left w:val="single" w:sz="4" w:space="4" w:color="auto"/>
          <w:bottom w:val="single" w:sz="4" w:space="1" w:color="auto"/>
          <w:right w:val="single" w:sz="4" w:space="4" w:color="auto"/>
          <w:between w:val="single" w:sz="4" w:space="1" w:color="auto"/>
          <w:bar w:val="single" w:sz="4" w:color="auto"/>
        </w:pBdr>
        <w:tabs>
          <w:tab w:val="bar" w:pos="5245"/>
          <w:tab w:val="left" w:pos="5812"/>
          <w:tab w:val="bar" w:pos="6379"/>
          <w:tab w:val="left" w:pos="6946"/>
          <w:tab w:val="bar" w:pos="7513"/>
          <w:tab w:val="left" w:pos="8080"/>
        </w:tabs>
        <w:ind w:left="567"/>
      </w:pPr>
      <w:r w:rsidRPr="00FB07CE">
        <w:t>2. Rang SB Fr. 10'000.—</w:t>
      </w:r>
      <w:r w:rsidRPr="00FB07CE">
        <w:tab/>
      </w:r>
      <w:r>
        <w:tab/>
        <w:t>x</w:t>
      </w:r>
      <w:r>
        <w:tab/>
      </w:r>
      <w:proofErr w:type="spellStart"/>
      <w:r>
        <w:t>x</w:t>
      </w:r>
      <w:proofErr w:type="spellEnd"/>
    </w:p>
    <w:p w:rsidR="00902C4B" w:rsidRPr="00FB07CE" w:rsidRDefault="00902C4B" w:rsidP="00902C4B">
      <w:pPr>
        <w:pBdr>
          <w:top w:val="single" w:sz="4" w:space="1" w:color="auto"/>
          <w:left w:val="single" w:sz="4" w:space="4" w:color="auto"/>
          <w:bottom w:val="single" w:sz="4" w:space="1" w:color="auto"/>
          <w:right w:val="single" w:sz="4" w:space="4" w:color="auto"/>
          <w:between w:val="single" w:sz="4" w:space="1" w:color="auto"/>
          <w:bar w:val="single" w:sz="4" w:color="auto"/>
        </w:pBdr>
        <w:tabs>
          <w:tab w:val="bar" w:pos="5245"/>
          <w:tab w:val="left" w:pos="5812"/>
          <w:tab w:val="bar" w:pos="6379"/>
          <w:tab w:val="left" w:pos="6946"/>
          <w:tab w:val="bar" w:pos="7513"/>
          <w:tab w:val="left" w:pos="8080"/>
        </w:tabs>
        <w:ind w:left="567"/>
      </w:pPr>
      <w:r w:rsidRPr="00FB07CE">
        <w:t>3. Rang SB Fr. 20'000.—</w:t>
      </w:r>
      <w:r w:rsidRPr="00FB07CE">
        <w:tab/>
      </w:r>
      <w:r>
        <w:tab/>
        <w:t>x</w:t>
      </w:r>
      <w:r>
        <w:tab/>
      </w:r>
      <w:proofErr w:type="spellStart"/>
      <w:r>
        <w:t>x</w:t>
      </w:r>
      <w:proofErr w:type="spellEnd"/>
    </w:p>
    <w:p w:rsidR="00902C4B" w:rsidRPr="00FB07CE" w:rsidRDefault="00902C4B" w:rsidP="00902C4B">
      <w:pPr>
        <w:pBdr>
          <w:top w:val="single" w:sz="4" w:space="1" w:color="auto"/>
          <w:left w:val="single" w:sz="4" w:space="4" w:color="auto"/>
          <w:bottom w:val="single" w:sz="4" w:space="1" w:color="auto"/>
          <w:right w:val="single" w:sz="4" w:space="4" w:color="auto"/>
          <w:between w:val="single" w:sz="4" w:space="1" w:color="auto"/>
          <w:bar w:val="single" w:sz="4" w:color="auto"/>
        </w:pBdr>
        <w:tabs>
          <w:tab w:val="bar" w:pos="5245"/>
          <w:tab w:val="left" w:pos="5812"/>
          <w:tab w:val="bar" w:pos="6379"/>
          <w:tab w:val="left" w:pos="6946"/>
          <w:tab w:val="bar" w:pos="7513"/>
          <w:tab w:val="left" w:pos="8080"/>
        </w:tabs>
        <w:ind w:left="567"/>
      </w:pPr>
      <w:r w:rsidRPr="00FB07CE">
        <w:t>4. Rang SB Fr. 70'000.—</w:t>
      </w:r>
      <w:r w:rsidRPr="00FB07CE">
        <w:tab/>
      </w:r>
      <w:r>
        <w:tab/>
        <w:t>x</w:t>
      </w:r>
      <w:r>
        <w:tab/>
      </w:r>
      <w:proofErr w:type="spellStart"/>
      <w:r>
        <w:t>x</w:t>
      </w:r>
      <w:proofErr w:type="spellEnd"/>
    </w:p>
    <w:p w:rsidR="00902C4B" w:rsidRPr="00FB07CE" w:rsidRDefault="00902C4B" w:rsidP="00902C4B">
      <w:pPr>
        <w:pBdr>
          <w:top w:val="single" w:sz="4" w:space="1" w:color="auto"/>
          <w:left w:val="single" w:sz="4" w:space="4" w:color="auto"/>
          <w:bottom w:val="single" w:sz="4" w:space="1" w:color="auto"/>
          <w:right w:val="single" w:sz="4" w:space="4" w:color="auto"/>
          <w:between w:val="single" w:sz="4" w:space="1" w:color="auto"/>
          <w:bar w:val="single" w:sz="4" w:color="auto"/>
        </w:pBdr>
        <w:tabs>
          <w:tab w:val="bar" w:pos="5245"/>
          <w:tab w:val="left" w:pos="5812"/>
          <w:tab w:val="bar" w:pos="6379"/>
          <w:tab w:val="left" w:pos="6946"/>
          <w:tab w:val="bar" w:pos="7513"/>
          <w:tab w:val="left" w:pos="8080"/>
        </w:tabs>
        <w:ind w:left="567"/>
      </w:pPr>
      <w:r w:rsidRPr="00FB07CE">
        <w:rPr>
          <w:b/>
        </w:rPr>
        <w:t>Grundpfandrechte</w:t>
      </w:r>
      <w:r w:rsidRPr="00FB07CE">
        <w:t xml:space="preserve"> auf Nr. </w:t>
      </w:r>
      <w:r>
        <w:t>835</w:t>
      </w:r>
      <w:r w:rsidRPr="00FB07CE">
        <w:t>-1:</w:t>
      </w:r>
    </w:p>
    <w:p w:rsidR="00902C4B" w:rsidRPr="00FB07CE" w:rsidRDefault="00902C4B" w:rsidP="00902C4B">
      <w:pPr>
        <w:pBdr>
          <w:top w:val="single" w:sz="4" w:space="1" w:color="auto"/>
          <w:left w:val="single" w:sz="4" w:space="4" w:color="auto"/>
          <w:bottom w:val="single" w:sz="4" w:space="1" w:color="auto"/>
          <w:right w:val="single" w:sz="4" w:space="4" w:color="auto"/>
          <w:between w:val="single" w:sz="4" w:space="1" w:color="auto"/>
          <w:bar w:val="single" w:sz="4" w:color="auto"/>
        </w:pBdr>
        <w:tabs>
          <w:tab w:val="bar" w:pos="5245"/>
          <w:tab w:val="left" w:pos="5812"/>
          <w:tab w:val="bar" w:pos="6379"/>
          <w:tab w:val="left" w:pos="6946"/>
          <w:tab w:val="bar" w:pos="7513"/>
          <w:tab w:val="left" w:pos="8080"/>
        </w:tabs>
        <w:ind w:left="567"/>
      </w:pPr>
      <w:r w:rsidRPr="00FB07CE">
        <w:t>1. Rang PfV Fr. 51'250.—</w:t>
      </w:r>
      <w:r w:rsidRPr="00FB07CE">
        <w:tab/>
      </w:r>
      <w:r>
        <w:tab/>
        <w:t>o</w:t>
      </w:r>
      <w:r>
        <w:tab/>
      </w:r>
      <w:proofErr w:type="spellStart"/>
      <w:r>
        <w:t>o</w:t>
      </w:r>
      <w:proofErr w:type="spellEnd"/>
    </w:p>
    <w:p w:rsidR="00902C4B" w:rsidRPr="00FB07CE" w:rsidRDefault="00902C4B" w:rsidP="00902C4B">
      <w:pPr>
        <w:pBdr>
          <w:top w:val="single" w:sz="4" w:space="1" w:color="auto"/>
          <w:left w:val="single" w:sz="4" w:space="4" w:color="auto"/>
          <w:bottom w:val="single" w:sz="4" w:space="1" w:color="auto"/>
          <w:right w:val="single" w:sz="4" w:space="4" w:color="auto"/>
          <w:between w:val="single" w:sz="4" w:space="1" w:color="auto"/>
          <w:bar w:val="single" w:sz="4" w:color="auto"/>
        </w:pBdr>
        <w:tabs>
          <w:tab w:val="bar" w:pos="5245"/>
          <w:tab w:val="left" w:pos="5812"/>
          <w:tab w:val="bar" w:pos="6379"/>
          <w:tab w:val="left" w:pos="6946"/>
          <w:tab w:val="bar" w:pos="7513"/>
          <w:tab w:val="left" w:pos="8080"/>
        </w:tabs>
        <w:ind w:left="567"/>
      </w:pPr>
      <w:r w:rsidRPr="00FB07CE">
        <w:t>2. Rang SB Fr. 50'000.—</w:t>
      </w:r>
      <w:r w:rsidRPr="00FB07CE">
        <w:tab/>
      </w:r>
      <w:r>
        <w:tab/>
        <w:t>x</w:t>
      </w:r>
      <w:r>
        <w:tab/>
      </w:r>
      <w:proofErr w:type="spellStart"/>
      <w:r>
        <w:t>x</w:t>
      </w:r>
      <w:proofErr w:type="spellEnd"/>
    </w:p>
    <w:p w:rsidR="00902C4B" w:rsidRPr="00FB07CE" w:rsidRDefault="00902C4B" w:rsidP="00902C4B">
      <w:pPr>
        <w:pBdr>
          <w:top w:val="single" w:sz="4" w:space="1" w:color="auto"/>
          <w:left w:val="single" w:sz="4" w:space="4" w:color="auto"/>
          <w:bottom w:val="single" w:sz="4" w:space="1" w:color="auto"/>
          <w:right w:val="single" w:sz="4" w:space="4" w:color="auto"/>
          <w:between w:val="single" w:sz="4" w:space="1" w:color="auto"/>
          <w:bar w:val="single" w:sz="4" w:color="auto"/>
        </w:pBdr>
        <w:tabs>
          <w:tab w:val="bar" w:pos="5245"/>
          <w:tab w:val="left" w:pos="5812"/>
          <w:tab w:val="bar" w:pos="6379"/>
          <w:tab w:val="left" w:pos="6946"/>
          <w:tab w:val="bar" w:pos="7513"/>
          <w:tab w:val="left" w:pos="8080"/>
        </w:tabs>
        <w:ind w:left="567"/>
      </w:pPr>
      <w:r w:rsidRPr="00FB07CE">
        <w:t>3. Rang PfV Fr. 120'000.–</w:t>
      </w:r>
      <w:r w:rsidRPr="00FB07CE">
        <w:tab/>
      </w:r>
      <w:r>
        <w:tab/>
        <w:t>x</w:t>
      </w:r>
      <w:r>
        <w:tab/>
      </w:r>
      <w:proofErr w:type="spellStart"/>
      <w:r>
        <w:t>x</w:t>
      </w:r>
      <w:proofErr w:type="spellEnd"/>
    </w:p>
    <w:p w:rsidR="00902C4B" w:rsidRPr="00FB07CE" w:rsidRDefault="00902C4B" w:rsidP="00902C4B">
      <w:pPr>
        <w:pBdr>
          <w:top w:val="single" w:sz="4" w:space="1" w:color="auto"/>
          <w:left w:val="single" w:sz="4" w:space="4" w:color="auto"/>
          <w:bottom w:val="single" w:sz="4" w:space="1" w:color="auto"/>
          <w:right w:val="single" w:sz="4" w:space="4" w:color="auto"/>
          <w:between w:val="single" w:sz="4" w:space="1" w:color="auto"/>
          <w:bar w:val="single" w:sz="4" w:color="auto"/>
        </w:pBdr>
        <w:tabs>
          <w:tab w:val="bar" w:pos="5245"/>
          <w:tab w:val="left" w:pos="5812"/>
          <w:tab w:val="bar" w:pos="6379"/>
          <w:tab w:val="left" w:pos="6946"/>
          <w:tab w:val="bar" w:pos="7513"/>
          <w:tab w:val="left" w:pos="8080"/>
        </w:tabs>
        <w:ind w:left="567"/>
      </w:pPr>
      <w:r w:rsidRPr="00FB07CE">
        <w:rPr>
          <w:b/>
        </w:rPr>
        <w:t>Grundpfandrechte</w:t>
      </w:r>
      <w:r w:rsidRPr="00FB07CE">
        <w:t xml:space="preserve"> auf Nr. </w:t>
      </w:r>
      <w:r>
        <w:t>835</w:t>
      </w:r>
      <w:r w:rsidRPr="00FB07CE">
        <w:t>-2:</w:t>
      </w:r>
    </w:p>
    <w:p w:rsidR="00902C4B" w:rsidRPr="00FB07CE" w:rsidRDefault="00902C4B" w:rsidP="00902C4B">
      <w:pPr>
        <w:pBdr>
          <w:top w:val="single" w:sz="4" w:space="1" w:color="auto"/>
          <w:left w:val="single" w:sz="4" w:space="4" w:color="auto"/>
          <w:bottom w:val="single" w:sz="4" w:space="1" w:color="auto"/>
          <w:right w:val="single" w:sz="4" w:space="4" w:color="auto"/>
          <w:between w:val="single" w:sz="4" w:space="1" w:color="auto"/>
          <w:bar w:val="single" w:sz="4" w:color="auto"/>
        </w:pBdr>
        <w:tabs>
          <w:tab w:val="bar" w:pos="5245"/>
          <w:tab w:val="left" w:pos="5812"/>
          <w:tab w:val="bar" w:pos="6379"/>
          <w:tab w:val="left" w:pos="6946"/>
          <w:tab w:val="bar" w:pos="7513"/>
          <w:tab w:val="left" w:pos="8080"/>
        </w:tabs>
        <w:ind w:left="567"/>
      </w:pPr>
      <w:r w:rsidRPr="00FB07CE">
        <w:t>1. Rang PfV Fr. 51'250.—</w:t>
      </w:r>
      <w:r w:rsidRPr="00FB07CE">
        <w:tab/>
      </w:r>
      <w:r>
        <w:tab/>
        <w:t>x</w:t>
      </w:r>
      <w:r>
        <w:tab/>
      </w:r>
      <w:proofErr w:type="spellStart"/>
      <w:r>
        <w:t>x</w:t>
      </w:r>
      <w:proofErr w:type="spellEnd"/>
    </w:p>
    <w:p w:rsidR="00902C4B" w:rsidRPr="00FB07CE" w:rsidRDefault="00902C4B" w:rsidP="00902C4B">
      <w:pPr>
        <w:pBdr>
          <w:top w:val="single" w:sz="4" w:space="1" w:color="auto"/>
          <w:left w:val="single" w:sz="4" w:space="4" w:color="auto"/>
          <w:bottom w:val="single" w:sz="4" w:space="1" w:color="auto"/>
          <w:right w:val="single" w:sz="4" w:space="4" w:color="auto"/>
          <w:between w:val="single" w:sz="4" w:space="1" w:color="auto"/>
          <w:bar w:val="single" w:sz="4" w:color="auto"/>
        </w:pBdr>
        <w:tabs>
          <w:tab w:val="bar" w:pos="5245"/>
          <w:tab w:val="left" w:pos="5812"/>
          <w:tab w:val="bar" w:pos="6379"/>
          <w:tab w:val="left" w:pos="6946"/>
          <w:tab w:val="bar" w:pos="7513"/>
          <w:tab w:val="left" w:pos="8080"/>
        </w:tabs>
        <w:ind w:left="567"/>
      </w:pPr>
      <w:r w:rsidRPr="00FB07CE">
        <w:t>2. Rang SB Fr. 50'000.—</w:t>
      </w:r>
      <w:r w:rsidRPr="00FB07CE">
        <w:tab/>
      </w:r>
      <w:r>
        <w:tab/>
        <w:t>x</w:t>
      </w:r>
      <w:r>
        <w:tab/>
      </w:r>
      <w:proofErr w:type="spellStart"/>
      <w:r>
        <w:t>x</w:t>
      </w:r>
      <w:proofErr w:type="spellEnd"/>
    </w:p>
    <w:p w:rsidR="00902C4B" w:rsidRPr="00FB07CE" w:rsidRDefault="00902C4B" w:rsidP="00902C4B">
      <w:pPr>
        <w:pBdr>
          <w:top w:val="single" w:sz="4" w:space="1" w:color="auto"/>
          <w:left w:val="single" w:sz="4" w:space="4" w:color="auto"/>
          <w:bottom w:val="single" w:sz="4" w:space="1" w:color="auto"/>
          <w:right w:val="single" w:sz="4" w:space="4" w:color="auto"/>
          <w:between w:val="single" w:sz="4" w:space="1" w:color="auto"/>
          <w:bar w:val="single" w:sz="4" w:color="auto"/>
        </w:pBdr>
        <w:tabs>
          <w:tab w:val="bar" w:pos="5245"/>
          <w:tab w:val="left" w:pos="5812"/>
          <w:tab w:val="bar" w:pos="6379"/>
          <w:tab w:val="left" w:pos="6946"/>
          <w:tab w:val="bar" w:pos="7513"/>
          <w:tab w:val="left" w:pos="8080"/>
        </w:tabs>
        <w:ind w:left="567"/>
      </w:pPr>
      <w:r w:rsidRPr="00FB07CE">
        <w:t>3. Rang PfV Fr. 120'000.–</w:t>
      </w:r>
      <w:r w:rsidRPr="00FB07CE">
        <w:tab/>
      </w:r>
      <w:r>
        <w:tab/>
        <w:t>x</w:t>
      </w:r>
      <w:r>
        <w:tab/>
      </w:r>
      <w:proofErr w:type="spellStart"/>
      <w:r>
        <w:t>x</w:t>
      </w:r>
      <w:proofErr w:type="spellEnd"/>
    </w:p>
    <w:p w:rsidR="00902C4B" w:rsidRPr="00FB07CE" w:rsidRDefault="00902C4B" w:rsidP="00902C4B">
      <w:pPr>
        <w:pBdr>
          <w:top w:val="single" w:sz="4" w:space="1" w:color="auto"/>
          <w:left w:val="single" w:sz="4" w:space="4" w:color="auto"/>
          <w:bottom w:val="single" w:sz="4" w:space="1" w:color="auto"/>
          <w:right w:val="single" w:sz="4" w:space="4" w:color="auto"/>
          <w:between w:val="single" w:sz="4" w:space="1" w:color="auto"/>
          <w:bar w:val="single" w:sz="4" w:color="auto"/>
        </w:pBdr>
        <w:tabs>
          <w:tab w:val="bar" w:pos="5245"/>
          <w:tab w:val="left" w:pos="5812"/>
          <w:tab w:val="bar" w:pos="6379"/>
          <w:tab w:val="left" w:pos="6946"/>
          <w:tab w:val="bar" w:pos="7513"/>
          <w:tab w:val="left" w:pos="8080"/>
        </w:tabs>
        <w:ind w:left="567"/>
      </w:pPr>
      <w:r w:rsidRPr="00FB07CE">
        <w:rPr>
          <w:b/>
        </w:rPr>
        <w:t>Vormerkungen</w:t>
      </w:r>
      <w:r w:rsidRPr="00FB07CE">
        <w:t xml:space="preserve"> auf Nr. </w:t>
      </w:r>
      <w:r>
        <w:t>834</w:t>
      </w:r>
      <w:r w:rsidRPr="00FB07CE">
        <w:t>:</w:t>
      </w:r>
    </w:p>
    <w:p w:rsidR="00902C4B" w:rsidRPr="00FB07CE" w:rsidRDefault="00902C4B" w:rsidP="00902C4B">
      <w:pPr>
        <w:pBdr>
          <w:top w:val="single" w:sz="4" w:space="1" w:color="auto"/>
          <w:left w:val="single" w:sz="4" w:space="4" w:color="auto"/>
          <w:bottom w:val="single" w:sz="4" w:space="1" w:color="auto"/>
          <w:right w:val="single" w:sz="4" w:space="4" w:color="auto"/>
          <w:between w:val="single" w:sz="4" w:space="1" w:color="auto"/>
          <w:bar w:val="single" w:sz="4" w:color="auto"/>
        </w:pBdr>
        <w:tabs>
          <w:tab w:val="bar" w:pos="5245"/>
          <w:tab w:val="left" w:pos="5812"/>
          <w:tab w:val="bar" w:pos="6379"/>
          <w:tab w:val="left" w:pos="6946"/>
          <w:tab w:val="bar" w:pos="7513"/>
          <w:tab w:val="left" w:pos="8080"/>
        </w:tabs>
        <w:ind w:left="567"/>
      </w:pPr>
      <w:r w:rsidRPr="00FB07CE">
        <w:t>Gewinnanteilsrecht an 1/3 des Eig</w:t>
      </w:r>
      <w:r>
        <w:t>.</w:t>
      </w:r>
      <w:r w:rsidRPr="00FB07CE">
        <w:t xml:space="preserve"> zG </w:t>
      </w:r>
    </w:p>
    <w:p w:rsidR="00902C4B" w:rsidRDefault="00902C4B" w:rsidP="00902C4B">
      <w:pPr>
        <w:pBdr>
          <w:top w:val="single" w:sz="4" w:space="1" w:color="auto"/>
          <w:left w:val="single" w:sz="4" w:space="4" w:color="auto"/>
          <w:bottom w:val="single" w:sz="4" w:space="1" w:color="auto"/>
          <w:right w:val="single" w:sz="4" w:space="4" w:color="auto"/>
          <w:between w:val="single" w:sz="4" w:space="1" w:color="auto"/>
          <w:bar w:val="single" w:sz="4" w:color="auto"/>
        </w:pBdr>
        <w:tabs>
          <w:tab w:val="bar" w:pos="5245"/>
          <w:tab w:val="left" w:pos="5812"/>
          <w:tab w:val="bar" w:pos="6379"/>
          <w:tab w:val="left" w:pos="6946"/>
          <w:tab w:val="bar" w:pos="7513"/>
          <w:tab w:val="left" w:pos="8080"/>
        </w:tabs>
        <w:ind w:left="567"/>
      </w:pPr>
      <w:r>
        <w:t>Moser Ernst bzw. d.</w:t>
      </w:r>
      <w:r w:rsidRPr="00FB07CE">
        <w:t xml:space="preserve"> Erben, bis 25.3.2013</w:t>
      </w:r>
      <w:r w:rsidRPr="00FB07CE">
        <w:tab/>
      </w:r>
      <w:r>
        <w:t>x</w:t>
      </w:r>
      <w:r>
        <w:tab/>
        <w:t>o</w:t>
      </w:r>
    </w:p>
    <w:p w:rsidR="00902C4B" w:rsidRDefault="00902C4B" w:rsidP="00902C4B">
      <w:pPr>
        <w:pBdr>
          <w:top w:val="single" w:sz="4" w:space="1" w:color="auto"/>
          <w:left w:val="single" w:sz="4" w:space="4" w:color="auto"/>
          <w:bottom w:val="single" w:sz="4" w:space="1" w:color="auto"/>
          <w:right w:val="single" w:sz="4" w:space="4" w:color="auto"/>
          <w:between w:val="single" w:sz="4" w:space="1" w:color="auto"/>
          <w:bar w:val="single" w:sz="4" w:color="auto"/>
        </w:pBdr>
        <w:tabs>
          <w:tab w:val="bar" w:pos="5245"/>
          <w:tab w:val="left" w:pos="5812"/>
          <w:tab w:val="bar" w:pos="6379"/>
          <w:tab w:val="left" w:pos="6946"/>
          <w:tab w:val="bar" w:pos="7513"/>
          <w:tab w:val="left" w:pos="8080"/>
        </w:tabs>
        <w:ind w:left="567"/>
      </w:pPr>
      <w:r w:rsidRPr="00FB07CE">
        <w:rPr>
          <w:b/>
        </w:rPr>
        <w:t>Vormerkungen</w:t>
      </w:r>
      <w:r>
        <w:t xml:space="preserve"> auf Nrn. 835 und 835-1:</w:t>
      </w:r>
    </w:p>
    <w:p w:rsidR="00902C4B" w:rsidRPr="00FB07CE" w:rsidRDefault="00902C4B" w:rsidP="00902C4B">
      <w:pPr>
        <w:pBdr>
          <w:top w:val="single" w:sz="4" w:space="1" w:color="auto"/>
          <w:left w:val="single" w:sz="4" w:space="4" w:color="auto"/>
          <w:bottom w:val="single" w:sz="4" w:space="1" w:color="auto"/>
          <w:right w:val="single" w:sz="4" w:space="4" w:color="auto"/>
          <w:between w:val="single" w:sz="4" w:space="1" w:color="auto"/>
          <w:bar w:val="single" w:sz="4" w:color="auto"/>
        </w:pBdr>
        <w:tabs>
          <w:tab w:val="bar" w:pos="5245"/>
          <w:tab w:val="left" w:pos="5812"/>
          <w:tab w:val="bar" w:pos="6379"/>
          <w:tab w:val="left" w:pos="6946"/>
          <w:tab w:val="bar" w:pos="7513"/>
          <w:tab w:val="left" w:pos="8080"/>
        </w:tabs>
        <w:ind w:left="567"/>
      </w:pPr>
      <w:r>
        <w:t>Keine</w:t>
      </w:r>
    </w:p>
    <w:p w:rsidR="00902C4B" w:rsidRPr="00FB07CE" w:rsidRDefault="00902C4B" w:rsidP="00902C4B">
      <w:pPr>
        <w:pBdr>
          <w:top w:val="single" w:sz="4" w:space="1" w:color="auto"/>
          <w:left w:val="single" w:sz="4" w:space="4" w:color="auto"/>
          <w:bottom w:val="single" w:sz="4" w:space="1" w:color="auto"/>
          <w:right w:val="single" w:sz="4" w:space="4" w:color="auto"/>
          <w:between w:val="single" w:sz="4" w:space="1" w:color="auto"/>
          <w:bar w:val="single" w:sz="4" w:color="auto"/>
        </w:pBdr>
        <w:tabs>
          <w:tab w:val="bar" w:pos="5245"/>
          <w:tab w:val="left" w:pos="5812"/>
          <w:tab w:val="bar" w:pos="6379"/>
          <w:tab w:val="left" w:pos="6946"/>
          <w:tab w:val="bar" w:pos="7513"/>
          <w:tab w:val="left" w:pos="8080"/>
        </w:tabs>
        <w:ind w:left="567"/>
      </w:pPr>
      <w:r w:rsidRPr="00FB07CE">
        <w:rPr>
          <w:b/>
        </w:rPr>
        <w:t>Vormerkungen</w:t>
      </w:r>
      <w:r w:rsidRPr="00FB07CE">
        <w:t xml:space="preserve"> auf Nr. </w:t>
      </w:r>
      <w:r>
        <w:t>835</w:t>
      </w:r>
      <w:r w:rsidRPr="00FB07CE">
        <w:t>-2:</w:t>
      </w:r>
    </w:p>
    <w:p w:rsidR="00902C4B" w:rsidRPr="00FB07CE" w:rsidRDefault="00902C4B" w:rsidP="00902C4B">
      <w:pPr>
        <w:pBdr>
          <w:top w:val="single" w:sz="4" w:space="1" w:color="auto"/>
          <w:left w:val="single" w:sz="4" w:space="4" w:color="auto"/>
          <w:bottom w:val="single" w:sz="4" w:space="1" w:color="auto"/>
          <w:right w:val="single" w:sz="4" w:space="4" w:color="auto"/>
          <w:between w:val="single" w:sz="4" w:space="1" w:color="auto"/>
          <w:bar w:val="single" w:sz="4" w:color="auto"/>
        </w:pBdr>
        <w:tabs>
          <w:tab w:val="bar" w:pos="5245"/>
          <w:tab w:val="left" w:pos="5812"/>
          <w:tab w:val="bar" w:pos="6379"/>
          <w:tab w:val="left" w:pos="6946"/>
          <w:tab w:val="bar" w:pos="7513"/>
          <w:tab w:val="left" w:pos="8080"/>
        </w:tabs>
        <w:ind w:left="567"/>
      </w:pPr>
      <w:r w:rsidRPr="00FB07CE">
        <w:t xml:space="preserve">VE </w:t>
      </w:r>
      <w:proofErr w:type="spellStart"/>
      <w:r w:rsidRPr="00FB07CE">
        <w:t>GpfR</w:t>
      </w:r>
      <w:proofErr w:type="spellEnd"/>
      <w:r w:rsidRPr="00FB07CE">
        <w:t xml:space="preserve"> für Gewinnanspruch</w:t>
      </w:r>
      <w:r w:rsidRPr="00FB07CE">
        <w:tab/>
      </w:r>
      <w:r>
        <w:tab/>
        <w:t>x</w:t>
      </w:r>
      <w:r>
        <w:tab/>
      </w:r>
      <w:proofErr w:type="spellStart"/>
      <w:r>
        <w:t>x</w:t>
      </w:r>
      <w:proofErr w:type="spellEnd"/>
    </w:p>
    <w:p w:rsidR="00902C4B" w:rsidRPr="00FB07CE" w:rsidRDefault="00902C4B" w:rsidP="00902C4B">
      <w:pPr>
        <w:pBdr>
          <w:top w:val="single" w:sz="4" w:space="1" w:color="auto"/>
          <w:left w:val="single" w:sz="4" w:space="4" w:color="auto"/>
          <w:bottom w:val="single" w:sz="4" w:space="1" w:color="auto"/>
          <w:right w:val="single" w:sz="4" w:space="4" w:color="auto"/>
          <w:between w:val="single" w:sz="4" w:space="1" w:color="auto"/>
          <w:bar w:val="single" w:sz="4" w:color="auto"/>
        </w:pBdr>
        <w:tabs>
          <w:tab w:val="bar" w:pos="5245"/>
          <w:tab w:val="left" w:pos="5812"/>
          <w:tab w:val="bar" w:pos="6379"/>
          <w:tab w:val="left" w:pos="6946"/>
          <w:tab w:val="bar" w:pos="7513"/>
          <w:tab w:val="left" w:pos="8080"/>
        </w:tabs>
        <w:ind w:left="567"/>
      </w:pPr>
      <w:r w:rsidRPr="00FB07CE">
        <w:rPr>
          <w:b/>
        </w:rPr>
        <w:t>Anmerkungen</w:t>
      </w:r>
      <w:r w:rsidRPr="00FB07CE">
        <w:t xml:space="preserve"> auf Nr. </w:t>
      </w:r>
      <w:r>
        <w:t>834</w:t>
      </w:r>
      <w:r w:rsidRPr="00FB07CE">
        <w:t>:</w:t>
      </w:r>
    </w:p>
    <w:p w:rsidR="00902C4B" w:rsidRPr="00FB07CE" w:rsidRDefault="00902C4B" w:rsidP="00902C4B">
      <w:pPr>
        <w:pBdr>
          <w:top w:val="single" w:sz="4" w:space="1" w:color="auto"/>
          <w:left w:val="single" w:sz="4" w:space="4" w:color="auto"/>
          <w:bottom w:val="single" w:sz="4" w:space="1" w:color="auto"/>
          <w:right w:val="single" w:sz="4" w:space="4" w:color="auto"/>
          <w:between w:val="single" w:sz="4" w:space="1" w:color="auto"/>
          <w:bar w:val="single" w:sz="4" w:color="auto"/>
        </w:pBdr>
        <w:tabs>
          <w:tab w:val="bar" w:pos="5245"/>
          <w:tab w:val="left" w:pos="5812"/>
          <w:tab w:val="bar" w:pos="6379"/>
          <w:tab w:val="left" w:pos="6946"/>
          <w:tab w:val="bar" w:pos="7513"/>
          <w:tab w:val="left" w:pos="8080"/>
        </w:tabs>
        <w:ind w:left="567"/>
      </w:pPr>
      <w:r w:rsidRPr="00FB07CE">
        <w:t>LL Hochbau 34399-2; …</w:t>
      </w:r>
      <w:r w:rsidRPr="00FB07CE">
        <w:tab/>
      </w:r>
      <w:r>
        <w:t>x</w:t>
      </w:r>
      <w:r>
        <w:tab/>
        <w:t>o</w:t>
      </w:r>
    </w:p>
    <w:p w:rsidR="00902C4B" w:rsidRPr="00FB07CE" w:rsidRDefault="00902C4B" w:rsidP="00902C4B">
      <w:pPr>
        <w:pBdr>
          <w:top w:val="single" w:sz="4" w:space="1" w:color="auto"/>
          <w:left w:val="single" w:sz="4" w:space="4" w:color="auto"/>
          <w:bottom w:val="single" w:sz="4" w:space="1" w:color="auto"/>
          <w:right w:val="single" w:sz="4" w:space="4" w:color="auto"/>
          <w:between w:val="single" w:sz="4" w:space="1" w:color="auto"/>
          <w:bar w:val="single" w:sz="4" w:color="auto"/>
        </w:pBdr>
        <w:tabs>
          <w:tab w:val="bar" w:pos="5245"/>
          <w:tab w:val="left" w:pos="5812"/>
          <w:tab w:val="bar" w:pos="6379"/>
          <w:tab w:val="left" w:pos="6946"/>
          <w:tab w:val="bar" w:pos="7513"/>
          <w:tab w:val="left" w:pos="8080"/>
        </w:tabs>
        <w:ind w:left="567"/>
      </w:pPr>
      <w:r w:rsidRPr="00FB07CE">
        <w:rPr>
          <w:b/>
        </w:rPr>
        <w:t>Anmerkungen</w:t>
      </w:r>
      <w:r w:rsidRPr="00FB07CE">
        <w:t xml:space="preserve"> auf Nr. </w:t>
      </w:r>
      <w:r>
        <w:t>835</w:t>
      </w:r>
      <w:r w:rsidRPr="00FB07CE">
        <w:t>:</w:t>
      </w:r>
    </w:p>
    <w:p w:rsidR="00902C4B" w:rsidRPr="00FB07CE" w:rsidRDefault="00902C4B" w:rsidP="00902C4B">
      <w:pPr>
        <w:pBdr>
          <w:top w:val="single" w:sz="4" w:space="1" w:color="auto"/>
          <w:left w:val="single" w:sz="4" w:space="4" w:color="auto"/>
          <w:bottom w:val="single" w:sz="4" w:space="1" w:color="auto"/>
          <w:right w:val="single" w:sz="4" w:space="4" w:color="auto"/>
          <w:between w:val="single" w:sz="4" w:space="1" w:color="auto"/>
          <w:bar w:val="single" w:sz="4" w:color="auto"/>
        </w:pBdr>
        <w:tabs>
          <w:tab w:val="bar" w:pos="5245"/>
          <w:tab w:val="left" w:pos="5812"/>
          <w:tab w:val="bar" w:pos="6379"/>
          <w:tab w:val="left" w:pos="6946"/>
          <w:tab w:val="bar" w:pos="7513"/>
          <w:tab w:val="left" w:pos="8080"/>
        </w:tabs>
        <w:ind w:left="567"/>
      </w:pPr>
      <w:r w:rsidRPr="00FB07CE">
        <w:t>Miteigentumsanteile verpfändet</w:t>
      </w:r>
      <w:r w:rsidRPr="00FB07CE">
        <w:tab/>
      </w:r>
      <w:r>
        <w:tab/>
        <w:t>x</w:t>
      </w:r>
      <w:r>
        <w:tab/>
      </w:r>
      <w:proofErr w:type="spellStart"/>
      <w:r>
        <w:t>x</w:t>
      </w:r>
      <w:proofErr w:type="spellEnd"/>
    </w:p>
    <w:p w:rsidR="00902C4B" w:rsidRPr="00FB07CE" w:rsidRDefault="00902C4B" w:rsidP="00902C4B">
      <w:pPr>
        <w:pBdr>
          <w:top w:val="single" w:sz="4" w:space="1" w:color="auto"/>
          <w:left w:val="single" w:sz="4" w:space="4" w:color="auto"/>
          <w:bottom w:val="single" w:sz="4" w:space="1" w:color="auto"/>
          <w:right w:val="single" w:sz="4" w:space="4" w:color="auto"/>
          <w:between w:val="single" w:sz="4" w:space="1" w:color="auto"/>
          <w:bar w:val="single" w:sz="4" w:color="auto"/>
        </w:pBdr>
        <w:tabs>
          <w:tab w:val="bar" w:pos="5245"/>
          <w:tab w:val="left" w:pos="5812"/>
          <w:tab w:val="bar" w:pos="6379"/>
          <w:tab w:val="left" w:pos="6946"/>
          <w:tab w:val="bar" w:pos="7513"/>
          <w:tab w:val="left" w:pos="8080"/>
        </w:tabs>
        <w:ind w:left="567"/>
      </w:pPr>
      <w:r w:rsidRPr="00FB07CE">
        <w:t>LL Hochbau 11707, …</w:t>
      </w:r>
      <w:r w:rsidRPr="00FB07CE">
        <w:tab/>
      </w:r>
      <w:r>
        <w:tab/>
        <w:t>x</w:t>
      </w:r>
      <w:r>
        <w:tab/>
      </w:r>
      <w:proofErr w:type="spellStart"/>
      <w:r>
        <w:t>x</w:t>
      </w:r>
      <w:proofErr w:type="spellEnd"/>
    </w:p>
    <w:p w:rsidR="00902C4B" w:rsidRDefault="00902C4B" w:rsidP="00902C4B">
      <w:pPr>
        <w:pBdr>
          <w:top w:val="single" w:sz="4" w:space="1" w:color="auto"/>
          <w:left w:val="single" w:sz="4" w:space="4" w:color="auto"/>
          <w:bottom w:val="single" w:sz="4" w:space="1" w:color="auto"/>
          <w:right w:val="single" w:sz="4" w:space="4" w:color="auto"/>
          <w:between w:val="single" w:sz="4" w:space="1" w:color="auto"/>
          <w:bar w:val="single" w:sz="4" w:color="auto"/>
        </w:pBdr>
        <w:tabs>
          <w:tab w:val="bar" w:pos="5245"/>
          <w:tab w:val="left" w:pos="5812"/>
          <w:tab w:val="bar" w:pos="6379"/>
          <w:tab w:val="left" w:pos="6946"/>
          <w:tab w:val="bar" w:pos="7513"/>
          <w:tab w:val="left" w:pos="8080"/>
        </w:tabs>
        <w:ind w:left="567"/>
      </w:pPr>
      <w:r w:rsidRPr="00FB07CE">
        <w:rPr>
          <w:b/>
        </w:rPr>
        <w:t>Anmerkungen</w:t>
      </w:r>
      <w:r>
        <w:t xml:space="preserve"> auf Nrn. 835-1, 835-2:</w:t>
      </w:r>
    </w:p>
    <w:p w:rsidR="00902C4B" w:rsidRPr="00FB07CE" w:rsidRDefault="00902C4B" w:rsidP="00902C4B">
      <w:pPr>
        <w:pBdr>
          <w:top w:val="single" w:sz="4" w:space="1" w:color="auto"/>
          <w:left w:val="single" w:sz="4" w:space="4" w:color="auto"/>
          <w:bottom w:val="single" w:sz="4" w:space="1" w:color="auto"/>
          <w:right w:val="single" w:sz="4" w:space="4" w:color="auto"/>
          <w:between w:val="single" w:sz="4" w:space="1" w:color="auto"/>
          <w:bar w:val="single" w:sz="4" w:color="auto"/>
        </w:pBdr>
        <w:tabs>
          <w:tab w:val="bar" w:pos="5245"/>
          <w:tab w:val="left" w:pos="5812"/>
          <w:tab w:val="bar" w:pos="6379"/>
          <w:tab w:val="left" w:pos="6946"/>
          <w:tab w:val="bar" w:pos="7513"/>
          <w:tab w:val="left" w:pos="8080"/>
        </w:tabs>
        <w:ind w:left="567"/>
      </w:pPr>
      <w:r w:rsidRPr="00FB07CE">
        <w:t>Keine</w:t>
      </w:r>
    </w:p>
    <w:p w:rsidR="00902C4B" w:rsidRDefault="00902C4B" w:rsidP="00902C4B">
      <w:pPr>
        <w:ind w:left="567"/>
      </w:pPr>
      <w:r>
        <w:t>Bezüglich der Ausdehnung der Rechte auf den Zuwachs ergeben sich für die Belast</w:t>
      </w:r>
      <w:r>
        <w:t>e</w:t>
      </w:r>
      <w:r>
        <w:t>ten keine Mehrbelastungen. Zur Ganz- bzw. Teil-Löschung der Dienstbarkeiten (sowie der Pfandverschreibung auf Nr. 835-1) wird hiermit von den Vertragsparteien ausdrüc</w:t>
      </w:r>
      <w:r>
        <w:t>k</w:t>
      </w:r>
      <w:r>
        <w:t>lich die Einwilligung erteilt.</w:t>
      </w:r>
    </w:p>
    <w:p w:rsidR="00902C4B" w:rsidRPr="00FB07CE" w:rsidRDefault="00902C4B" w:rsidP="00902C4B">
      <w:pPr>
        <w:ind w:left="567"/>
      </w:pPr>
      <w:r>
        <w:t>Das Grundbuchamt wird um Durchführung des Löschverfahrens im Sinne von Art. 744 ZGB ersucht.</w:t>
      </w:r>
    </w:p>
    <w:p w:rsidR="00902C4B" w:rsidRPr="00FB07CE" w:rsidRDefault="00902C4B">
      <w:pPr>
        <w:ind w:left="567"/>
      </w:pPr>
    </w:p>
    <w:p w:rsidR="00902C4B" w:rsidRPr="00FB07CE" w:rsidRDefault="00902C4B">
      <w:pPr>
        <w:ind w:left="567"/>
      </w:pPr>
    </w:p>
    <w:p w:rsidR="00902C4B" w:rsidRPr="00FB07CE" w:rsidRDefault="00902C4B">
      <w:pPr>
        <w:ind w:left="567"/>
      </w:pPr>
    </w:p>
    <w:p w:rsidR="00902C4B" w:rsidRPr="00934A46" w:rsidRDefault="00902C4B">
      <w:pPr>
        <w:tabs>
          <w:tab w:val="right" w:pos="8222"/>
        </w:tabs>
        <w:ind w:left="567"/>
        <w:rPr>
          <w:b/>
          <w:sz w:val="28"/>
          <w:szCs w:val="28"/>
        </w:rPr>
      </w:pPr>
      <w:r w:rsidRPr="00934A46">
        <w:rPr>
          <w:b/>
          <w:sz w:val="28"/>
          <w:szCs w:val="28"/>
        </w:rPr>
        <w:t>II</w:t>
      </w:r>
      <w:r>
        <w:rPr>
          <w:b/>
          <w:sz w:val="28"/>
          <w:szCs w:val="28"/>
        </w:rPr>
        <w:t>I</w:t>
      </w:r>
      <w:r w:rsidRPr="00934A46">
        <w:rPr>
          <w:b/>
          <w:sz w:val="28"/>
          <w:szCs w:val="28"/>
        </w:rPr>
        <w:t>. Tauschwerte</w:t>
      </w:r>
    </w:p>
    <w:p w:rsidR="00902C4B" w:rsidRPr="00FB07CE" w:rsidRDefault="00902C4B">
      <w:pPr>
        <w:tabs>
          <w:tab w:val="right" w:pos="8222"/>
        </w:tabs>
        <w:ind w:left="567"/>
      </w:pPr>
    </w:p>
    <w:p w:rsidR="00902C4B" w:rsidRPr="00FB07CE" w:rsidRDefault="00902C4B">
      <w:pPr>
        <w:ind w:left="567" w:right="-86"/>
      </w:pPr>
      <w:r w:rsidRPr="00FB07CE">
        <w:t xml:space="preserve">Die Parteien </w:t>
      </w:r>
      <w:r>
        <w:t>veranschlagen die Tauschobjekte als gleichwertig und schulden sich de</w:t>
      </w:r>
      <w:r>
        <w:t>s</w:t>
      </w:r>
      <w:r>
        <w:t>halb keinen Ausgleich für die Tauschobjekte; sie sind somit vollständig auseinanderg</w:t>
      </w:r>
      <w:r>
        <w:t>e</w:t>
      </w:r>
      <w:r>
        <w:t>setzt.</w:t>
      </w:r>
    </w:p>
    <w:p w:rsidR="00902C4B" w:rsidRPr="00FB07CE" w:rsidRDefault="00902C4B">
      <w:pPr>
        <w:ind w:left="567" w:right="-86"/>
      </w:pPr>
    </w:p>
    <w:p w:rsidR="00902C4B" w:rsidRPr="00934A46" w:rsidRDefault="00902C4B">
      <w:pPr>
        <w:ind w:left="567" w:right="-86"/>
        <w:rPr>
          <w:b/>
          <w:sz w:val="28"/>
          <w:szCs w:val="28"/>
        </w:rPr>
      </w:pPr>
      <w:r w:rsidRPr="00934A46">
        <w:rPr>
          <w:b/>
          <w:sz w:val="28"/>
          <w:szCs w:val="28"/>
        </w:rPr>
        <w:lastRenderedPageBreak/>
        <w:t>IV. Weitere Vertragsbestimmungen</w:t>
      </w:r>
    </w:p>
    <w:p w:rsidR="00902C4B" w:rsidRPr="00FB07CE" w:rsidRDefault="00902C4B">
      <w:pPr>
        <w:ind w:left="567" w:right="-86"/>
      </w:pPr>
    </w:p>
    <w:p w:rsidR="00902C4B" w:rsidRPr="00FB07CE" w:rsidRDefault="00902C4B">
      <w:pPr>
        <w:ind w:left="567" w:right="-86" w:hanging="425"/>
        <w:rPr>
          <w:b/>
        </w:rPr>
      </w:pPr>
      <w:r w:rsidRPr="00FB07CE">
        <w:t>1.</w:t>
      </w:r>
      <w:r w:rsidRPr="00FB07CE">
        <w:tab/>
      </w:r>
      <w:r w:rsidRPr="00FB07CE">
        <w:rPr>
          <w:b/>
        </w:rPr>
        <w:t>Nutzen und Gefahr</w:t>
      </w:r>
    </w:p>
    <w:p w:rsidR="00902C4B" w:rsidRPr="00FB07CE" w:rsidRDefault="00902C4B">
      <w:pPr>
        <w:ind w:left="567" w:right="-86" w:hanging="425"/>
      </w:pPr>
      <w:r w:rsidRPr="00FB07CE">
        <w:tab/>
        <w:t>Nutzen</w:t>
      </w:r>
      <w:r>
        <w:t>, Schaden und Verfügungsbefugnis haben den Vertragsparteien bereits mit der Neusetzung der Marchsteine im Frühling 2007 begonnen. Diese Bestimmung hat nur Wirkung unter den Parteien; das Eigentum geht über mit dem Grundbucheintrag, der s</w:t>
      </w:r>
      <w:r>
        <w:t>o</w:t>
      </w:r>
      <w:r>
        <w:t>fort erfolgen kann.</w:t>
      </w:r>
      <w:r w:rsidRPr="00FB07CE">
        <w:t xml:space="preserve"> </w:t>
      </w:r>
    </w:p>
    <w:p w:rsidR="00902C4B" w:rsidRPr="00FB07CE" w:rsidRDefault="00902C4B">
      <w:pPr>
        <w:ind w:left="567" w:right="-86" w:hanging="425"/>
        <w:rPr>
          <w:b/>
        </w:rPr>
      </w:pPr>
      <w:r w:rsidRPr="00FB07CE">
        <w:t>2.</w:t>
      </w:r>
      <w:r w:rsidRPr="00FB07CE">
        <w:tab/>
      </w:r>
      <w:r w:rsidRPr="00FB07CE">
        <w:rPr>
          <w:b/>
        </w:rPr>
        <w:t>Aufhebung der Gewährleistung</w:t>
      </w:r>
    </w:p>
    <w:p w:rsidR="00902C4B" w:rsidRPr="00FB07CE" w:rsidRDefault="00902C4B">
      <w:pPr>
        <w:ind w:left="567" w:right="-86" w:hanging="425"/>
      </w:pPr>
      <w:r w:rsidRPr="00FB07CE">
        <w:tab/>
        <w:t>Die Parteien schliessen - nachdem der Notar sie auf die Rechtswirkung dieser Besti</w:t>
      </w:r>
      <w:r w:rsidRPr="00FB07CE">
        <w:t>m</w:t>
      </w:r>
      <w:r w:rsidRPr="00FB07CE">
        <w:t>mung hingewiesen hat - jegliche Rechts- und Sachgewährleistungspflicht aus, soweit dies gesetzlich zulässig ist. Die Parteien sichern keine andern als die in diesem Vertrag enthaltenen Eigenschaften der Vertragsobjekte zu. Sie garantieren darüber hinaus nur die im Vertrag vereinbarten oder sonst schriftlich abgegebenen Zusicherungen.</w:t>
      </w:r>
    </w:p>
    <w:p w:rsidR="00902C4B" w:rsidRPr="00FB07CE" w:rsidRDefault="00902C4B">
      <w:pPr>
        <w:ind w:left="567" w:right="-86" w:hanging="425"/>
      </w:pPr>
      <w:r w:rsidRPr="00FB07CE">
        <w:tab/>
        <w:t>Die Aufhebung der Gewährleistung ist ungültig für Mängel, welche die Parteien arglistig verschweigen.</w:t>
      </w:r>
    </w:p>
    <w:p w:rsidR="00902C4B" w:rsidRPr="00FB07CE" w:rsidRDefault="00902C4B">
      <w:pPr>
        <w:ind w:left="567" w:right="-86" w:hanging="425"/>
      </w:pPr>
    </w:p>
    <w:p w:rsidR="00902C4B" w:rsidRPr="00FB07CE" w:rsidRDefault="00902C4B">
      <w:pPr>
        <w:ind w:left="567" w:right="-86" w:hanging="425"/>
        <w:rPr>
          <w:b/>
        </w:rPr>
      </w:pPr>
      <w:r w:rsidRPr="00FB07CE">
        <w:t>3.</w:t>
      </w:r>
      <w:r w:rsidRPr="00FB07CE">
        <w:tab/>
      </w:r>
      <w:r w:rsidRPr="00FB07CE">
        <w:rPr>
          <w:b/>
        </w:rPr>
        <w:t>Dienstbarkeiten</w:t>
      </w:r>
      <w:r>
        <w:rPr>
          <w:b/>
        </w:rPr>
        <w:t xml:space="preserve"> und Anmerkungen</w:t>
      </w:r>
    </w:p>
    <w:p w:rsidR="00902C4B" w:rsidRPr="00FB07CE" w:rsidRDefault="00902C4B">
      <w:pPr>
        <w:ind w:left="567" w:right="-86" w:hanging="425"/>
      </w:pPr>
      <w:r w:rsidRPr="00FB07CE">
        <w:tab/>
        <w:t xml:space="preserve">Die Vertragsparteien kennen den Inhalt und die Bedeutung der </w:t>
      </w:r>
      <w:proofErr w:type="spellStart"/>
      <w:r w:rsidRPr="00FB07CE">
        <w:t>hievor</w:t>
      </w:r>
      <w:proofErr w:type="spellEnd"/>
      <w:r w:rsidRPr="00FB07CE">
        <w:t xml:space="preserve"> aufgeführten Dienstbarkeiten</w:t>
      </w:r>
      <w:r>
        <w:t xml:space="preserve"> und Anmerkungen</w:t>
      </w:r>
      <w:r w:rsidRPr="00FB07CE">
        <w:t>.</w:t>
      </w:r>
    </w:p>
    <w:p w:rsidR="00902C4B" w:rsidRPr="00FB07CE" w:rsidRDefault="00902C4B">
      <w:pPr>
        <w:ind w:left="567" w:right="-86" w:hanging="425"/>
      </w:pPr>
    </w:p>
    <w:p w:rsidR="00902C4B" w:rsidRPr="00FB07CE" w:rsidRDefault="00902C4B">
      <w:pPr>
        <w:ind w:left="567" w:right="-86" w:hanging="425"/>
        <w:rPr>
          <w:b/>
        </w:rPr>
      </w:pPr>
      <w:r w:rsidRPr="00FB07CE">
        <w:t>4.</w:t>
      </w:r>
      <w:r w:rsidRPr="00FB07CE">
        <w:tab/>
      </w:r>
      <w:r w:rsidRPr="00FB07CE">
        <w:rPr>
          <w:b/>
        </w:rPr>
        <w:t>Pacht</w:t>
      </w:r>
      <w:r>
        <w:rPr>
          <w:b/>
        </w:rPr>
        <w:t>verträge / Milchkontingente</w:t>
      </w:r>
    </w:p>
    <w:p w:rsidR="00902C4B" w:rsidRPr="00FB07CE" w:rsidRDefault="00902C4B">
      <w:pPr>
        <w:ind w:left="567" w:right="-86" w:hanging="425"/>
      </w:pPr>
      <w:r w:rsidRPr="00FB07CE">
        <w:tab/>
        <w:t>Um die Vertragsobjekte bestehen keine Pacht- oder Mietverträge.</w:t>
      </w:r>
      <w:r>
        <w:t xml:space="preserve"> An den allfällig best</w:t>
      </w:r>
      <w:r>
        <w:t>e</w:t>
      </w:r>
      <w:r>
        <w:t>henden Milchkontingenten entstehen keine Änderungen.</w:t>
      </w:r>
    </w:p>
    <w:p w:rsidR="00902C4B" w:rsidRPr="00FB07CE" w:rsidRDefault="00902C4B">
      <w:pPr>
        <w:ind w:left="567" w:right="-86" w:hanging="425"/>
      </w:pPr>
    </w:p>
    <w:p w:rsidR="00902C4B" w:rsidRPr="00FB07CE" w:rsidRDefault="00902C4B">
      <w:pPr>
        <w:ind w:left="567" w:right="-86" w:hanging="425"/>
        <w:rPr>
          <w:b/>
        </w:rPr>
      </w:pPr>
      <w:r w:rsidRPr="00FB07CE">
        <w:t>5.</w:t>
      </w:r>
      <w:r w:rsidRPr="00FB07CE">
        <w:tab/>
      </w:r>
      <w:r w:rsidRPr="00FB07CE">
        <w:rPr>
          <w:b/>
        </w:rPr>
        <w:t>Marchzählige Abrechnung</w:t>
      </w:r>
    </w:p>
    <w:p w:rsidR="00902C4B" w:rsidRPr="00FB07CE" w:rsidRDefault="00902C4B">
      <w:pPr>
        <w:ind w:left="567" w:right="-86" w:hanging="425"/>
      </w:pPr>
      <w:r w:rsidRPr="00FB07CE">
        <w:tab/>
        <w:t xml:space="preserve">Über </w:t>
      </w:r>
      <w:r>
        <w:t xml:space="preserve">die </w:t>
      </w:r>
      <w:r w:rsidRPr="00FB07CE">
        <w:t>Hypothekarzins</w:t>
      </w:r>
      <w:r>
        <w:t>e</w:t>
      </w:r>
      <w:r w:rsidRPr="00FB07CE">
        <w:t>, die öffentlichen und allfälligen privaten Abgaben erstellen die Parteien ausserhalb dieses Vertrages eine separate marchzählige Abrechnung</w:t>
      </w:r>
      <w:r>
        <w:t>, soweit dies überhaupt notwendig und gewünscht ist.</w:t>
      </w:r>
    </w:p>
    <w:p w:rsidR="00902C4B" w:rsidRPr="00FB07CE" w:rsidRDefault="00902C4B">
      <w:pPr>
        <w:ind w:left="567" w:right="-86" w:hanging="425"/>
      </w:pPr>
    </w:p>
    <w:p w:rsidR="00902C4B" w:rsidRPr="00FB07CE" w:rsidRDefault="00902C4B">
      <w:pPr>
        <w:ind w:left="567" w:right="-86" w:hanging="425"/>
        <w:rPr>
          <w:b/>
        </w:rPr>
      </w:pPr>
      <w:r w:rsidRPr="00FB07CE">
        <w:t>6.</w:t>
      </w:r>
      <w:r w:rsidRPr="00FB07CE">
        <w:tab/>
      </w:r>
      <w:r w:rsidRPr="00FB07CE">
        <w:rPr>
          <w:b/>
        </w:rPr>
        <w:t>Versicherungen</w:t>
      </w:r>
    </w:p>
    <w:p w:rsidR="00902C4B" w:rsidRPr="00FB07CE" w:rsidRDefault="00902C4B">
      <w:pPr>
        <w:ind w:left="567" w:right="-86" w:hanging="425"/>
      </w:pPr>
      <w:r w:rsidRPr="00FB07CE">
        <w:tab/>
      </w:r>
      <w:r>
        <w:t>Für die Tauschobjekte bestehen keine Sachversicherungsverträge.</w:t>
      </w:r>
    </w:p>
    <w:p w:rsidR="00902C4B" w:rsidRPr="00FB07CE" w:rsidRDefault="00902C4B">
      <w:pPr>
        <w:ind w:left="567" w:right="-86" w:firstLine="1"/>
      </w:pPr>
    </w:p>
    <w:p w:rsidR="00902C4B" w:rsidRPr="00FB07CE" w:rsidRDefault="00902C4B">
      <w:pPr>
        <w:ind w:left="567" w:right="-86" w:hanging="425"/>
        <w:rPr>
          <w:b/>
        </w:rPr>
      </w:pPr>
      <w:r w:rsidRPr="00FB07CE">
        <w:t>7.</w:t>
      </w:r>
      <w:r w:rsidRPr="00FB07CE">
        <w:tab/>
      </w:r>
      <w:r w:rsidRPr="00FB07CE">
        <w:rPr>
          <w:b/>
        </w:rPr>
        <w:t>Gesetzliche Pfandrechte</w:t>
      </w:r>
    </w:p>
    <w:p w:rsidR="00902C4B" w:rsidRPr="00FB07CE" w:rsidRDefault="00902C4B">
      <w:pPr>
        <w:ind w:left="567" w:right="-86" w:hanging="425"/>
      </w:pPr>
      <w:r w:rsidRPr="00FB07CE">
        <w:tab/>
        <w:t>Die Vertragsparteien bestätigen, dass alle Steuern und öffentlich-rechtlichen Abgaben (inkl. Anschlussgebühren) für die Tauschobjekte sowie alle Rechnungen von Handwe</w:t>
      </w:r>
      <w:r w:rsidRPr="00FB07CE">
        <w:t>r</w:t>
      </w:r>
      <w:r w:rsidRPr="00FB07CE">
        <w:t>kern, die in den letzten drei Monaten auf diesen Grundstücken tätig waren oder Material geliefert haben, bezahlt sind.</w:t>
      </w:r>
    </w:p>
    <w:p w:rsidR="00902C4B" w:rsidRPr="00FB07CE" w:rsidRDefault="00902C4B">
      <w:pPr>
        <w:ind w:left="567" w:right="-86" w:hanging="425"/>
      </w:pPr>
      <w:r w:rsidRPr="00FB07CE">
        <w:tab/>
        <w:t xml:space="preserve">Sollten wider Erwarten gesetzliche Pfandrechte geltend gemacht werden, so verpflichten sich die jeweiligen Veräusserer zur Bezahlung oder anderweitigen Sicherstellung sowie zur Löschung allfälliger Einträge im Grundbuch. </w:t>
      </w:r>
    </w:p>
    <w:p w:rsidR="00902C4B" w:rsidRPr="00FB07CE" w:rsidRDefault="00902C4B">
      <w:pPr>
        <w:ind w:left="567" w:right="-86" w:hanging="425"/>
      </w:pPr>
      <w:r w:rsidRPr="00FB07CE">
        <w:tab/>
        <w:t>Die Parteien erklären, vom Notar auf die Bestimmungen über die gesetzlichen Pfan</w:t>
      </w:r>
      <w:r w:rsidRPr="00FB07CE">
        <w:t>d</w:t>
      </w:r>
      <w:r w:rsidRPr="00FB07CE">
        <w:t>rechte hingewiesen worden zu sein.</w:t>
      </w:r>
    </w:p>
    <w:p w:rsidR="00902C4B" w:rsidRPr="00FB07CE" w:rsidRDefault="00902C4B">
      <w:pPr>
        <w:ind w:left="567" w:right="-86" w:hanging="425"/>
      </w:pPr>
    </w:p>
    <w:p w:rsidR="00902C4B" w:rsidRPr="00FB07CE" w:rsidRDefault="00902C4B">
      <w:pPr>
        <w:ind w:left="567" w:right="-86" w:hanging="425"/>
        <w:rPr>
          <w:b/>
        </w:rPr>
      </w:pPr>
      <w:r w:rsidRPr="00FB07CE">
        <w:t>8.</w:t>
      </w:r>
      <w:r w:rsidRPr="00FB07CE">
        <w:tab/>
      </w:r>
      <w:r w:rsidRPr="00FB07CE">
        <w:rPr>
          <w:b/>
        </w:rPr>
        <w:t>Grundstückgewinnsteuern</w:t>
      </w:r>
    </w:p>
    <w:p w:rsidR="00902C4B" w:rsidRDefault="00902C4B" w:rsidP="00902C4B">
      <w:pPr>
        <w:ind w:left="567" w:right="-86" w:firstLine="1"/>
      </w:pPr>
      <w:r w:rsidRPr="00FB07CE">
        <w:t>Der Notar hat die Parteien auf die Grundsätze der Grundstückgewinnsteuern, das Ste</w:t>
      </w:r>
      <w:r w:rsidRPr="00FB07CE">
        <w:t>u</w:t>
      </w:r>
      <w:r w:rsidRPr="00FB07CE">
        <w:t>erverfahren und auf die zusammen mit der Anmeldung dieses Vertrages beim Grun</w:t>
      </w:r>
      <w:r w:rsidRPr="00FB07CE">
        <w:t>d</w:t>
      </w:r>
      <w:r w:rsidRPr="00FB07CE">
        <w:t>buchamt einzureichende Selbstdeklaration aufmerksam gemacht.</w:t>
      </w:r>
      <w:r>
        <w:t xml:space="preserve"> </w:t>
      </w:r>
    </w:p>
    <w:p w:rsidR="00902C4B" w:rsidRDefault="00902C4B" w:rsidP="00902C4B">
      <w:pPr>
        <w:ind w:left="567" w:right="-86" w:firstLine="1"/>
      </w:pPr>
      <w:r>
        <w:lastRenderedPageBreak/>
        <w:t>Gemäss Art. 132 des Bernischen Steuergesetzes wird ein allfälliger Grundstückgewinn aufgeschoben.</w:t>
      </w:r>
    </w:p>
    <w:p w:rsidR="00902C4B" w:rsidRPr="00FB07CE" w:rsidRDefault="00902C4B" w:rsidP="00902C4B">
      <w:pPr>
        <w:ind w:left="567" w:right="-86" w:firstLine="1"/>
      </w:pPr>
    </w:p>
    <w:p w:rsidR="00902C4B" w:rsidRPr="00FB07CE" w:rsidRDefault="00902C4B">
      <w:pPr>
        <w:ind w:left="567" w:right="56" w:hanging="425"/>
        <w:rPr>
          <w:b/>
        </w:rPr>
      </w:pPr>
      <w:r>
        <w:t>9</w:t>
      </w:r>
      <w:r w:rsidRPr="00FB07CE">
        <w:t>.</w:t>
      </w:r>
      <w:r w:rsidRPr="00FB07CE">
        <w:tab/>
      </w:r>
      <w:r w:rsidRPr="00FB07CE">
        <w:rPr>
          <w:b/>
        </w:rPr>
        <w:t>Bäuerliches Bodenrecht</w:t>
      </w:r>
    </w:p>
    <w:p w:rsidR="00902C4B" w:rsidRDefault="00902C4B" w:rsidP="00902C4B">
      <w:pPr>
        <w:ind w:left="567" w:right="56" w:hanging="567"/>
      </w:pPr>
      <w:r w:rsidRPr="00FB07CE">
        <w:tab/>
        <w:t>Der Notar stellt fest, dass die Vertragsobjekte</w:t>
      </w:r>
      <w:r>
        <w:t xml:space="preserve"> nicht überbaut sind,</w:t>
      </w:r>
      <w:r w:rsidRPr="00FB07CE">
        <w:t xml:space="preserve"> vollumfänglich au</w:t>
      </w:r>
      <w:r w:rsidRPr="00FB07CE">
        <w:t>s</w:t>
      </w:r>
      <w:r w:rsidRPr="00FB07CE">
        <w:t xml:space="preserve">serhalb der rechtskräftigen Bauzonen der Einwohnergemeinde </w:t>
      </w:r>
      <w:r>
        <w:t xml:space="preserve">Seldwyla </w:t>
      </w:r>
      <w:r w:rsidRPr="00FB07CE">
        <w:t>im Sinne des RPG lie</w:t>
      </w:r>
      <w:r>
        <w:t>gen und dass die landwirtschaftliche Nutzung zulässig ist.</w:t>
      </w:r>
    </w:p>
    <w:p w:rsidR="00902C4B" w:rsidRDefault="00902C4B" w:rsidP="00902C4B">
      <w:pPr>
        <w:ind w:left="567" w:right="56" w:hanging="567"/>
      </w:pPr>
      <w:r>
        <w:tab/>
        <w:t>Herren Hans Moser und Max Muster erklären, dass sie bereits Selbstbewirtschafter sind und die Tauschobjekte zur Selbstbewirtschaftung erwerben.</w:t>
      </w:r>
    </w:p>
    <w:p w:rsidR="00902C4B" w:rsidRDefault="00902C4B" w:rsidP="00902C4B">
      <w:pPr>
        <w:ind w:left="567" w:right="56" w:hanging="567"/>
      </w:pPr>
      <w:r>
        <w:tab/>
        <w:t>Der Notar hat die Parteien über die wesentlichen Vorschriften des bäuerlichen Bode</w:t>
      </w:r>
      <w:r>
        <w:t>n</w:t>
      </w:r>
      <w:r>
        <w:t>rechtes orientiert, insbesondere über das Bewilligungsverfahren für den vorliegenden Erwerb sowie die Vorschriften über das Veräusserungsverbot, die Verfügungsb</w:t>
      </w:r>
      <w:r>
        <w:t>e</w:t>
      </w:r>
      <w:r>
        <w:t>schränkung zugunsten des anderen Ehegatten, das Vorkaufsrecht, das Rückkauf</w:t>
      </w:r>
      <w:r>
        <w:t>s</w:t>
      </w:r>
      <w:r>
        <w:t>recht, den Gewinnanspruch, das Realteilungs- und Zerstückelungsverbot sowie die B</w:t>
      </w:r>
      <w:r>
        <w:t>e</w:t>
      </w:r>
      <w:r>
        <w:t>lastungsgrenze.</w:t>
      </w:r>
    </w:p>
    <w:p w:rsidR="00902C4B" w:rsidRDefault="00902C4B" w:rsidP="00902C4B">
      <w:pPr>
        <w:ind w:left="567" w:right="56" w:hanging="567"/>
      </w:pPr>
    </w:p>
    <w:p w:rsidR="00902C4B" w:rsidRDefault="00902C4B" w:rsidP="00902C4B">
      <w:pPr>
        <w:ind w:left="567" w:right="56" w:hanging="567"/>
      </w:pPr>
      <w:r>
        <w:t>10.</w:t>
      </w:r>
      <w:r>
        <w:tab/>
      </w:r>
      <w:r w:rsidRPr="00CD3077">
        <w:rPr>
          <w:b/>
        </w:rPr>
        <w:t>Zustimmungen</w:t>
      </w:r>
    </w:p>
    <w:p w:rsidR="00902C4B" w:rsidRDefault="00902C4B" w:rsidP="00902C4B">
      <w:pPr>
        <w:ind w:left="567" w:right="56" w:hanging="567"/>
      </w:pPr>
      <w:r>
        <w:tab/>
        <w:t>Der Notar stellt fest, dass die Tauschobjekte vor mehr als 10 Jahren erworben wurden, so dass in Bezug auf den vorliegenden Tausch keine Personen vorhanden sind, die gemäss Art. 23, 38 und 54 BGBB zur Veräusserung zustimmen müssen.</w:t>
      </w:r>
    </w:p>
    <w:p w:rsidR="00902C4B" w:rsidRDefault="00902C4B" w:rsidP="00902C4B">
      <w:pPr>
        <w:ind w:left="567" w:right="56" w:hanging="567"/>
      </w:pPr>
      <w:r>
        <w:tab/>
        <w:t>Die Ehefrau des Herrn Max Muster stimmt diesem Tauschvertrag als Mitbewirtschaft</w:t>
      </w:r>
      <w:r>
        <w:t>e</w:t>
      </w:r>
      <w:r>
        <w:t>rin des landwirtschaftlichen Gewerbes separat zu.</w:t>
      </w:r>
    </w:p>
    <w:p w:rsidR="00902C4B" w:rsidRDefault="00902C4B">
      <w:pPr>
        <w:ind w:left="567" w:right="56" w:hanging="567"/>
      </w:pPr>
    </w:p>
    <w:p w:rsidR="00902C4B" w:rsidRDefault="00902C4B">
      <w:pPr>
        <w:ind w:left="567" w:right="56" w:hanging="567"/>
      </w:pPr>
      <w:r>
        <w:t>11.</w:t>
      </w:r>
      <w:r>
        <w:tab/>
      </w:r>
      <w:r w:rsidRPr="00CD3077">
        <w:rPr>
          <w:b/>
        </w:rPr>
        <w:t>Vorkaufsrechte</w:t>
      </w:r>
    </w:p>
    <w:p w:rsidR="00902C4B" w:rsidRDefault="00902C4B">
      <w:pPr>
        <w:ind w:left="567" w:right="56" w:hanging="567"/>
      </w:pPr>
      <w:r>
        <w:tab/>
        <w:t>Gemäss Kommentar Hotz zum BGBB löst der vorliegende Tauschvertrag den Vo</w:t>
      </w:r>
      <w:r>
        <w:t>r</w:t>
      </w:r>
      <w:r>
        <w:t>kaufsfall nicht aus, weil weder ein doppelter Kaufvertrag mit Aufzahlung vorliegt, noch die vorkaufsbelasteten Grundstücke gegen vertretbare Sachen ausgetauscht werden.</w:t>
      </w:r>
    </w:p>
    <w:p w:rsidR="00902C4B" w:rsidRDefault="00902C4B">
      <w:pPr>
        <w:ind w:left="567" w:right="56" w:hanging="567"/>
      </w:pPr>
    </w:p>
    <w:p w:rsidR="00902C4B" w:rsidRDefault="00902C4B">
      <w:pPr>
        <w:ind w:left="567" w:right="56" w:hanging="567"/>
      </w:pPr>
      <w:r>
        <w:t>12.</w:t>
      </w:r>
      <w:r>
        <w:tab/>
      </w:r>
      <w:r w:rsidRPr="00CD3077">
        <w:rPr>
          <w:b/>
        </w:rPr>
        <w:t>Realteilungs- und Zerstückelungsverbot / Bewilligungsverfahren</w:t>
      </w:r>
    </w:p>
    <w:p w:rsidR="00902C4B" w:rsidRPr="00FB07CE" w:rsidRDefault="00902C4B">
      <w:pPr>
        <w:ind w:left="567" w:right="56" w:hanging="567"/>
      </w:pPr>
      <w:r>
        <w:tab/>
        <w:t xml:space="preserve">Der Notar wird von den Parteien beauftragt, die entsprechenden Bewilligungen beim Regierungsstatthalter </w:t>
      </w:r>
      <w:proofErr w:type="spellStart"/>
      <w:r>
        <w:t>anzubegehren</w:t>
      </w:r>
      <w:proofErr w:type="spellEnd"/>
      <w:r>
        <w:t>.</w:t>
      </w:r>
    </w:p>
    <w:p w:rsidR="00902C4B" w:rsidRDefault="00902C4B">
      <w:pPr>
        <w:ind w:left="567" w:right="-86" w:firstLine="1"/>
      </w:pPr>
    </w:p>
    <w:p w:rsidR="00902C4B" w:rsidRDefault="00902C4B">
      <w:pPr>
        <w:ind w:left="567" w:right="-86" w:firstLine="1"/>
      </w:pPr>
    </w:p>
    <w:p w:rsidR="00902C4B" w:rsidRPr="00FB07CE" w:rsidRDefault="00902C4B">
      <w:pPr>
        <w:ind w:left="567" w:right="-86" w:firstLine="1"/>
      </w:pPr>
    </w:p>
    <w:p w:rsidR="00902C4B" w:rsidRPr="00934A46" w:rsidRDefault="00902C4B">
      <w:pPr>
        <w:ind w:left="567" w:right="-86" w:firstLine="1"/>
        <w:rPr>
          <w:b/>
          <w:sz w:val="28"/>
          <w:szCs w:val="28"/>
        </w:rPr>
      </w:pPr>
      <w:r w:rsidRPr="00934A46">
        <w:rPr>
          <w:b/>
          <w:sz w:val="28"/>
          <w:szCs w:val="28"/>
        </w:rPr>
        <w:t>V. Schlussbestimmungen</w:t>
      </w:r>
    </w:p>
    <w:p w:rsidR="00902C4B" w:rsidRPr="00FB07CE" w:rsidRDefault="00902C4B">
      <w:pPr>
        <w:ind w:left="567" w:right="-86" w:firstLine="1"/>
      </w:pPr>
    </w:p>
    <w:p w:rsidR="00902C4B" w:rsidRPr="00FB07CE" w:rsidRDefault="00902C4B">
      <w:pPr>
        <w:ind w:left="567" w:right="-86" w:hanging="425"/>
        <w:rPr>
          <w:b/>
        </w:rPr>
      </w:pPr>
      <w:r w:rsidRPr="00FB07CE">
        <w:t>1.</w:t>
      </w:r>
      <w:r w:rsidRPr="00FB07CE">
        <w:tab/>
      </w:r>
      <w:r w:rsidRPr="00FB07CE">
        <w:rPr>
          <w:b/>
        </w:rPr>
        <w:t>Eintragungsbewilligung</w:t>
      </w:r>
    </w:p>
    <w:p w:rsidR="00902C4B" w:rsidRPr="00FB07CE" w:rsidRDefault="00902C4B">
      <w:pPr>
        <w:ind w:left="567" w:right="-86" w:hanging="425"/>
      </w:pPr>
      <w:r w:rsidRPr="00FB07CE">
        <w:tab/>
        <w:t>Die Parteien erteilen ihre Einwilligung, sämtliche sich aus dieser Urkunde ergebenden Einschreibungen im Grundbuch und Vermessungswerk vorzunehmen.</w:t>
      </w:r>
    </w:p>
    <w:p w:rsidR="00902C4B" w:rsidRPr="00FB07CE" w:rsidRDefault="00902C4B">
      <w:pPr>
        <w:ind w:left="567" w:right="-86" w:hanging="425"/>
      </w:pPr>
    </w:p>
    <w:p w:rsidR="00902C4B" w:rsidRPr="00FB07CE" w:rsidRDefault="00902C4B">
      <w:pPr>
        <w:ind w:left="567" w:right="-86" w:hanging="425"/>
        <w:rPr>
          <w:b/>
        </w:rPr>
      </w:pPr>
      <w:r>
        <w:t>2</w:t>
      </w:r>
      <w:r w:rsidRPr="00FB07CE">
        <w:t>.</w:t>
      </w:r>
      <w:r w:rsidRPr="00FB07CE">
        <w:tab/>
      </w:r>
      <w:r w:rsidRPr="00FB07CE">
        <w:rPr>
          <w:b/>
        </w:rPr>
        <w:t>Kosten</w:t>
      </w:r>
    </w:p>
    <w:p w:rsidR="00902C4B" w:rsidRPr="00FB07CE" w:rsidRDefault="00902C4B">
      <w:pPr>
        <w:ind w:left="567" w:right="-86" w:hanging="425"/>
      </w:pPr>
      <w:r w:rsidRPr="00FB07CE">
        <w:tab/>
      </w:r>
      <w:r>
        <w:t>Die Kosten dieses Vertrages (Geometer, Regierungsstatthalter, Grundbuch und Notar) werden von den Parteien je hälftig getragen.</w:t>
      </w:r>
    </w:p>
    <w:p w:rsidR="00902C4B" w:rsidRPr="00FB07CE" w:rsidRDefault="00902C4B">
      <w:pPr>
        <w:ind w:left="567" w:right="-86" w:hanging="425"/>
      </w:pPr>
    </w:p>
    <w:p w:rsidR="00902C4B" w:rsidRPr="00FB07CE" w:rsidRDefault="00902C4B">
      <w:pPr>
        <w:ind w:left="567" w:right="-86" w:hanging="425"/>
        <w:rPr>
          <w:b/>
        </w:rPr>
      </w:pPr>
      <w:r>
        <w:t>3</w:t>
      </w:r>
      <w:r w:rsidRPr="00FB07CE">
        <w:t>.</w:t>
      </w:r>
      <w:r w:rsidRPr="00FB07CE">
        <w:tab/>
      </w:r>
      <w:r w:rsidRPr="00FB07CE">
        <w:rPr>
          <w:b/>
        </w:rPr>
        <w:t>Ausfertigungen</w:t>
      </w:r>
    </w:p>
    <w:p w:rsidR="00902C4B" w:rsidRPr="00FB07CE" w:rsidRDefault="00902C4B">
      <w:pPr>
        <w:ind w:left="567" w:right="-86" w:hanging="425"/>
      </w:pPr>
      <w:r w:rsidRPr="00FB07CE">
        <w:tab/>
        <w:t xml:space="preserve">Diese Urschrift ist für das Kreisgrundbuchamt </w:t>
      </w:r>
      <w:r>
        <w:t xml:space="preserve">Waldsee </w:t>
      </w:r>
      <w:r w:rsidRPr="00FB07CE">
        <w:t>und die Vertragsparteien dreifach auszufertigen.</w:t>
      </w:r>
    </w:p>
    <w:p w:rsidR="00902C4B" w:rsidRPr="00FB07CE" w:rsidRDefault="00902C4B">
      <w:pPr>
        <w:ind w:left="567" w:right="-86" w:hanging="425"/>
      </w:pPr>
      <w:r w:rsidRPr="00FB07CE">
        <w:lastRenderedPageBreak/>
        <w:tab/>
        <w:t>Der Notar liest diese Urkunde den ihm persönlich bekannten und handlungsfähigen U</w:t>
      </w:r>
      <w:r w:rsidRPr="00FB07CE">
        <w:t>r</w:t>
      </w:r>
      <w:r w:rsidRPr="00FB07CE">
        <w:t>kundsparteien vor und unterzeichnet die Urschrift mit diesen.</w:t>
      </w:r>
    </w:p>
    <w:p w:rsidR="00902C4B" w:rsidRPr="00FB07CE" w:rsidRDefault="00902C4B">
      <w:pPr>
        <w:ind w:left="567" w:right="-86" w:hanging="425"/>
      </w:pPr>
    </w:p>
    <w:p w:rsidR="00902C4B" w:rsidRPr="00FB07CE" w:rsidRDefault="00902C4B">
      <w:pPr>
        <w:tabs>
          <w:tab w:val="right" w:pos="8222"/>
        </w:tabs>
        <w:ind w:left="567"/>
      </w:pPr>
      <w:r w:rsidRPr="00FB07CE">
        <w:tab/>
        <w:t xml:space="preserve">Beurkundet ohne Unterbrechung und in Anwesenheit aller Mitwirkenden im Büro des Notars in </w:t>
      </w:r>
      <w:r>
        <w:t xml:space="preserve">Bern </w:t>
      </w:r>
      <w:r w:rsidRPr="00FB07CE">
        <w:t xml:space="preserve">am </w:t>
      </w:r>
      <w:r>
        <w:t xml:space="preserve">einunddreissigsten Januar </w:t>
      </w:r>
      <w:proofErr w:type="spellStart"/>
      <w:r>
        <w:t>zweitausendundacht</w:t>
      </w:r>
      <w:proofErr w:type="spellEnd"/>
      <w:r>
        <w:t>.</w:t>
      </w:r>
    </w:p>
    <w:p w:rsidR="00902C4B" w:rsidRPr="00FB07CE" w:rsidRDefault="00902C4B">
      <w:pPr>
        <w:tabs>
          <w:tab w:val="right" w:pos="8222"/>
        </w:tabs>
        <w:ind w:left="567"/>
      </w:pPr>
    </w:p>
    <w:p w:rsidR="00902C4B" w:rsidRPr="00FB07CE" w:rsidRDefault="00902C4B">
      <w:pPr>
        <w:tabs>
          <w:tab w:val="right" w:pos="8222"/>
        </w:tabs>
        <w:ind w:left="567"/>
        <w:jc w:val="center"/>
        <w:rPr>
          <w:u w:val="single"/>
        </w:rPr>
      </w:pPr>
      <w:r w:rsidRPr="00FB07CE">
        <w:rPr>
          <w:u w:val="single"/>
        </w:rPr>
        <w:t>D.d.</w:t>
      </w:r>
      <w:r>
        <w:rPr>
          <w:u w:val="single"/>
        </w:rPr>
        <w:t xml:space="preserve"> 31. Januar 2008</w:t>
      </w:r>
    </w:p>
    <w:p w:rsidR="00902C4B" w:rsidRPr="00FB07CE" w:rsidRDefault="00902C4B">
      <w:pPr>
        <w:tabs>
          <w:tab w:val="right" w:pos="8222"/>
        </w:tabs>
        <w:ind w:left="567"/>
      </w:pPr>
    </w:p>
    <w:p w:rsidR="00902C4B" w:rsidRPr="00FB07CE" w:rsidRDefault="00902C4B">
      <w:pPr>
        <w:tabs>
          <w:tab w:val="right" w:pos="8222"/>
        </w:tabs>
        <w:ind w:left="567"/>
      </w:pPr>
      <w:r w:rsidRPr="00FB07CE">
        <w:t>Die Parteien:</w:t>
      </w:r>
    </w:p>
    <w:p w:rsidR="00902C4B" w:rsidRPr="00FB07CE" w:rsidRDefault="00902C4B" w:rsidP="00902C4B">
      <w:pPr>
        <w:tabs>
          <w:tab w:val="left" w:pos="4820"/>
        </w:tabs>
        <w:ind w:left="567"/>
      </w:pPr>
      <w:r>
        <w:t>Herr Hans Moser:</w:t>
      </w:r>
      <w:r>
        <w:tab/>
        <w:t>Herr Max Muster:</w:t>
      </w:r>
    </w:p>
    <w:p w:rsidR="00902C4B" w:rsidRPr="00FB07CE" w:rsidRDefault="00902C4B">
      <w:pPr>
        <w:tabs>
          <w:tab w:val="right" w:pos="8222"/>
        </w:tabs>
        <w:ind w:left="567"/>
      </w:pPr>
    </w:p>
    <w:p w:rsidR="00902C4B" w:rsidRPr="00FB07CE" w:rsidRDefault="00902C4B">
      <w:pPr>
        <w:tabs>
          <w:tab w:val="right" w:pos="8222"/>
        </w:tabs>
        <w:ind w:left="567"/>
      </w:pPr>
      <w:r w:rsidRPr="00FB07CE">
        <w:t>Der Notar:</w:t>
      </w:r>
    </w:p>
    <w:p w:rsidR="004502C3" w:rsidRDefault="004502C3" w:rsidP="004502C3">
      <w:pPr>
        <w:rPr>
          <w:szCs w:val="22"/>
        </w:rPr>
      </w:pPr>
    </w:p>
    <w:p w:rsidR="00902C4B" w:rsidRDefault="00902C4B">
      <w:pPr>
        <w:spacing w:after="200"/>
        <w:rPr>
          <w:szCs w:val="22"/>
        </w:rPr>
      </w:pPr>
      <w:r>
        <w:rPr>
          <w:szCs w:val="22"/>
        </w:rPr>
        <w:br w:type="page"/>
      </w:r>
    </w:p>
    <w:p w:rsidR="00902C4B" w:rsidRDefault="00902C4B" w:rsidP="00902C4B">
      <w:pPr>
        <w:rPr>
          <w:szCs w:val="22"/>
        </w:rPr>
      </w:pPr>
      <w:r>
        <w:rPr>
          <w:noProof/>
          <w:szCs w:val="22"/>
          <w:lang w:eastAsia="de-CH"/>
        </w:rPr>
        <w:lastRenderedPageBreak/>
        <w:drawing>
          <wp:inline distT="0" distB="0" distL="0" distR="0">
            <wp:extent cx="5817870" cy="8088630"/>
            <wp:effectExtent l="0" t="0" r="0" b="762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lan zum Tausch.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817870" cy="8088630"/>
                    </a:xfrm>
                    <a:prstGeom prst="rect">
                      <a:avLst/>
                    </a:prstGeom>
                  </pic:spPr>
                </pic:pic>
              </a:graphicData>
            </a:graphic>
          </wp:inline>
        </w:drawing>
      </w:r>
    </w:p>
    <w:p w:rsidR="00902C4B" w:rsidRDefault="00902C4B" w:rsidP="00902C4B">
      <w:pPr>
        <w:spacing w:after="200"/>
        <w:rPr>
          <w:szCs w:val="22"/>
        </w:rPr>
      </w:pPr>
      <w:r>
        <w:rPr>
          <w:szCs w:val="22"/>
        </w:rPr>
        <w:br w:type="page"/>
      </w:r>
    </w:p>
    <w:p w:rsidR="00902C4B" w:rsidRDefault="00902C4B">
      <w:pPr>
        <w:spacing w:after="120"/>
        <w:rPr>
          <w:rFonts w:ascii="Book Antiqua" w:hAnsi="Book Antiqua"/>
          <w:sz w:val="24"/>
        </w:rPr>
      </w:pPr>
    </w:p>
    <w:p w:rsidR="00902C4B" w:rsidRDefault="00902C4B">
      <w:pPr>
        <w:spacing w:after="120"/>
        <w:rPr>
          <w:rFonts w:ascii="Book Antiqua" w:hAnsi="Book Antiqua"/>
          <w:sz w:val="24"/>
        </w:rPr>
      </w:pPr>
      <w:r>
        <w:rPr>
          <w:rFonts w:ascii="Book Antiqua" w:hAnsi="Book Antiqua"/>
          <w:sz w:val="24"/>
        </w:rPr>
        <w:t>____________________________________________________________________________</w:t>
      </w:r>
    </w:p>
    <w:p w:rsidR="00902C4B" w:rsidRDefault="00902C4B">
      <w:pPr>
        <w:jc w:val="center"/>
        <w:rPr>
          <w:rFonts w:ascii="Book Antiqua" w:hAnsi="Book Antiqua"/>
          <w:b/>
          <w:sz w:val="28"/>
        </w:rPr>
      </w:pPr>
      <w:r>
        <w:rPr>
          <w:rFonts w:ascii="Book Antiqua" w:hAnsi="Book Antiqua"/>
          <w:b/>
          <w:sz w:val="28"/>
        </w:rPr>
        <w:t>Zustimmungs-Erklärung zum Tauschvertrag</w:t>
      </w:r>
    </w:p>
    <w:p w:rsidR="00902C4B" w:rsidRDefault="00902C4B">
      <w:pPr>
        <w:rPr>
          <w:rFonts w:ascii="Book Antiqua" w:hAnsi="Book Antiqua"/>
          <w:sz w:val="24"/>
        </w:rPr>
      </w:pPr>
      <w:r>
        <w:rPr>
          <w:rFonts w:ascii="Book Antiqua" w:hAnsi="Book Antiqua"/>
          <w:sz w:val="24"/>
        </w:rPr>
        <w:t>____________________________________________________________________________</w:t>
      </w:r>
    </w:p>
    <w:p w:rsidR="00902C4B" w:rsidRDefault="00902C4B">
      <w:pPr>
        <w:rPr>
          <w:rFonts w:ascii="Book Antiqua" w:hAnsi="Book Antiqua"/>
          <w:sz w:val="24"/>
        </w:rPr>
      </w:pPr>
    </w:p>
    <w:p w:rsidR="00902C4B" w:rsidRDefault="00902C4B">
      <w:pPr>
        <w:spacing w:after="120"/>
        <w:rPr>
          <w:rFonts w:ascii="Book Antiqua" w:hAnsi="Book Antiqua"/>
          <w:sz w:val="24"/>
        </w:rPr>
      </w:pPr>
      <w:r>
        <w:rPr>
          <w:rFonts w:ascii="Book Antiqua" w:hAnsi="Book Antiqua"/>
          <w:sz w:val="24"/>
        </w:rPr>
        <w:t xml:space="preserve">Die unterzeichnende Frau Verena Muster, geb. 14.12.1958, von Zürich, verheiratet, </w:t>
      </w:r>
      <w:proofErr w:type="spellStart"/>
      <w:r>
        <w:rPr>
          <w:rFonts w:ascii="Book Antiqua" w:hAnsi="Book Antiqua"/>
          <w:sz w:val="24"/>
        </w:rPr>
        <w:t>Kuhweid</w:t>
      </w:r>
      <w:proofErr w:type="spellEnd"/>
      <w:r>
        <w:rPr>
          <w:rFonts w:ascii="Book Antiqua" w:hAnsi="Book Antiqua"/>
          <w:sz w:val="24"/>
        </w:rPr>
        <w:t xml:space="preserve"> </w:t>
      </w:r>
      <w:proofErr w:type="spellStart"/>
      <w:r>
        <w:rPr>
          <w:rFonts w:ascii="Book Antiqua" w:hAnsi="Book Antiqua"/>
          <w:sz w:val="24"/>
        </w:rPr>
        <w:t>40H</w:t>
      </w:r>
      <w:proofErr w:type="spellEnd"/>
      <w:r>
        <w:rPr>
          <w:rFonts w:ascii="Book Antiqua" w:hAnsi="Book Antiqua"/>
          <w:sz w:val="24"/>
        </w:rPr>
        <w:t>, Seldwyla, erklärt:</w:t>
      </w:r>
    </w:p>
    <w:p w:rsidR="00902C4B" w:rsidRDefault="00902C4B" w:rsidP="00902C4B">
      <w:pPr>
        <w:tabs>
          <w:tab w:val="left" w:pos="426"/>
        </w:tabs>
        <w:spacing w:after="120"/>
        <w:ind w:left="426" w:hanging="426"/>
        <w:rPr>
          <w:rFonts w:ascii="Book Antiqua" w:hAnsi="Book Antiqua"/>
          <w:sz w:val="24"/>
        </w:rPr>
      </w:pPr>
      <w:r>
        <w:rPr>
          <w:rFonts w:ascii="Book Antiqua" w:hAnsi="Book Antiqua"/>
          <w:sz w:val="24"/>
        </w:rPr>
        <w:t>1.</w:t>
      </w:r>
      <w:r>
        <w:rPr>
          <w:rFonts w:ascii="Book Antiqua" w:hAnsi="Book Antiqua"/>
          <w:sz w:val="24"/>
        </w:rPr>
        <w:tab/>
        <w:t>Ich bin mit Herrn Max Muster, geb. 1.12.1952, von Zürich, Landwirt, Seldwyla, verheiratet und bearbeite mit meinem Ehemann das Heimwesen Seldwyla, Grundbuchblätter Nrn. 474-1, 474-3, 475-1, 475-3, 482-1, 482-2, 483-1, 483-2, 484-1, 484-2, 835-1, 835-2.</w:t>
      </w:r>
    </w:p>
    <w:p w:rsidR="00902C4B" w:rsidRDefault="00902C4B" w:rsidP="00902C4B">
      <w:pPr>
        <w:tabs>
          <w:tab w:val="left" w:pos="426"/>
        </w:tabs>
        <w:spacing w:after="120"/>
        <w:ind w:left="426" w:hanging="426"/>
        <w:rPr>
          <w:rFonts w:ascii="Book Antiqua" w:hAnsi="Book Antiqua"/>
          <w:sz w:val="24"/>
        </w:rPr>
      </w:pPr>
      <w:r>
        <w:rPr>
          <w:rFonts w:ascii="Book Antiqua" w:hAnsi="Book Antiqua"/>
          <w:sz w:val="24"/>
        </w:rPr>
        <w:t>2.</w:t>
      </w:r>
      <w:r>
        <w:rPr>
          <w:rFonts w:ascii="Book Antiqua" w:hAnsi="Book Antiqua"/>
          <w:sz w:val="24"/>
        </w:rPr>
        <w:tab/>
        <w:t>Ich bin im Besitz einer Kopie des Tauschvertrages zur Planänderung Nr. 2007/01 von Seldwyla, Tauschvertrag zwischen den Herren Hans Moser, und Max Mu</w:t>
      </w:r>
      <w:r>
        <w:rPr>
          <w:rFonts w:ascii="Book Antiqua" w:hAnsi="Book Antiqua"/>
          <w:sz w:val="24"/>
        </w:rPr>
        <w:t>s</w:t>
      </w:r>
      <w:r>
        <w:rPr>
          <w:rFonts w:ascii="Book Antiqua" w:hAnsi="Book Antiqua"/>
          <w:sz w:val="24"/>
        </w:rPr>
        <w:t>ter, Urschrift Nr. 1600 von Notar A.B., Bern.</w:t>
      </w:r>
    </w:p>
    <w:p w:rsidR="00902C4B" w:rsidRDefault="00902C4B" w:rsidP="00902C4B">
      <w:pPr>
        <w:tabs>
          <w:tab w:val="left" w:pos="426"/>
        </w:tabs>
        <w:spacing w:after="120"/>
        <w:ind w:left="426" w:hanging="426"/>
        <w:rPr>
          <w:rFonts w:ascii="Book Antiqua" w:hAnsi="Book Antiqua"/>
          <w:sz w:val="24"/>
        </w:rPr>
      </w:pPr>
      <w:r>
        <w:rPr>
          <w:rFonts w:ascii="Book Antiqua" w:hAnsi="Book Antiqua"/>
          <w:sz w:val="24"/>
        </w:rPr>
        <w:t>3.</w:t>
      </w:r>
      <w:r>
        <w:rPr>
          <w:rFonts w:ascii="Book Antiqua" w:hAnsi="Book Antiqua"/>
          <w:sz w:val="24"/>
        </w:rPr>
        <w:tab/>
        <w:t>Als mitbewirtschaftende Ehefrau des landwirtschaftlichen Gewerbes stimmt ich, im Sinne von Art. 40 BGBB, dem Tauschvertrag, Urschrift Nr. 1600, in allen Teilen zu.</w:t>
      </w:r>
    </w:p>
    <w:p w:rsidR="00902C4B" w:rsidRDefault="00902C4B">
      <w:pPr>
        <w:tabs>
          <w:tab w:val="left" w:pos="284"/>
          <w:tab w:val="left" w:pos="5387"/>
        </w:tabs>
        <w:spacing w:after="120"/>
        <w:rPr>
          <w:rFonts w:ascii="Book Antiqua" w:hAnsi="Book Antiqua"/>
          <w:sz w:val="24"/>
        </w:rPr>
      </w:pPr>
    </w:p>
    <w:p w:rsidR="00902C4B" w:rsidRDefault="00902C4B">
      <w:pPr>
        <w:pStyle w:val="Textkrper"/>
        <w:tabs>
          <w:tab w:val="left" w:pos="5387"/>
        </w:tabs>
        <w:spacing w:after="0"/>
      </w:pPr>
      <w:r>
        <w:t>Ort und Datum:</w:t>
      </w:r>
      <w:r>
        <w:tab/>
        <w:t>Unterschrift:</w:t>
      </w:r>
    </w:p>
    <w:p w:rsidR="00902C4B" w:rsidRDefault="00902C4B">
      <w:pPr>
        <w:tabs>
          <w:tab w:val="left" w:pos="5387"/>
        </w:tabs>
        <w:rPr>
          <w:rFonts w:ascii="Book Antiqua" w:hAnsi="Book Antiqua"/>
          <w:sz w:val="24"/>
        </w:rPr>
      </w:pPr>
      <w:r>
        <w:rPr>
          <w:rFonts w:ascii="Book Antiqua" w:hAnsi="Book Antiqua"/>
          <w:sz w:val="24"/>
        </w:rPr>
        <w:tab/>
      </w:r>
    </w:p>
    <w:p w:rsidR="00902C4B" w:rsidRDefault="00902C4B">
      <w:pPr>
        <w:tabs>
          <w:tab w:val="left" w:pos="5387"/>
        </w:tabs>
        <w:rPr>
          <w:rFonts w:ascii="Book Antiqua" w:hAnsi="Book Antiqua"/>
          <w:sz w:val="24"/>
        </w:rPr>
      </w:pPr>
      <w:r>
        <w:rPr>
          <w:rFonts w:ascii="Book Antiqua" w:hAnsi="Book Antiqua"/>
          <w:sz w:val="24"/>
        </w:rPr>
        <w:tab/>
      </w:r>
    </w:p>
    <w:p w:rsidR="00902C4B" w:rsidRDefault="00902C4B">
      <w:pPr>
        <w:tabs>
          <w:tab w:val="left" w:pos="5387"/>
        </w:tabs>
        <w:rPr>
          <w:rFonts w:ascii="Book Antiqua" w:hAnsi="Book Antiqua"/>
          <w:sz w:val="24"/>
        </w:rPr>
      </w:pPr>
      <w:r>
        <w:rPr>
          <w:rFonts w:ascii="Book Antiqua" w:hAnsi="Book Antiqua"/>
          <w:sz w:val="24"/>
        </w:rPr>
        <w:tab/>
      </w:r>
    </w:p>
    <w:p w:rsidR="00902C4B" w:rsidRDefault="00902C4B">
      <w:pPr>
        <w:tabs>
          <w:tab w:val="left" w:pos="5387"/>
        </w:tabs>
        <w:spacing w:after="120"/>
        <w:rPr>
          <w:rFonts w:ascii="Book Antiqua" w:hAnsi="Book Antiqua"/>
          <w:sz w:val="24"/>
        </w:rPr>
      </w:pPr>
    </w:p>
    <w:p w:rsidR="00902C4B" w:rsidRDefault="00902C4B">
      <w:pPr>
        <w:pStyle w:val="Textkrper"/>
        <w:tabs>
          <w:tab w:val="left" w:pos="5387"/>
        </w:tabs>
      </w:pPr>
      <w:r>
        <w:t>Seldwyla, den  ............................................</w:t>
      </w:r>
      <w:r>
        <w:tab/>
        <w:t>...............................................................</w:t>
      </w:r>
    </w:p>
    <w:p w:rsidR="00902C4B" w:rsidRDefault="00902C4B">
      <w:pPr>
        <w:tabs>
          <w:tab w:val="left" w:pos="284"/>
          <w:tab w:val="left" w:pos="5387"/>
        </w:tabs>
        <w:spacing w:after="120"/>
        <w:rPr>
          <w:rFonts w:ascii="Book Antiqua" w:hAnsi="Book Antiqua"/>
          <w:sz w:val="24"/>
        </w:rPr>
      </w:pPr>
    </w:p>
    <w:p w:rsidR="00902C4B" w:rsidRDefault="00902C4B" w:rsidP="00902C4B">
      <w:pPr>
        <w:rPr>
          <w:szCs w:val="22"/>
        </w:rPr>
      </w:pPr>
    </w:p>
    <w:p w:rsidR="00902C4B" w:rsidRDefault="00902C4B" w:rsidP="00902C4B">
      <w:pPr>
        <w:spacing w:after="200"/>
        <w:rPr>
          <w:szCs w:val="22"/>
        </w:rPr>
      </w:pPr>
      <w:r>
        <w:rPr>
          <w:szCs w:val="22"/>
        </w:rPr>
        <w:br w:type="page"/>
      </w:r>
    </w:p>
    <w:tbl>
      <w:tblPr>
        <w:tblW w:w="0" w:type="auto"/>
        <w:tblInd w:w="54" w:type="dxa"/>
        <w:tblLayout w:type="fixed"/>
        <w:tblCellMar>
          <w:left w:w="56" w:type="dxa"/>
          <w:right w:w="56" w:type="dxa"/>
        </w:tblCellMar>
        <w:tblLook w:val="0000" w:firstRow="0" w:lastRow="0" w:firstColumn="0" w:lastColumn="0" w:noHBand="0" w:noVBand="0"/>
      </w:tblPr>
      <w:tblGrid>
        <w:gridCol w:w="993"/>
        <w:gridCol w:w="567"/>
        <w:gridCol w:w="692"/>
        <w:gridCol w:w="1434"/>
        <w:gridCol w:w="569"/>
        <w:gridCol w:w="376"/>
        <w:gridCol w:w="758"/>
        <w:gridCol w:w="1324"/>
        <w:gridCol w:w="2503"/>
      </w:tblGrid>
      <w:tr w:rsidR="00902C4B" w:rsidTr="00902C4B">
        <w:trPr>
          <w:cantSplit/>
          <w:trHeight w:hRule="exact" w:val="907"/>
        </w:trPr>
        <w:tc>
          <w:tcPr>
            <w:tcW w:w="4255" w:type="dxa"/>
            <w:gridSpan w:val="5"/>
          </w:tcPr>
          <w:p w:rsidR="00902C4B" w:rsidRDefault="00902C4B">
            <w:pPr>
              <w:rPr>
                <w:b/>
                <w:sz w:val="28"/>
              </w:rPr>
            </w:pPr>
            <w:r>
              <w:rPr>
                <w:b/>
                <w:sz w:val="28"/>
              </w:rPr>
              <w:lastRenderedPageBreak/>
              <w:t>Pfandentlassungsbewilligung</w:t>
            </w:r>
          </w:p>
          <w:p w:rsidR="00902C4B" w:rsidRDefault="00902C4B">
            <w:pPr>
              <w:rPr>
                <w:b/>
              </w:rPr>
            </w:pPr>
          </w:p>
          <w:p w:rsidR="00902C4B" w:rsidRDefault="00902C4B">
            <w:pPr>
              <w:rPr>
                <w:b/>
                <w:sz w:val="18"/>
              </w:rPr>
            </w:pPr>
            <w:r>
              <w:rPr>
                <w:b/>
              </w:rPr>
              <w:t>an das Grundbuchamt</w:t>
            </w:r>
          </w:p>
        </w:tc>
        <w:tc>
          <w:tcPr>
            <w:tcW w:w="1134" w:type="dxa"/>
            <w:gridSpan w:val="2"/>
          </w:tcPr>
          <w:p w:rsidR="00902C4B" w:rsidRDefault="00902C4B"/>
        </w:tc>
        <w:tc>
          <w:tcPr>
            <w:tcW w:w="3827" w:type="dxa"/>
            <w:gridSpan w:val="2"/>
          </w:tcPr>
          <w:p w:rsidR="00902C4B" w:rsidRDefault="00902C4B">
            <w:r>
              <w:t xml:space="preserve">Beleg Nr. </w:t>
            </w:r>
          </w:p>
          <w:p w:rsidR="00902C4B" w:rsidRDefault="00902C4B">
            <w:pPr>
              <w:rPr>
                <w:sz w:val="16"/>
              </w:rPr>
            </w:pPr>
          </w:p>
          <w:p w:rsidR="00902C4B" w:rsidRDefault="00902C4B">
            <w:r>
              <w:t>Eingang</w:t>
            </w:r>
          </w:p>
        </w:tc>
      </w:tr>
      <w:tr w:rsidR="00902C4B" w:rsidTr="00902C4B">
        <w:tblPrEx>
          <w:tblCellMar>
            <w:left w:w="70" w:type="dxa"/>
            <w:right w:w="70" w:type="dxa"/>
          </w:tblCellMar>
        </w:tblPrEx>
        <w:trPr>
          <w:trHeight w:hRule="exact" w:val="240"/>
        </w:trPr>
        <w:tc>
          <w:tcPr>
            <w:tcW w:w="9216" w:type="dxa"/>
            <w:gridSpan w:val="9"/>
          </w:tcPr>
          <w:p w:rsidR="00902C4B" w:rsidRDefault="00902C4B">
            <w:pPr>
              <w:pStyle w:val="Betreff"/>
              <w:spacing w:before="0" w:after="0"/>
              <w:rPr>
                <w:rFonts w:ascii="Arial" w:hAnsi="Arial"/>
                <w:b w:val="0"/>
                <w:sz w:val="20"/>
              </w:rPr>
            </w:pPr>
          </w:p>
        </w:tc>
      </w:tr>
      <w:tr w:rsidR="00902C4B" w:rsidTr="00902C4B">
        <w:tblPrEx>
          <w:tblCellMar>
            <w:left w:w="70" w:type="dxa"/>
            <w:right w:w="70" w:type="dxa"/>
          </w:tblCellMar>
        </w:tblPrEx>
        <w:trPr>
          <w:trHeight w:hRule="exact" w:val="400"/>
        </w:trPr>
        <w:tc>
          <w:tcPr>
            <w:tcW w:w="9216" w:type="dxa"/>
            <w:gridSpan w:val="9"/>
          </w:tcPr>
          <w:p w:rsidR="00902C4B" w:rsidRDefault="00902C4B">
            <w:pPr>
              <w:pStyle w:val="Betreff"/>
              <w:spacing w:before="0" w:after="0"/>
              <w:rPr>
                <w:rFonts w:ascii="Arial" w:hAnsi="Arial"/>
                <w:b w:val="0"/>
                <w:sz w:val="20"/>
              </w:rPr>
            </w:pPr>
            <w:r>
              <w:rPr>
                <w:rFonts w:ascii="Arial" w:hAnsi="Arial"/>
                <w:b w:val="0"/>
                <w:sz w:val="20"/>
              </w:rPr>
              <w:t>Der/Die Unterzeichnende erteilt seine/ihre Einwilligung, folgende Grundstücke</w:t>
            </w:r>
          </w:p>
        </w:tc>
      </w:tr>
      <w:tr w:rsidR="00902C4B" w:rsidTr="00902C4B">
        <w:tblPrEx>
          <w:tblCellMar>
            <w:left w:w="70" w:type="dxa"/>
            <w:right w:w="70" w:type="dxa"/>
          </w:tblCellMar>
        </w:tblPrEx>
        <w:trPr>
          <w:cantSplit/>
          <w:trHeight w:hRule="exact" w:val="720"/>
        </w:trPr>
        <w:tc>
          <w:tcPr>
            <w:tcW w:w="2252" w:type="dxa"/>
            <w:gridSpan w:val="3"/>
          </w:tcPr>
          <w:p w:rsidR="00902C4B" w:rsidRDefault="00902C4B">
            <w:pPr>
              <w:pStyle w:val="Betreff"/>
              <w:tabs>
                <w:tab w:val="left" w:pos="2269"/>
              </w:tabs>
              <w:spacing w:before="0" w:after="0"/>
              <w:rPr>
                <w:rFonts w:ascii="Arial" w:hAnsi="Arial"/>
                <w:b w:val="0"/>
                <w:sz w:val="20"/>
              </w:rPr>
            </w:pPr>
            <w:r>
              <w:rPr>
                <w:rFonts w:ascii="Arial" w:hAnsi="Arial"/>
                <w:b w:val="0"/>
                <w:sz w:val="20"/>
              </w:rPr>
              <w:t xml:space="preserve">im Eigentum von </w:t>
            </w:r>
          </w:p>
        </w:tc>
        <w:tc>
          <w:tcPr>
            <w:tcW w:w="6964" w:type="dxa"/>
            <w:gridSpan w:val="6"/>
          </w:tcPr>
          <w:p w:rsidR="00902C4B" w:rsidRDefault="00902C4B">
            <w:r>
              <w:rPr>
                <w:b/>
                <w:color w:val="000000"/>
              </w:rPr>
              <w:fldChar w:fldCharType="begin">
                <w:ffData>
                  <w:name w:val="Text1"/>
                  <w:enabled/>
                  <w:calcOnExit w:val="0"/>
                  <w:textInput/>
                </w:ffData>
              </w:fldChar>
            </w:r>
            <w:r>
              <w:rPr>
                <w:b/>
                <w:color w:val="000000"/>
              </w:rPr>
              <w:instrText xml:space="preserve"> FORMTEXT </w:instrText>
            </w:r>
            <w:r>
              <w:rPr>
                <w:b/>
                <w:color w:val="000000"/>
              </w:rPr>
            </w:r>
            <w:r>
              <w:rPr>
                <w:b/>
                <w:color w:val="000000"/>
              </w:rPr>
              <w:fldChar w:fldCharType="separate"/>
            </w:r>
            <w:r>
              <w:rPr>
                <w:b/>
                <w:noProof/>
                <w:color w:val="000000"/>
              </w:rPr>
              <w:t>Muster Max</w:t>
            </w:r>
            <w:r>
              <w:rPr>
                <w:b/>
                <w:color w:val="000000"/>
              </w:rPr>
              <w:fldChar w:fldCharType="end"/>
            </w:r>
          </w:p>
        </w:tc>
      </w:tr>
      <w:tr w:rsidR="00902C4B" w:rsidTr="00902C4B">
        <w:tblPrEx>
          <w:tblCellMar>
            <w:left w:w="70" w:type="dxa"/>
            <w:right w:w="70" w:type="dxa"/>
          </w:tblCellMar>
        </w:tblPrEx>
        <w:trPr>
          <w:trHeight w:hRule="exact" w:val="240"/>
        </w:trPr>
        <w:tc>
          <w:tcPr>
            <w:tcW w:w="9216" w:type="dxa"/>
            <w:gridSpan w:val="9"/>
          </w:tcPr>
          <w:p w:rsidR="00902C4B" w:rsidRDefault="00902C4B">
            <w:r>
              <w:rPr>
                <w:b/>
              </w:rPr>
              <w:t>ganz</w:t>
            </w:r>
            <w:r>
              <w:t xml:space="preserve"> aus der Pfandhaft zu entlassen:</w:t>
            </w:r>
          </w:p>
        </w:tc>
      </w:tr>
      <w:tr w:rsidR="00902C4B" w:rsidTr="00902C4B">
        <w:tblPrEx>
          <w:tblCellMar>
            <w:left w:w="70" w:type="dxa"/>
            <w:right w:w="70" w:type="dxa"/>
          </w:tblCellMar>
        </w:tblPrEx>
        <w:trPr>
          <w:trHeight w:hRule="exact" w:val="200"/>
        </w:trPr>
        <w:tc>
          <w:tcPr>
            <w:tcW w:w="9216" w:type="dxa"/>
            <w:gridSpan w:val="9"/>
          </w:tcPr>
          <w:p w:rsidR="00902C4B" w:rsidRDefault="00902C4B"/>
        </w:tc>
      </w:tr>
      <w:tr w:rsidR="00902C4B" w:rsidTr="00902C4B">
        <w:tblPrEx>
          <w:tblCellMar>
            <w:left w:w="70" w:type="dxa"/>
            <w:right w:w="70" w:type="dxa"/>
          </w:tblCellMar>
        </w:tblPrEx>
        <w:trPr>
          <w:trHeight w:hRule="exact" w:val="360"/>
        </w:trPr>
        <w:tc>
          <w:tcPr>
            <w:tcW w:w="2252" w:type="dxa"/>
            <w:gridSpan w:val="3"/>
          </w:tcPr>
          <w:p w:rsidR="00902C4B" w:rsidRDefault="00902C4B">
            <w:pPr>
              <w:pStyle w:val="Betreff"/>
              <w:tabs>
                <w:tab w:val="clear" w:pos="5800"/>
              </w:tabs>
              <w:spacing w:before="0" w:after="0"/>
              <w:rPr>
                <w:rFonts w:ascii="Arial" w:hAnsi="Arial"/>
                <w:b w:val="0"/>
                <w:sz w:val="20"/>
              </w:rPr>
            </w:pPr>
            <w:r>
              <w:rPr>
                <w:rFonts w:ascii="Arial" w:hAnsi="Arial"/>
                <w:b w:val="0"/>
                <w:sz w:val="20"/>
              </w:rPr>
              <w:t>Grundbuchblatt Nr.</w:t>
            </w:r>
          </w:p>
        </w:tc>
        <w:tc>
          <w:tcPr>
            <w:tcW w:w="6964" w:type="dxa"/>
            <w:gridSpan w:val="6"/>
          </w:tcPr>
          <w:p w:rsidR="00902C4B" w:rsidRDefault="00902C4B">
            <w:r>
              <w:rPr>
                <w:b/>
                <w:color w:val="000000"/>
              </w:rPr>
              <w:fldChar w:fldCharType="begin">
                <w:ffData>
                  <w:name w:val="Text1"/>
                  <w:enabled/>
                  <w:calcOnExit w:val="0"/>
                  <w:textInput/>
                </w:ffData>
              </w:fldChar>
            </w:r>
            <w:r>
              <w:rPr>
                <w:b/>
                <w:color w:val="000000"/>
              </w:rPr>
              <w:instrText xml:space="preserve"> FORMTEXT </w:instrText>
            </w:r>
            <w:r>
              <w:rPr>
                <w:b/>
                <w:color w:val="000000"/>
              </w:rPr>
            </w:r>
            <w:r>
              <w:rPr>
                <w:b/>
                <w:color w:val="000000"/>
              </w:rPr>
              <w:fldChar w:fldCharType="separate"/>
            </w:r>
            <w:r>
              <w:rPr>
                <w:b/>
                <w:color w:val="000000"/>
              </w:rPr>
              <w:t>483</w:t>
            </w:r>
            <w:r>
              <w:rPr>
                <w:b/>
                <w:color w:val="000000"/>
              </w:rPr>
              <w:fldChar w:fldCharType="end"/>
            </w:r>
          </w:p>
        </w:tc>
      </w:tr>
      <w:tr w:rsidR="00902C4B" w:rsidTr="00902C4B">
        <w:tblPrEx>
          <w:tblCellMar>
            <w:left w:w="70" w:type="dxa"/>
            <w:right w:w="70" w:type="dxa"/>
          </w:tblCellMar>
        </w:tblPrEx>
        <w:trPr>
          <w:trHeight w:hRule="exact" w:val="360"/>
        </w:trPr>
        <w:tc>
          <w:tcPr>
            <w:tcW w:w="2252" w:type="dxa"/>
            <w:gridSpan w:val="3"/>
          </w:tcPr>
          <w:p w:rsidR="00902C4B" w:rsidRDefault="00902C4B">
            <w:pPr>
              <w:pStyle w:val="Betreff"/>
              <w:tabs>
                <w:tab w:val="clear" w:pos="5800"/>
              </w:tabs>
              <w:spacing w:before="0" w:after="0"/>
              <w:rPr>
                <w:rFonts w:ascii="Arial" w:hAnsi="Arial"/>
                <w:b w:val="0"/>
                <w:sz w:val="20"/>
              </w:rPr>
            </w:pPr>
            <w:r>
              <w:rPr>
                <w:rFonts w:ascii="Arial" w:hAnsi="Arial"/>
                <w:b w:val="0"/>
                <w:sz w:val="20"/>
              </w:rPr>
              <w:t xml:space="preserve">der Gemeinde </w:t>
            </w:r>
          </w:p>
        </w:tc>
        <w:tc>
          <w:tcPr>
            <w:tcW w:w="6964" w:type="dxa"/>
            <w:gridSpan w:val="6"/>
          </w:tcPr>
          <w:p w:rsidR="00902C4B" w:rsidRDefault="00902C4B">
            <w:r>
              <w:rPr>
                <w:b/>
                <w:color w:val="000000"/>
              </w:rPr>
              <w:fldChar w:fldCharType="begin">
                <w:ffData>
                  <w:name w:val="Text1"/>
                  <w:enabled/>
                  <w:calcOnExit w:val="0"/>
                  <w:textInput/>
                </w:ffData>
              </w:fldChar>
            </w:r>
            <w:r>
              <w:rPr>
                <w:b/>
                <w:color w:val="000000"/>
              </w:rPr>
              <w:instrText xml:space="preserve"> FORMTEXT </w:instrText>
            </w:r>
            <w:r>
              <w:rPr>
                <w:b/>
                <w:color w:val="000000"/>
              </w:rPr>
            </w:r>
            <w:r>
              <w:rPr>
                <w:b/>
                <w:color w:val="000000"/>
              </w:rPr>
              <w:fldChar w:fldCharType="separate"/>
            </w:r>
            <w:r>
              <w:rPr>
                <w:b/>
                <w:color w:val="000000"/>
              </w:rPr>
              <w:t>Seldwyla</w:t>
            </w:r>
            <w:r>
              <w:rPr>
                <w:b/>
                <w:color w:val="000000"/>
              </w:rPr>
              <w:fldChar w:fldCharType="end"/>
            </w:r>
          </w:p>
        </w:tc>
      </w:tr>
      <w:tr w:rsidR="00902C4B" w:rsidTr="00902C4B">
        <w:tblPrEx>
          <w:tblCellMar>
            <w:left w:w="70" w:type="dxa"/>
            <w:right w:w="70" w:type="dxa"/>
          </w:tblCellMar>
        </w:tblPrEx>
        <w:trPr>
          <w:trHeight w:hRule="exact" w:val="240"/>
        </w:trPr>
        <w:tc>
          <w:tcPr>
            <w:tcW w:w="9216" w:type="dxa"/>
            <w:gridSpan w:val="9"/>
          </w:tcPr>
          <w:p w:rsidR="00902C4B" w:rsidRDefault="00902C4B"/>
        </w:tc>
      </w:tr>
      <w:tr w:rsidR="00902C4B" w:rsidTr="00902C4B">
        <w:tblPrEx>
          <w:tblCellMar>
            <w:left w:w="70" w:type="dxa"/>
            <w:right w:w="70" w:type="dxa"/>
          </w:tblCellMar>
        </w:tblPrEx>
        <w:trPr>
          <w:trHeight w:hRule="exact" w:val="240"/>
        </w:trPr>
        <w:tc>
          <w:tcPr>
            <w:tcW w:w="9216" w:type="dxa"/>
            <w:gridSpan w:val="9"/>
          </w:tcPr>
          <w:p w:rsidR="00902C4B" w:rsidRDefault="00902C4B">
            <w:r>
              <w:rPr>
                <w:b/>
              </w:rPr>
              <w:t>teilweise</w:t>
            </w:r>
            <w:r>
              <w:t xml:space="preserve"> aus der Pfandhaft zu entlassen:</w:t>
            </w:r>
          </w:p>
        </w:tc>
      </w:tr>
      <w:tr w:rsidR="00902C4B" w:rsidTr="00902C4B">
        <w:tblPrEx>
          <w:tblCellMar>
            <w:left w:w="70" w:type="dxa"/>
            <w:right w:w="70" w:type="dxa"/>
          </w:tblCellMar>
        </w:tblPrEx>
        <w:trPr>
          <w:trHeight w:hRule="exact" w:val="200"/>
        </w:trPr>
        <w:tc>
          <w:tcPr>
            <w:tcW w:w="9216" w:type="dxa"/>
            <w:gridSpan w:val="9"/>
          </w:tcPr>
          <w:p w:rsidR="00902C4B" w:rsidRDefault="00902C4B"/>
        </w:tc>
      </w:tr>
      <w:tr w:rsidR="00902C4B" w:rsidTr="00902C4B">
        <w:tblPrEx>
          <w:tblCellMar>
            <w:left w:w="70" w:type="dxa"/>
            <w:right w:w="70" w:type="dxa"/>
          </w:tblCellMar>
        </w:tblPrEx>
        <w:trPr>
          <w:trHeight w:hRule="exact" w:val="240"/>
        </w:trPr>
        <w:tc>
          <w:tcPr>
            <w:tcW w:w="993" w:type="dxa"/>
          </w:tcPr>
          <w:p w:rsidR="00902C4B" w:rsidRDefault="00902C4B">
            <w:r>
              <w:rPr>
                <w:color w:val="000000"/>
              </w:rPr>
              <w:fldChar w:fldCharType="begin">
                <w:ffData>
                  <w:name w:val="Text1"/>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c>
          <w:tcPr>
            <w:tcW w:w="2693" w:type="dxa"/>
            <w:gridSpan w:val="3"/>
          </w:tcPr>
          <w:p w:rsidR="00902C4B" w:rsidRDefault="00902C4B">
            <w:r>
              <w:t>m</w:t>
            </w:r>
            <w:r>
              <w:rPr>
                <w:vertAlign w:val="superscript"/>
              </w:rPr>
              <w:t>2</w:t>
            </w:r>
            <w:r>
              <w:t xml:space="preserve"> von Grundbuchblatt Nr.</w:t>
            </w:r>
          </w:p>
        </w:tc>
        <w:tc>
          <w:tcPr>
            <w:tcW w:w="1703" w:type="dxa"/>
            <w:gridSpan w:val="3"/>
          </w:tcPr>
          <w:p w:rsidR="00902C4B" w:rsidRDefault="00902C4B">
            <w:r>
              <w:rPr>
                <w:color w:val="000000"/>
              </w:rPr>
              <w:fldChar w:fldCharType="begin">
                <w:ffData>
                  <w:name w:val="Text1"/>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c>
          <w:tcPr>
            <w:tcW w:w="1324" w:type="dxa"/>
          </w:tcPr>
          <w:p w:rsidR="00902C4B" w:rsidRDefault="00902C4B">
            <w:r>
              <w:t>Gemeinde</w:t>
            </w:r>
          </w:p>
        </w:tc>
        <w:tc>
          <w:tcPr>
            <w:tcW w:w="2503" w:type="dxa"/>
          </w:tcPr>
          <w:p w:rsidR="00902C4B" w:rsidRDefault="00902C4B">
            <w:r>
              <w:rPr>
                <w:color w:val="000000"/>
              </w:rPr>
              <w:fldChar w:fldCharType="begin">
                <w:ffData>
                  <w:name w:val="Text1"/>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r>
      <w:tr w:rsidR="00902C4B" w:rsidTr="00902C4B">
        <w:tblPrEx>
          <w:tblCellMar>
            <w:left w:w="70" w:type="dxa"/>
            <w:right w:w="70" w:type="dxa"/>
          </w:tblCellMar>
        </w:tblPrEx>
        <w:trPr>
          <w:trHeight w:hRule="exact" w:val="240"/>
        </w:trPr>
        <w:tc>
          <w:tcPr>
            <w:tcW w:w="9216" w:type="dxa"/>
            <w:gridSpan w:val="9"/>
          </w:tcPr>
          <w:p w:rsidR="00902C4B" w:rsidRDefault="00902C4B"/>
        </w:tc>
      </w:tr>
      <w:tr w:rsidR="00902C4B" w:rsidTr="00902C4B">
        <w:tblPrEx>
          <w:tblCellMar>
            <w:left w:w="70" w:type="dxa"/>
            <w:right w:w="70" w:type="dxa"/>
          </w:tblCellMar>
        </w:tblPrEx>
        <w:trPr>
          <w:trHeight w:hRule="exact" w:val="240"/>
        </w:trPr>
        <w:tc>
          <w:tcPr>
            <w:tcW w:w="9216" w:type="dxa"/>
            <w:gridSpan w:val="9"/>
          </w:tcPr>
          <w:p w:rsidR="00902C4B" w:rsidRDefault="00902C4B">
            <w:r>
              <w:t>für folgende Grundpfandrechte:</w:t>
            </w:r>
          </w:p>
        </w:tc>
      </w:tr>
      <w:tr w:rsidR="00902C4B" w:rsidTr="00902C4B">
        <w:tblPrEx>
          <w:tblCellMar>
            <w:left w:w="70" w:type="dxa"/>
            <w:right w:w="70" w:type="dxa"/>
          </w:tblCellMar>
        </w:tblPrEx>
        <w:trPr>
          <w:trHeight w:hRule="exact" w:val="200"/>
        </w:trPr>
        <w:tc>
          <w:tcPr>
            <w:tcW w:w="9216" w:type="dxa"/>
            <w:gridSpan w:val="9"/>
          </w:tcPr>
          <w:p w:rsidR="00902C4B" w:rsidRDefault="00902C4B"/>
        </w:tc>
      </w:tr>
      <w:tr w:rsidR="00902C4B" w:rsidTr="00902C4B">
        <w:tblPrEx>
          <w:tblCellMar>
            <w:left w:w="70" w:type="dxa"/>
            <w:right w:w="70" w:type="dxa"/>
          </w:tblCellMar>
        </w:tblPrEx>
        <w:trPr>
          <w:cantSplit/>
        </w:trPr>
        <w:tc>
          <w:tcPr>
            <w:tcW w:w="1560" w:type="dxa"/>
            <w:gridSpan w:val="2"/>
          </w:tcPr>
          <w:p w:rsidR="00902C4B" w:rsidRDefault="00902C4B">
            <w:pPr>
              <w:rPr>
                <w:b/>
              </w:rPr>
            </w:pPr>
            <w:r>
              <w:rPr>
                <w:b/>
              </w:rPr>
              <w:t>Art</w:t>
            </w:r>
          </w:p>
        </w:tc>
        <w:tc>
          <w:tcPr>
            <w:tcW w:w="2695" w:type="dxa"/>
            <w:gridSpan w:val="3"/>
          </w:tcPr>
          <w:p w:rsidR="00902C4B" w:rsidRDefault="00902C4B">
            <w:pPr>
              <w:jc w:val="right"/>
              <w:rPr>
                <w:b/>
              </w:rPr>
            </w:pPr>
            <w:r>
              <w:rPr>
                <w:b/>
              </w:rPr>
              <w:t>Betrag in CHF</w:t>
            </w:r>
          </w:p>
        </w:tc>
        <w:tc>
          <w:tcPr>
            <w:tcW w:w="376" w:type="dxa"/>
          </w:tcPr>
          <w:p w:rsidR="00902C4B" w:rsidRDefault="00902C4B">
            <w:pPr>
              <w:rPr>
                <w:b/>
              </w:rPr>
            </w:pPr>
          </w:p>
        </w:tc>
        <w:tc>
          <w:tcPr>
            <w:tcW w:w="4585" w:type="dxa"/>
            <w:gridSpan w:val="3"/>
          </w:tcPr>
          <w:p w:rsidR="00902C4B" w:rsidRDefault="00902C4B">
            <w:pPr>
              <w:rPr>
                <w:b/>
              </w:rPr>
            </w:pPr>
            <w:r>
              <w:rPr>
                <w:b/>
              </w:rPr>
              <w:t>Titel-Identifikations-Nr. oder</w:t>
            </w:r>
          </w:p>
          <w:p w:rsidR="00902C4B" w:rsidRDefault="00902C4B">
            <w:pPr>
              <w:rPr>
                <w:b/>
              </w:rPr>
            </w:pPr>
            <w:proofErr w:type="spellStart"/>
            <w:r>
              <w:rPr>
                <w:b/>
              </w:rPr>
              <w:t>Litera</w:t>
            </w:r>
            <w:proofErr w:type="spellEnd"/>
            <w:r>
              <w:rPr>
                <w:b/>
              </w:rPr>
              <w:t>, Errichtungsdatum und Beleg</w:t>
            </w:r>
          </w:p>
        </w:tc>
      </w:tr>
      <w:tr w:rsidR="00902C4B" w:rsidTr="00902C4B">
        <w:tblPrEx>
          <w:tblCellMar>
            <w:left w:w="70" w:type="dxa"/>
            <w:right w:w="70" w:type="dxa"/>
          </w:tblCellMar>
        </w:tblPrEx>
        <w:trPr>
          <w:cantSplit/>
        </w:trPr>
        <w:tc>
          <w:tcPr>
            <w:tcW w:w="1560" w:type="dxa"/>
            <w:gridSpan w:val="2"/>
          </w:tcPr>
          <w:p w:rsidR="00902C4B" w:rsidRDefault="00902C4B">
            <w:pPr>
              <w:rPr>
                <w:color w:val="000000"/>
              </w:rPr>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Schuldbrief</w:t>
            </w:r>
            <w:r>
              <w:rPr>
                <w:color w:val="000000"/>
              </w:rPr>
              <w:fldChar w:fldCharType="end"/>
            </w:r>
          </w:p>
        </w:tc>
        <w:tc>
          <w:tcPr>
            <w:tcW w:w="2695" w:type="dxa"/>
            <w:gridSpan w:val="3"/>
          </w:tcPr>
          <w:p w:rsidR="00902C4B" w:rsidRDefault="00902C4B">
            <w:pPr>
              <w:jc w:val="right"/>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10'000.00</w:t>
            </w:r>
            <w:r>
              <w:rPr>
                <w:color w:val="000000"/>
              </w:rPr>
              <w:fldChar w:fldCharType="end"/>
            </w:r>
          </w:p>
        </w:tc>
        <w:tc>
          <w:tcPr>
            <w:tcW w:w="376" w:type="dxa"/>
          </w:tcPr>
          <w:p w:rsidR="00902C4B" w:rsidRDefault="00902C4B">
            <w:pPr>
              <w:rPr>
                <w:color w:val="000000"/>
              </w:rPr>
            </w:pPr>
          </w:p>
        </w:tc>
        <w:tc>
          <w:tcPr>
            <w:tcW w:w="4585" w:type="dxa"/>
            <w:gridSpan w:val="3"/>
          </w:tcPr>
          <w:p w:rsidR="00902C4B" w:rsidRDefault="00902C4B">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1. Rang, 5%, vom 05.12.1871, 13/195</w:t>
            </w:r>
            <w:r>
              <w:rPr>
                <w:color w:val="000000"/>
              </w:rPr>
              <w:fldChar w:fldCharType="end"/>
            </w:r>
            <w:r>
              <w:fldChar w:fldCharType="begin"/>
            </w:r>
            <w:r>
              <w:fldChar w:fldCharType="end"/>
            </w:r>
          </w:p>
        </w:tc>
      </w:tr>
      <w:tr w:rsidR="00902C4B" w:rsidTr="00902C4B">
        <w:tblPrEx>
          <w:tblCellMar>
            <w:left w:w="70" w:type="dxa"/>
            <w:right w:w="70" w:type="dxa"/>
          </w:tblCellMar>
        </w:tblPrEx>
        <w:trPr>
          <w:cantSplit/>
        </w:trPr>
        <w:tc>
          <w:tcPr>
            <w:tcW w:w="1560" w:type="dxa"/>
            <w:gridSpan w:val="2"/>
          </w:tcPr>
          <w:p w:rsidR="00902C4B" w:rsidRDefault="00902C4B">
            <w:pPr>
              <w:rPr>
                <w:color w:val="000000"/>
              </w:rPr>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Schuldbrief</w:t>
            </w:r>
            <w:r>
              <w:rPr>
                <w:color w:val="000000"/>
              </w:rPr>
              <w:fldChar w:fldCharType="end"/>
            </w:r>
          </w:p>
        </w:tc>
        <w:tc>
          <w:tcPr>
            <w:tcW w:w="2695" w:type="dxa"/>
            <w:gridSpan w:val="3"/>
          </w:tcPr>
          <w:p w:rsidR="00902C4B" w:rsidRDefault="00902C4B">
            <w:pPr>
              <w:jc w:val="right"/>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10'000.00</w:t>
            </w:r>
            <w:r>
              <w:rPr>
                <w:color w:val="000000"/>
              </w:rPr>
              <w:fldChar w:fldCharType="end"/>
            </w:r>
          </w:p>
        </w:tc>
        <w:tc>
          <w:tcPr>
            <w:tcW w:w="376" w:type="dxa"/>
          </w:tcPr>
          <w:p w:rsidR="00902C4B" w:rsidRDefault="00902C4B">
            <w:pPr>
              <w:rPr>
                <w:color w:val="000000"/>
              </w:rPr>
            </w:pPr>
          </w:p>
        </w:tc>
        <w:tc>
          <w:tcPr>
            <w:tcW w:w="4585" w:type="dxa"/>
            <w:gridSpan w:val="3"/>
          </w:tcPr>
          <w:p w:rsidR="00902C4B" w:rsidRDefault="00902C4B">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2. Rang, 6,5%, vom 05.04.1938, 1938/2364/0</w:t>
            </w:r>
            <w:r>
              <w:rPr>
                <w:color w:val="000000"/>
              </w:rPr>
              <w:fldChar w:fldCharType="end"/>
            </w:r>
            <w:r>
              <w:fldChar w:fldCharType="begin"/>
            </w:r>
            <w:r>
              <w:fldChar w:fldCharType="end"/>
            </w:r>
          </w:p>
        </w:tc>
      </w:tr>
      <w:tr w:rsidR="00902C4B" w:rsidTr="00902C4B">
        <w:tblPrEx>
          <w:tblCellMar>
            <w:left w:w="70" w:type="dxa"/>
            <w:right w:w="70" w:type="dxa"/>
          </w:tblCellMar>
        </w:tblPrEx>
        <w:trPr>
          <w:cantSplit/>
        </w:trPr>
        <w:tc>
          <w:tcPr>
            <w:tcW w:w="1560" w:type="dxa"/>
            <w:gridSpan w:val="2"/>
          </w:tcPr>
          <w:p w:rsidR="00902C4B" w:rsidRDefault="00902C4B">
            <w:pPr>
              <w:rPr>
                <w:color w:val="000000"/>
              </w:rPr>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Schuldbrief</w:t>
            </w:r>
            <w:r>
              <w:rPr>
                <w:color w:val="000000"/>
              </w:rPr>
              <w:fldChar w:fldCharType="end"/>
            </w:r>
          </w:p>
        </w:tc>
        <w:tc>
          <w:tcPr>
            <w:tcW w:w="2695" w:type="dxa"/>
            <w:gridSpan w:val="3"/>
          </w:tcPr>
          <w:p w:rsidR="00902C4B" w:rsidRDefault="00902C4B">
            <w:pPr>
              <w:jc w:val="right"/>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20'000.00</w:t>
            </w:r>
            <w:r>
              <w:rPr>
                <w:color w:val="000000"/>
              </w:rPr>
              <w:fldChar w:fldCharType="end"/>
            </w:r>
          </w:p>
        </w:tc>
        <w:tc>
          <w:tcPr>
            <w:tcW w:w="376" w:type="dxa"/>
          </w:tcPr>
          <w:p w:rsidR="00902C4B" w:rsidRDefault="00902C4B">
            <w:pPr>
              <w:rPr>
                <w:color w:val="000000"/>
              </w:rPr>
            </w:pPr>
          </w:p>
        </w:tc>
        <w:tc>
          <w:tcPr>
            <w:tcW w:w="4585" w:type="dxa"/>
            <w:gridSpan w:val="3"/>
          </w:tcPr>
          <w:p w:rsidR="00902C4B" w:rsidRDefault="00902C4B">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3. Rang, 6%, vom 27.7.1949, 1949/2710/0</w:t>
            </w:r>
            <w:r>
              <w:rPr>
                <w:color w:val="000000"/>
              </w:rPr>
              <w:fldChar w:fldCharType="end"/>
            </w:r>
            <w:r>
              <w:fldChar w:fldCharType="begin"/>
            </w:r>
            <w:r>
              <w:fldChar w:fldCharType="end"/>
            </w:r>
          </w:p>
        </w:tc>
      </w:tr>
      <w:tr w:rsidR="00902C4B" w:rsidTr="00902C4B">
        <w:tblPrEx>
          <w:tblCellMar>
            <w:left w:w="70" w:type="dxa"/>
            <w:right w:w="70" w:type="dxa"/>
          </w:tblCellMar>
        </w:tblPrEx>
        <w:trPr>
          <w:cantSplit/>
        </w:trPr>
        <w:tc>
          <w:tcPr>
            <w:tcW w:w="1560" w:type="dxa"/>
            <w:gridSpan w:val="2"/>
          </w:tcPr>
          <w:p w:rsidR="00902C4B" w:rsidRDefault="00902C4B">
            <w:pPr>
              <w:rPr>
                <w:color w:val="000000"/>
              </w:rPr>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Schuldbrief</w:t>
            </w:r>
            <w:r>
              <w:rPr>
                <w:color w:val="000000"/>
              </w:rPr>
              <w:fldChar w:fldCharType="end"/>
            </w:r>
          </w:p>
        </w:tc>
        <w:tc>
          <w:tcPr>
            <w:tcW w:w="2695" w:type="dxa"/>
            <w:gridSpan w:val="3"/>
          </w:tcPr>
          <w:p w:rsidR="00902C4B" w:rsidRDefault="00902C4B">
            <w:pPr>
              <w:jc w:val="right"/>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70'000.00</w:t>
            </w:r>
            <w:r>
              <w:rPr>
                <w:color w:val="000000"/>
              </w:rPr>
              <w:fldChar w:fldCharType="end"/>
            </w:r>
          </w:p>
        </w:tc>
        <w:tc>
          <w:tcPr>
            <w:tcW w:w="376" w:type="dxa"/>
          </w:tcPr>
          <w:p w:rsidR="00902C4B" w:rsidRDefault="00902C4B">
            <w:pPr>
              <w:rPr>
                <w:color w:val="000000"/>
              </w:rPr>
            </w:pPr>
          </w:p>
        </w:tc>
        <w:tc>
          <w:tcPr>
            <w:tcW w:w="4585" w:type="dxa"/>
            <w:gridSpan w:val="3"/>
          </w:tcPr>
          <w:p w:rsidR="00902C4B" w:rsidRDefault="00902C4B">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4. Rang, 6%, vom 29.11.1979, 1979/3074/0</w:t>
            </w:r>
            <w:r>
              <w:rPr>
                <w:color w:val="000000"/>
              </w:rPr>
              <w:fldChar w:fldCharType="end"/>
            </w:r>
            <w:r>
              <w:fldChar w:fldCharType="begin"/>
            </w:r>
            <w:r>
              <w:fldChar w:fldCharType="end"/>
            </w:r>
          </w:p>
        </w:tc>
      </w:tr>
      <w:tr w:rsidR="00902C4B" w:rsidTr="00902C4B">
        <w:tblPrEx>
          <w:tblCellMar>
            <w:left w:w="70" w:type="dxa"/>
            <w:right w:w="70" w:type="dxa"/>
          </w:tblCellMar>
        </w:tblPrEx>
        <w:trPr>
          <w:cantSplit/>
        </w:trPr>
        <w:tc>
          <w:tcPr>
            <w:tcW w:w="1560" w:type="dxa"/>
            <w:gridSpan w:val="2"/>
          </w:tcPr>
          <w:p w:rsidR="00902C4B" w:rsidRDefault="00902C4B">
            <w:pPr>
              <w:rPr>
                <w:color w:val="000000"/>
              </w:rPr>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c>
          <w:tcPr>
            <w:tcW w:w="2695" w:type="dxa"/>
            <w:gridSpan w:val="3"/>
          </w:tcPr>
          <w:p w:rsidR="00902C4B" w:rsidRDefault="00902C4B">
            <w:pPr>
              <w:jc w:val="right"/>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c>
          <w:tcPr>
            <w:tcW w:w="376" w:type="dxa"/>
          </w:tcPr>
          <w:p w:rsidR="00902C4B" w:rsidRDefault="00902C4B">
            <w:pPr>
              <w:rPr>
                <w:color w:val="000000"/>
              </w:rPr>
            </w:pPr>
          </w:p>
        </w:tc>
        <w:tc>
          <w:tcPr>
            <w:tcW w:w="4585" w:type="dxa"/>
            <w:gridSpan w:val="3"/>
          </w:tcPr>
          <w:p w:rsidR="00902C4B" w:rsidRDefault="00902C4B">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r>
              <w:fldChar w:fldCharType="begin"/>
            </w:r>
            <w:r>
              <w:fldChar w:fldCharType="end"/>
            </w:r>
          </w:p>
        </w:tc>
      </w:tr>
      <w:tr w:rsidR="00902C4B" w:rsidTr="00902C4B">
        <w:tblPrEx>
          <w:tblCellMar>
            <w:left w:w="70" w:type="dxa"/>
            <w:right w:w="70" w:type="dxa"/>
          </w:tblCellMar>
        </w:tblPrEx>
        <w:trPr>
          <w:trHeight w:hRule="exact" w:val="240"/>
        </w:trPr>
        <w:tc>
          <w:tcPr>
            <w:tcW w:w="9216" w:type="dxa"/>
            <w:gridSpan w:val="9"/>
          </w:tcPr>
          <w:p w:rsidR="00902C4B" w:rsidRDefault="00902C4B"/>
        </w:tc>
      </w:tr>
      <w:tr w:rsidR="00902C4B" w:rsidTr="00902C4B">
        <w:tblPrEx>
          <w:tblCellMar>
            <w:left w:w="70" w:type="dxa"/>
            <w:right w:w="70" w:type="dxa"/>
          </w:tblCellMar>
        </w:tblPrEx>
        <w:trPr>
          <w:trHeight w:hRule="exact" w:val="480"/>
        </w:trPr>
        <w:tc>
          <w:tcPr>
            <w:tcW w:w="9216" w:type="dxa"/>
            <w:gridSpan w:val="9"/>
          </w:tcPr>
          <w:p w:rsidR="00902C4B" w:rsidRDefault="00902C4B">
            <w:r>
              <w:t>Auf den übrigen Grundstücken bzw. Restgrundstücken bleiben die Pfandrechte unverändert bestehen.</w:t>
            </w:r>
          </w:p>
        </w:tc>
      </w:tr>
      <w:tr w:rsidR="00902C4B" w:rsidTr="00902C4B">
        <w:tblPrEx>
          <w:tblCellMar>
            <w:left w:w="70" w:type="dxa"/>
            <w:right w:w="70" w:type="dxa"/>
          </w:tblCellMar>
        </w:tblPrEx>
        <w:trPr>
          <w:trHeight w:hRule="exact" w:val="240"/>
        </w:trPr>
        <w:tc>
          <w:tcPr>
            <w:tcW w:w="4255" w:type="dxa"/>
            <w:gridSpan w:val="5"/>
          </w:tcPr>
          <w:p w:rsidR="00902C4B" w:rsidRDefault="00902C4B">
            <w:pPr>
              <w:tabs>
                <w:tab w:val="left" w:pos="2836"/>
              </w:tabs>
            </w:pPr>
            <w:r>
              <w:t xml:space="preserve">Ort/Datum: </w:t>
            </w: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c>
          <w:tcPr>
            <w:tcW w:w="4961" w:type="dxa"/>
            <w:gridSpan w:val="4"/>
          </w:tcPr>
          <w:p w:rsidR="00902C4B" w:rsidRDefault="00902C4B">
            <w:pPr>
              <w:tabs>
                <w:tab w:val="left" w:pos="2836"/>
              </w:tabs>
            </w:pPr>
            <w:r>
              <w:rPr>
                <w:b/>
              </w:rPr>
              <w:t xml:space="preserve">Der/Die Grundpfand-/Faustpfandgläubiger/in: </w:t>
            </w:r>
            <w:r>
              <w:rPr>
                <w:position w:val="6"/>
                <w:sz w:val="16"/>
              </w:rPr>
              <w:t>1)</w:t>
            </w:r>
          </w:p>
        </w:tc>
      </w:tr>
      <w:tr w:rsidR="00902C4B" w:rsidTr="00902C4B">
        <w:tblPrEx>
          <w:tblCellMar>
            <w:left w:w="70" w:type="dxa"/>
            <w:right w:w="70" w:type="dxa"/>
          </w:tblCellMar>
        </w:tblPrEx>
        <w:trPr>
          <w:trHeight w:hRule="exact" w:val="240"/>
        </w:trPr>
        <w:tc>
          <w:tcPr>
            <w:tcW w:w="4255" w:type="dxa"/>
            <w:gridSpan w:val="5"/>
          </w:tcPr>
          <w:p w:rsidR="00902C4B" w:rsidRDefault="00902C4B">
            <w:pPr>
              <w:tabs>
                <w:tab w:val="left" w:pos="2836"/>
              </w:tabs>
            </w:pPr>
            <w:r>
              <w:t>Bemerkungen/Beilagen:</w:t>
            </w:r>
          </w:p>
        </w:tc>
        <w:tc>
          <w:tcPr>
            <w:tcW w:w="4961" w:type="dxa"/>
            <w:gridSpan w:val="4"/>
          </w:tcPr>
          <w:p w:rsidR="00902C4B" w:rsidRDefault="00902C4B">
            <w:pPr>
              <w:tabs>
                <w:tab w:val="left" w:pos="2836"/>
              </w:tabs>
            </w:pPr>
            <w:r>
              <w:rPr>
                <w:sz w:val="16"/>
              </w:rPr>
              <w:t>(Name, Adresse und Unterschrift)</w:t>
            </w:r>
          </w:p>
        </w:tc>
      </w:tr>
      <w:tr w:rsidR="00902C4B" w:rsidTr="00902C4B">
        <w:tblPrEx>
          <w:tblCellMar>
            <w:left w:w="70" w:type="dxa"/>
            <w:right w:w="70" w:type="dxa"/>
          </w:tblCellMar>
        </w:tblPrEx>
        <w:trPr>
          <w:trHeight w:hRule="exact" w:val="1480"/>
        </w:trPr>
        <w:tc>
          <w:tcPr>
            <w:tcW w:w="4255" w:type="dxa"/>
            <w:gridSpan w:val="5"/>
          </w:tcPr>
          <w:p w:rsidR="00902C4B" w:rsidRDefault="00902C4B">
            <w:pPr>
              <w:tabs>
                <w:tab w:val="left" w:pos="2836"/>
              </w:tabs>
              <w:rPr>
                <w:position w:val="6"/>
              </w:rPr>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c>
          <w:tcPr>
            <w:tcW w:w="4961" w:type="dxa"/>
            <w:gridSpan w:val="4"/>
          </w:tcPr>
          <w:p w:rsidR="00902C4B" w:rsidRDefault="00902C4B">
            <w:pPr>
              <w:tabs>
                <w:tab w:val="left" w:pos="2836"/>
              </w:tabs>
              <w:rPr>
                <w:position w:val="6"/>
              </w:rPr>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Raiffeisenbank Bernerland:</w:t>
            </w:r>
            <w:r>
              <w:rPr>
                <w:color w:val="000000"/>
              </w:rPr>
              <w:fldChar w:fldCharType="end"/>
            </w:r>
          </w:p>
        </w:tc>
      </w:tr>
      <w:tr w:rsidR="00902C4B" w:rsidTr="00902C4B">
        <w:tblPrEx>
          <w:tblCellMar>
            <w:left w:w="70" w:type="dxa"/>
            <w:right w:w="70" w:type="dxa"/>
          </w:tblCellMar>
        </w:tblPrEx>
        <w:trPr>
          <w:trHeight w:hRule="exact" w:val="240"/>
        </w:trPr>
        <w:tc>
          <w:tcPr>
            <w:tcW w:w="9216" w:type="dxa"/>
            <w:gridSpan w:val="9"/>
            <w:tcBorders>
              <w:top w:val="single" w:sz="6" w:space="0" w:color="auto"/>
            </w:tcBorders>
          </w:tcPr>
          <w:p w:rsidR="00902C4B" w:rsidRDefault="00902C4B"/>
        </w:tc>
      </w:tr>
      <w:tr w:rsidR="00902C4B" w:rsidTr="00902C4B">
        <w:tblPrEx>
          <w:tblCellMar>
            <w:left w:w="70" w:type="dxa"/>
            <w:right w:w="70" w:type="dxa"/>
          </w:tblCellMar>
        </w:tblPrEx>
        <w:trPr>
          <w:trHeight w:hRule="exact" w:val="240"/>
        </w:trPr>
        <w:tc>
          <w:tcPr>
            <w:tcW w:w="9216" w:type="dxa"/>
            <w:gridSpan w:val="9"/>
          </w:tcPr>
          <w:p w:rsidR="00902C4B" w:rsidRDefault="00902C4B">
            <w:pPr>
              <w:rPr>
                <w:b/>
              </w:rPr>
            </w:pPr>
            <w:r>
              <w:rPr>
                <w:b/>
              </w:rPr>
              <w:t xml:space="preserve">Eintragungsbewilligung </w:t>
            </w:r>
            <w:r>
              <w:rPr>
                <w:vertAlign w:val="superscript"/>
              </w:rPr>
              <w:t>2)</w:t>
            </w:r>
          </w:p>
        </w:tc>
      </w:tr>
      <w:tr w:rsidR="00902C4B" w:rsidTr="00902C4B">
        <w:tblPrEx>
          <w:tblCellMar>
            <w:left w:w="70" w:type="dxa"/>
            <w:right w:w="70" w:type="dxa"/>
          </w:tblCellMar>
        </w:tblPrEx>
        <w:trPr>
          <w:trHeight w:hRule="exact" w:val="200"/>
        </w:trPr>
        <w:tc>
          <w:tcPr>
            <w:tcW w:w="9216" w:type="dxa"/>
            <w:gridSpan w:val="9"/>
          </w:tcPr>
          <w:p w:rsidR="00902C4B" w:rsidRDefault="00902C4B"/>
        </w:tc>
      </w:tr>
      <w:tr w:rsidR="00902C4B" w:rsidTr="00902C4B">
        <w:tblPrEx>
          <w:tblCellMar>
            <w:left w:w="70" w:type="dxa"/>
            <w:right w:w="70" w:type="dxa"/>
          </w:tblCellMar>
        </w:tblPrEx>
        <w:trPr>
          <w:trHeight w:hRule="exact" w:val="480"/>
        </w:trPr>
        <w:tc>
          <w:tcPr>
            <w:tcW w:w="9216" w:type="dxa"/>
            <w:gridSpan w:val="9"/>
          </w:tcPr>
          <w:p w:rsidR="00902C4B" w:rsidRDefault="00902C4B">
            <w:r>
              <w:t>Zur beantragten Änderung wird die Bewilligung erteilt; auf die Eintragung einer leeren Pfan</w:t>
            </w:r>
            <w:r>
              <w:t>d</w:t>
            </w:r>
            <w:r>
              <w:t>stelle wird verzichtet.</w:t>
            </w:r>
          </w:p>
        </w:tc>
      </w:tr>
      <w:tr w:rsidR="00902C4B" w:rsidTr="00902C4B">
        <w:tblPrEx>
          <w:tblCellMar>
            <w:left w:w="70" w:type="dxa"/>
            <w:right w:w="70" w:type="dxa"/>
          </w:tblCellMar>
        </w:tblPrEx>
        <w:trPr>
          <w:trHeight w:hRule="exact" w:val="200"/>
        </w:trPr>
        <w:tc>
          <w:tcPr>
            <w:tcW w:w="9216" w:type="dxa"/>
            <w:gridSpan w:val="9"/>
          </w:tcPr>
          <w:p w:rsidR="00902C4B" w:rsidRDefault="00902C4B"/>
        </w:tc>
      </w:tr>
      <w:tr w:rsidR="00902C4B" w:rsidTr="00902C4B">
        <w:tblPrEx>
          <w:tblCellMar>
            <w:left w:w="70" w:type="dxa"/>
            <w:right w:w="70" w:type="dxa"/>
          </w:tblCellMar>
        </w:tblPrEx>
        <w:trPr>
          <w:trHeight w:hRule="exact" w:val="240"/>
        </w:trPr>
        <w:tc>
          <w:tcPr>
            <w:tcW w:w="5389" w:type="dxa"/>
            <w:gridSpan w:val="7"/>
          </w:tcPr>
          <w:p w:rsidR="00902C4B" w:rsidRDefault="00902C4B">
            <w:r>
              <w:t xml:space="preserve">Ort/Datum: </w:t>
            </w: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c>
          <w:tcPr>
            <w:tcW w:w="3827" w:type="dxa"/>
            <w:gridSpan w:val="2"/>
          </w:tcPr>
          <w:p w:rsidR="00902C4B" w:rsidRDefault="00902C4B">
            <w:r>
              <w:rPr>
                <w:b/>
              </w:rPr>
              <w:t>Der/Die Eigentümer/in:</w:t>
            </w:r>
          </w:p>
        </w:tc>
      </w:tr>
      <w:tr w:rsidR="00902C4B" w:rsidTr="00902C4B">
        <w:tblPrEx>
          <w:tblCellMar>
            <w:left w:w="70" w:type="dxa"/>
            <w:right w:w="70" w:type="dxa"/>
          </w:tblCellMar>
        </w:tblPrEx>
        <w:trPr>
          <w:trHeight w:hRule="exact" w:val="1800"/>
        </w:trPr>
        <w:tc>
          <w:tcPr>
            <w:tcW w:w="5389" w:type="dxa"/>
            <w:gridSpan w:val="7"/>
          </w:tcPr>
          <w:p w:rsidR="00902C4B" w:rsidRDefault="00902C4B"/>
          <w:p w:rsidR="00902C4B" w:rsidRDefault="00902C4B"/>
          <w:p w:rsidR="00902C4B" w:rsidRDefault="00902C4B"/>
          <w:p w:rsidR="00902C4B" w:rsidRDefault="00902C4B">
            <w:r>
              <w:t>Taxpunkte          _____________</w:t>
            </w:r>
          </w:p>
          <w:p w:rsidR="00902C4B" w:rsidRDefault="00902C4B">
            <w:pPr>
              <w:rPr>
                <w:sz w:val="16"/>
              </w:rPr>
            </w:pPr>
          </w:p>
          <w:p w:rsidR="00902C4B" w:rsidRDefault="00902C4B">
            <w:pPr>
              <w:rPr>
                <w:b/>
              </w:rPr>
            </w:pPr>
            <w:r>
              <w:rPr>
                <w:b/>
              </w:rPr>
              <w:t>Gebühren CHF  _____________</w:t>
            </w:r>
          </w:p>
          <w:p w:rsidR="00902C4B" w:rsidRDefault="00902C4B">
            <w:pPr>
              <w:rPr>
                <w:sz w:val="18"/>
              </w:rPr>
            </w:pPr>
          </w:p>
          <w:p w:rsidR="00902C4B" w:rsidRDefault="00902C4B">
            <w:r>
              <w:rPr>
                <w:sz w:val="18"/>
              </w:rPr>
              <w:t>verrechnet auf Beleg</w:t>
            </w:r>
          </w:p>
        </w:tc>
        <w:tc>
          <w:tcPr>
            <w:tcW w:w="3827" w:type="dxa"/>
            <w:gridSpan w:val="2"/>
          </w:tcPr>
          <w:p w:rsidR="00902C4B" w:rsidRDefault="00902C4B">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r>
    </w:tbl>
    <w:p w:rsidR="00902C4B" w:rsidRDefault="00902C4B">
      <w:pPr>
        <w:rPr>
          <w:sz w:val="10"/>
        </w:rPr>
      </w:pPr>
    </w:p>
    <w:p w:rsidR="00902C4B" w:rsidRDefault="00902C4B" w:rsidP="00902C4B">
      <w:pPr>
        <w:spacing w:after="200"/>
        <w:rPr>
          <w:szCs w:val="22"/>
        </w:rPr>
      </w:pPr>
      <w:r>
        <w:rPr>
          <w:szCs w:val="22"/>
        </w:rPr>
        <w:br w:type="page"/>
      </w:r>
    </w:p>
    <w:tbl>
      <w:tblPr>
        <w:tblW w:w="0" w:type="auto"/>
        <w:tblInd w:w="54" w:type="dxa"/>
        <w:tblLayout w:type="fixed"/>
        <w:tblCellMar>
          <w:left w:w="56" w:type="dxa"/>
          <w:right w:w="56" w:type="dxa"/>
        </w:tblCellMar>
        <w:tblLook w:val="0000" w:firstRow="0" w:lastRow="0" w:firstColumn="0" w:lastColumn="0" w:noHBand="0" w:noVBand="0"/>
      </w:tblPr>
      <w:tblGrid>
        <w:gridCol w:w="993"/>
        <w:gridCol w:w="567"/>
        <w:gridCol w:w="692"/>
        <w:gridCol w:w="1434"/>
        <w:gridCol w:w="569"/>
        <w:gridCol w:w="376"/>
        <w:gridCol w:w="758"/>
        <w:gridCol w:w="1324"/>
        <w:gridCol w:w="2503"/>
      </w:tblGrid>
      <w:tr w:rsidR="00C67891" w:rsidTr="00C67891">
        <w:trPr>
          <w:cantSplit/>
          <w:trHeight w:hRule="exact" w:val="907"/>
        </w:trPr>
        <w:tc>
          <w:tcPr>
            <w:tcW w:w="4255" w:type="dxa"/>
            <w:gridSpan w:val="5"/>
          </w:tcPr>
          <w:p w:rsidR="00C67891" w:rsidRDefault="00C67891">
            <w:pPr>
              <w:rPr>
                <w:b/>
                <w:sz w:val="28"/>
              </w:rPr>
            </w:pPr>
            <w:r>
              <w:rPr>
                <w:b/>
                <w:sz w:val="28"/>
              </w:rPr>
              <w:lastRenderedPageBreak/>
              <w:t>Pfandentlassungsbewilligung</w:t>
            </w:r>
          </w:p>
          <w:p w:rsidR="00C67891" w:rsidRDefault="00C67891">
            <w:pPr>
              <w:rPr>
                <w:b/>
              </w:rPr>
            </w:pPr>
          </w:p>
          <w:p w:rsidR="00C67891" w:rsidRDefault="00C67891">
            <w:pPr>
              <w:rPr>
                <w:b/>
                <w:sz w:val="18"/>
              </w:rPr>
            </w:pPr>
            <w:r>
              <w:rPr>
                <w:b/>
              </w:rPr>
              <w:t>an das Grundbuchamt</w:t>
            </w:r>
          </w:p>
        </w:tc>
        <w:tc>
          <w:tcPr>
            <w:tcW w:w="1134" w:type="dxa"/>
            <w:gridSpan w:val="2"/>
          </w:tcPr>
          <w:p w:rsidR="00C67891" w:rsidRDefault="00C67891"/>
        </w:tc>
        <w:tc>
          <w:tcPr>
            <w:tcW w:w="3827" w:type="dxa"/>
            <w:gridSpan w:val="2"/>
          </w:tcPr>
          <w:p w:rsidR="00C67891" w:rsidRDefault="00C67891">
            <w:r>
              <w:t xml:space="preserve">Beleg Nr. </w:t>
            </w:r>
          </w:p>
          <w:p w:rsidR="00C67891" w:rsidRDefault="00C67891">
            <w:pPr>
              <w:rPr>
                <w:sz w:val="16"/>
              </w:rPr>
            </w:pPr>
          </w:p>
          <w:p w:rsidR="00C67891" w:rsidRDefault="00C67891">
            <w:r>
              <w:t>Eingang</w:t>
            </w:r>
          </w:p>
        </w:tc>
      </w:tr>
      <w:tr w:rsidR="00C67891" w:rsidTr="00C67891">
        <w:tblPrEx>
          <w:tblCellMar>
            <w:left w:w="70" w:type="dxa"/>
            <w:right w:w="70" w:type="dxa"/>
          </w:tblCellMar>
        </w:tblPrEx>
        <w:trPr>
          <w:trHeight w:hRule="exact" w:val="240"/>
        </w:trPr>
        <w:tc>
          <w:tcPr>
            <w:tcW w:w="9216" w:type="dxa"/>
            <w:gridSpan w:val="9"/>
          </w:tcPr>
          <w:p w:rsidR="00C67891" w:rsidRDefault="00C67891">
            <w:pPr>
              <w:pStyle w:val="Betreff"/>
              <w:spacing w:before="0" w:after="0"/>
              <w:rPr>
                <w:rFonts w:ascii="Arial" w:hAnsi="Arial"/>
                <w:b w:val="0"/>
                <w:sz w:val="20"/>
              </w:rPr>
            </w:pPr>
          </w:p>
        </w:tc>
      </w:tr>
      <w:tr w:rsidR="00C67891" w:rsidTr="00C67891">
        <w:tblPrEx>
          <w:tblCellMar>
            <w:left w:w="70" w:type="dxa"/>
            <w:right w:w="70" w:type="dxa"/>
          </w:tblCellMar>
        </w:tblPrEx>
        <w:trPr>
          <w:trHeight w:hRule="exact" w:val="240"/>
        </w:trPr>
        <w:tc>
          <w:tcPr>
            <w:tcW w:w="9216" w:type="dxa"/>
            <w:gridSpan w:val="9"/>
          </w:tcPr>
          <w:p w:rsidR="00C67891" w:rsidRDefault="00C67891">
            <w:pPr>
              <w:pStyle w:val="Betreff"/>
              <w:spacing w:before="0" w:after="0"/>
              <w:rPr>
                <w:rFonts w:ascii="Arial" w:hAnsi="Arial"/>
                <w:b w:val="0"/>
                <w:sz w:val="20"/>
              </w:rPr>
            </w:pPr>
          </w:p>
        </w:tc>
      </w:tr>
      <w:tr w:rsidR="00C67891" w:rsidTr="00C67891">
        <w:tblPrEx>
          <w:tblCellMar>
            <w:left w:w="70" w:type="dxa"/>
            <w:right w:w="70" w:type="dxa"/>
          </w:tblCellMar>
        </w:tblPrEx>
        <w:trPr>
          <w:trHeight w:hRule="exact" w:val="400"/>
        </w:trPr>
        <w:tc>
          <w:tcPr>
            <w:tcW w:w="9216" w:type="dxa"/>
            <w:gridSpan w:val="9"/>
          </w:tcPr>
          <w:p w:rsidR="00C67891" w:rsidRDefault="00C67891">
            <w:pPr>
              <w:pStyle w:val="Betreff"/>
              <w:spacing w:before="0" w:after="0"/>
              <w:rPr>
                <w:rFonts w:ascii="Arial" w:hAnsi="Arial"/>
                <w:b w:val="0"/>
                <w:sz w:val="20"/>
              </w:rPr>
            </w:pPr>
            <w:r>
              <w:rPr>
                <w:rFonts w:ascii="Arial" w:hAnsi="Arial"/>
                <w:b w:val="0"/>
                <w:sz w:val="20"/>
              </w:rPr>
              <w:t>Der/Die Unterzeichnende erteilt seine/ihre Einwilligung, folgende Grundstücke</w:t>
            </w:r>
          </w:p>
        </w:tc>
      </w:tr>
      <w:tr w:rsidR="00C67891" w:rsidTr="00C67891">
        <w:tblPrEx>
          <w:tblCellMar>
            <w:left w:w="70" w:type="dxa"/>
            <w:right w:w="70" w:type="dxa"/>
          </w:tblCellMar>
        </w:tblPrEx>
        <w:trPr>
          <w:cantSplit/>
          <w:trHeight w:hRule="exact" w:val="720"/>
        </w:trPr>
        <w:tc>
          <w:tcPr>
            <w:tcW w:w="2252" w:type="dxa"/>
            <w:gridSpan w:val="3"/>
          </w:tcPr>
          <w:p w:rsidR="00C67891" w:rsidRDefault="00C67891">
            <w:pPr>
              <w:pStyle w:val="Betreff"/>
              <w:tabs>
                <w:tab w:val="left" w:pos="2269"/>
              </w:tabs>
              <w:spacing w:before="0" w:after="0"/>
              <w:rPr>
                <w:rFonts w:ascii="Arial" w:hAnsi="Arial"/>
                <w:b w:val="0"/>
                <w:sz w:val="20"/>
              </w:rPr>
            </w:pPr>
            <w:r>
              <w:rPr>
                <w:rFonts w:ascii="Arial" w:hAnsi="Arial"/>
                <w:b w:val="0"/>
                <w:sz w:val="20"/>
              </w:rPr>
              <w:t xml:space="preserve">im Eigentum von </w:t>
            </w:r>
          </w:p>
        </w:tc>
        <w:tc>
          <w:tcPr>
            <w:tcW w:w="6964" w:type="dxa"/>
            <w:gridSpan w:val="6"/>
          </w:tcPr>
          <w:p w:rsidR="00C67891" w:rsidRDefault="00C67891">
            <w:r>
              <w:rPr>
                <w:b/>
                <w:color w:val="000000"/>
              </w:rPr>
              <w:fldChar w:fldCharType="begin">
                <w:ffData>
                  <w:name w:val="Text1"/>
                  <w:enabled/>
                  <w:calcOnExit w:val="0"/>
                  <w:textInput/>
                </w:ffData>
              </w:fldChar>
            </w:r>
            <w:r>
              <w:rPr>
                <w:b/>
                <w:color w:val="000000"/>
              </w:rPr>
              <w:instrText xml:space="preserve"> FORMTEXT </w:instrText>
            </w:r>
            <w:r>
              <w:rPr>
                <w:b/>
                <w:color w:val="000000"/>
              </w:rPr>
            </w:r>
            <w:r>
              <w:rPr>
                <w:b/>
                <w:color w:val="000000"/>
              </w:rPr>
              <w:fldChar w:fldCharType="separate"/>
            </w:r>
            <w:r>
              <w:rPr>
                <w:b/>
                <w:noProof/>
                <w:color w:val="000000"/>
              </w:rPr>
              <w:t>Muster Max</w:t>
            </w:r>
            <w:r>
              <w:rPr>
                <w:b/>
                <w:color w:val="000000"/>
              </w:rPr>
              <w:fldChar w:fldCharType="end"/>
            </w:r>
          </w:p>
        </w:tc>
      </w:tr>
      <w:tr w:rsidR="00C67891" w:rsidTr="00C67891">
        <w:tblPrEx>
          <w:tblCellMar>
            <w:left w:w="70" w:type="dxa"/>
            <w:right w:w="70" w:type="dxa"/>
          </w:tblCellMar>
        </w:tblPrEx>
        <w:trPr>
          <w:trHeight w:hRule="exact" w:val="240"/>
        </w:trPr>
        <w:tc>
          <w:tcPr>
            <w:tcW w:w="9216" w:type="dxa"/>
            <w:gridSpan w:val="9"/>
          </w:tcPr>
          <w:p w:rsidR="00C67891" w:rsidRDefault="00C67891">
            <w:r>
              <w:rPr>
                <w:b/>
              </w:rPr>
              <w:t>ganz</w:t>
            </w:r>
            <w:r>
              <w:t xml:space="preserve"> aus der Pfandhaft zu entlassen:</w:t>
            </w:r>
          </w:p>
        </w:tc>
      </w:tr>
      <w:tr w:rsidR="00C67891" w:rsidTr="00C67891">
        <w:tblPrEx>
          <w:tblCellMar>
            <w:left w:w="70" w:type="dxa"/>
            <w:right w:w="70" w:type="dxa"/>
          </w:tblCellMar>
        </w:tblPrEx>
        <w:trPr>
          <w:trHeight w:hRule="exact" w:val="200"/>
        </w:trPr>
        <w:tc>
          <w:tcPr>
            <w:tcW w:w="9216" w:type="dxa"/>
            <w:gridSpan w:val="9"/>
          </w:tcPr>
          <w:p w:rsidR="00C67891" w:rsidRDefault="00C67891"/>
        </w:tc>
      </w:tr>
      <w:tr w:rsidR="00C67891" w:rsidTr="00C67891">
        <w:tblPrEx>
          <w:tblCellMar>
            <w:left w:w="70" w:type="dxa"/>
            <w:right w:w="70" w:type="dxa"/>
          </w:tblCellMar>
        </w:tblPrEx>
        <w:trPr>
          <w:trHeight w:hRule="exact" w:val="360"/>
        </w:trPr>
        <w:tc>
          <w:tcPr>
            <w:tcW w:w="2252" w:type="dxa"/>
            <w:gridSpan w:val="3"/>
          </w:tcPr>
          <w:p w:rsidR="00C67891" w:rsidRDefault="00C67891">
            <w:pPr>
              <w:pStyle w:val="Betreff"/>
              <w:tabs>
                <w:tab w:val="clear" w:pos="5800"/>
              </w:tabs>
              <w:spacing w:before="0" w:after="0"/>
              <w:rPr>
                <w:rFonts w:ascii="Arial" w:hAnsi="Arial"/>
                <w:b w:val="0"/>
                <w:sz w:val="20"/>
              </w:rPr>
            </w:pPr>
            <w:r>
              <w:rPr>
                <w:rFonts w:ascii="Arial" w:hAnsi="Arial"/>
                <w:b w:val="0"/>
                <w:sz w:val="20"/>
              </w:rPr>
              <w:t>Grundbuchblatt Nr.</w:t>
            </w:r>
          </w:p>
        </w:tc>
        <w:tc>
          <w:tcPr>
            <w:tcW w:w="6964" w:type="dxa"/>
            <w:gridSpan w:val="6"/>
          </w:tcPr>
          <w:p w:rsidR="00C67891" w:rsidRDefault="00C67891">
            <w:r>
              <w:rPr>
                <w:b/>
                <w:color w:val="000000"/>
              </w:rPr>
              <w:fldChar w:fldCharType="begin">
                <w:ffData>
                  <w:name w:val="Text1"/>
                  <w:enabled/>
                  <w:calcOnExit w:val="0"/>
                  <w:textInput/>
                </w:ffData>
              </w:fldChar>
            </w:r>
            <w:r>
              <w:rPr>
                <w:b/>
                <w:color w:val="000000"/>
              </w:rPr>
              <w:instrText xml:space="preserve"> FORMTEXT </w:instrText>
            </w:r>
            <w:r>
              <w:rPr>
                <w:b/>
                <w:color w:val="000000"/>
              </w:rPr>
            </w:r>
            <w:r>
              <w:rPr>
                <w:b/>
                <w:color w:val="000000"/>
              </w:rPr>
              <w:fldChar w:fldCharType="separate"/>
            </w:r>
            <w:r>
              <w:rPr>
                <w:b/>
                <w:color w:val="000000"/>
              </w:rPr>
              <w:t>483-1 und 483-2</w:t>
            </w:r>
            <w:r>
              <w:rPr>
                <w:b/>
                <w:color w:val="000000"/>
              </w:rPr>
              <w:fldChar w:fldCharType="end"/>
            </w:r>
          </w:p>
        </w:tc>
      </w:tr>
      <w:tr w:rsidR="00C67891" w:rsidTr="00C67891">
        <w:tblPrEx>
          <w:tblCellMar>
            <w:left w:w="70" w:type="dxa"/>
            <w:right w:w="70" w:type="dxa"/>
          </w:tblCellMar>
        </w:tblPrEx>
        <w:trPr>
          <w:trHeight w:hRule="exact" w:val="360"/>
        </w:trPr>
        <w:tc>
          <w:tcPr>
            <w:tcW w:w="2252" w:type="dxa"/>
            <w:gridSpan w:val="3"/>
          </w:tcPr>
          <w:p w:rsidR="00C67891" w:rsidRDefault="00C67891">
            <w:pPr>
              <w:pStyle w:val="Betreff"/>
              <w:tabs>
                <w:tab w:val="clear" w:pos="5800"/>
              </w:tabs>
              <w:spacing w:before="0" w:after="0"/>
              <w:rPr>
                <w:rFonts w:ascii="Arial" w:hAnsi="Arial"/>
                <w:b w:val="0"/>
                <w:sz w:val="20"/>
              </w:rPr>
            </w:pPr>
            <w:r>
              <w:rPr>
                <w:rFonts w:ascii="Arial" w:hAnsi="Arial"/>
                <w:b w:val="0"/>
                <w:sz w:val="20"/>
              </w:rPr>
              <w:t xml:space="preserve">der Gemeinde </w:t>
            </w:r>
          </w:p>
        </w:tc>
        <w:tc>
          <w:tcPr>
            <w:tcW w:w="6964" w:type="dxa"/>
            <w:gridSpan w:val="6"/>
          </w:tcPr>
          <w:p w:rsidR="00C67891" w:rsidRDefault="00C67891">
            <w:r>
              <w:rPr>
                <w:b/>
                <w:color w:val="000000"/>
              </w:rPr>
              <w:fldChar w:fldCharType="begin">
                <w:ffData>
                  <w:name w:val="Text1"/>
                  <w:enabled/>
                  <w:calcOnExit w:val="0"/>
                  <w:textInput/>
                </w:ffData>
              </w:fldChar>
            </w:r>
            <w:r>
              <w:rPr>
                <w:b/>
                <w:color w:val="000000"/>
              </w:rPr>
              <w:instrText xml:space="preserve"> FORMTEXT </w:instrText>
            </w:r>
            <w:r>
              <w:rPr>
                <w:b/>
                <w:color w:val="000000"/>
              </w:rPr>
            </w:r>
            <w:r>
              <w:rPr>
                <w:b/>
                <w:color w:val="000000"/>
              </w:rPr>
              <w:fldChar w:fldCharType="separate"/>
            </w:r>
            <w:r>
              <w:rPr>
                <w:b/>
                <w:color w:val="000000"/>
              </w:rPr>
              <w:t>Seldwyla</w:t>
            </w:r>
            <w:r>
              <w:rPr>
                <w:b/>
                <w:color w:val="000000"/>
              </w:rPr>
              <w:fldChar w:fldCharType="end"/>
            </w:r>
          </w:p>
        </w:tc>
      </w:tr>
      <w:tr w:rsidR="00C67891" w:rsidTr="00C67891">
        <w:tblPrEx>
          <w:tblCellMar>
            <w:left w:w="70" w:type="dxa"/>
            <w:right w:w="70" w:type="dxa"/>
          </w:tblCellMar>
        </w:tblPrEx>
        <w:trPr>
          <w:trHeight w:hRule="exact" w:val="240"/>
        </w:trPr>
        <w:tc>
          <w:tcPr>
            <w:tcW w:w="9216" w:type="dxa"/>
            <w:gridSpan w:val="9"/>
          </w:tcPr>
          <w:p w:rsidR="00C67891" w:rsidRDefault="00C67891"/>
        </w:tc>
      </w:tr>
      <w:tr w:rsidR="00C67891" w:rsidTr="00C67891">
        <w:tblPrEx>
          <w:tblCellMar>
            <w:left w:w="70" w:type="dxa"/>
            <w:right w:w="70" w:type="dxa"/>
          </w:tblCellMar>
        </w:tblPrEx>
        <w:trPr>
          <w:trHeight w:hRule="exact" w:val="240"/>
        </w:trPr>
        <w:tc>
          <w:tcPr>
            <w:tcW w:w="9216" w:type="dxa"/>
            <w:gridSpan w:val="9"/>
          </w:tcPr>
          <w:p w:rsidR="00C67891" w:rsidRDefault="00C67891">
            <w:r>
              <w:rPr>
                <w:b/>
              </w:rPr>
              <w:t>teilweise</w:t>
            </w:r>
            <w:r>
              <w:t xml:space="preserve"> aus der Pfandhaft zu entlassen:</w:t>
            </w:r>
          </w:p>
        </w:tc>
      </w:tr>
      <w:tr w:rsidR="00C67891" w:rsidTr="00C67891">
        <w:tblPrEx>
          <w:tblCellMar>
            <w:left w:w="70" w:type="dxa"/>
            <w:right w:w="70" w:type="dxa"/>
          </w:tblCellMar>
        </w:tblPrEx>
        <w:trPr>
          <w:trHeight w:hRule="exact" w:val="200"/>
        </w:trPr>
        <w:tc>
          <w:tcPr>
            <w:tcW w:w="9216" w:type="dxa"/>
            <w:gridSpan w:val="9"/>
          </w:tcPr>
          <w:p w:rsidR="00C67891" w:rsidRDefault="00C67891"/>
        </w:tc>
      </w:tr>
      <w:tr w:rsidR="00C67891" w:rsidTr="00C67891">
        <w:tblPrEx>
          <w:tblCellMar>
            <w:left w:w="70" w:type="dxa"/>
            <w:right w:w="70" w:type="dxa"/>
          </w:tblCellMar>
        </w:tblPrEx>
        <w:trPr>
          <w:trHeight w:hRule="exact" w:val="240"/>
        </w:trPr>
        <w:tc>
          <w:tcPr>
            <w:tcW w:w="993" w:type="dxa"/>
          </w:tcPr>
          <w:p w:rsidR="00C67891" w:rsidRDefault="00C67891">
            <w:r>
              <w:rPr>
                <w:color w:val="000000"/>
              </w:rPr>
              <w:fldChar w:fldCharType="begin">
                <w:ffData>
                  <w:name w:val="Text1"/>
                  <w:enabled/>
                  <w:calcOnExit w:val="0"/>
                  <w:textInput/>
                </w:ffData>
              </w:fldChar>
            </w:r>
            <w:r>
              <w:rPr>
                <w:color w:val="000000"/>
              </w:rPr>
              <w:instrText xml:space="preserve"> FORMTEXT </w:instrText>
            </w:r>
            <w:r>
              <w:rPr>
                <w:color w:val="000000"/>
              </w:rPr>
            </w:r>
            <w:r>
              <w:rPr>
                <w:color w:val="000000"/>
              </w:rPr>
              <w:fldChar w:fldCharType="separate"/>
            </w:r>
            <w:r>
              <w:rPr>
                <w:color w:val="000000"/>
              </w:rPr>
              <w:t> </w:t>
            </w:r>
            <w:r>
              <w:rPr>
                <w:color w:val="000000"/>
              </w:rPr>
              <w:t> </w:t>
            </w:r>
            <w:r>
              <w:rPr>
                <w:color w:val="000000"/>
              </w:rPr>
              <w:t> </w:t>
            </w:r>
            <w:r>
              <w:rPr>
                <w:color w:val="000000"/>
              </w:rPr>
              <w:t> </w:t>
            </w:r>
            <w:r>
              <w:rPr>
                <w:color w:val="000000"/>
              </w:rPr>
              <w:t> </w:t>
            </w:r>
            <w:r>
              <w:rPr>
                <w:color w:val="000000"/>
              </w:rPr>
              <w:fldChar w:fldCharType="end"/>
            </w:r>
          </w:p>
        </w:tc>
        <w:tc>
          <w:tcPr>
            <w:tcW w:w="2693" w:type="dxa"/>
            <w:gridSpan w:val="3"/>
          </w:tcPr>
          <w:p w:rsidR="00C67891" w:rsidRDefault="00C67891">
            <w:r>
              <w:t>m</w:t>
            </w:r>
            <w:r>
              <w:rPr>
                <w:vertAlign w:val="superscript"/>
              </w:rPr>
              <w:t>2</w:t>
            </w:r>
            <w:r>
              <w:t xml:space="preserve"> von Grundbuchblatt Nr.</w:t>
            </w:r>
          </w:p>
        </w:tc>
        <w:tc>
          <w:tcPr>
            <w:tcW w:w="1703" w:type="dxa"/>
            <w:gridSpan w:val="3"/>
          </w:tcPr>
          <w:p w:rsidR="00C67891" w:rsidRDefault="00C67891">
            <w:r>
              <w:rPr>
                <w:color w:val="000000"/>
              </w:rPr>
              <w:fldChar w:fldCharType="begin">
                <w:ffData>
                  <w:name w:val="Text1"/>
                  <w:enabled/>
                  <w:calcOnExit w:val="0"/>
                  <w:textInput/>
                </w:ffData>
              </w:fldChar>
            </w:r>
            <w:r>
              <w:rPr>
                <w:color w:val="000000"/>
              </w:rPr>
              <w:instrText xml:space="preserve"> FORMTEXT </w:instrText>
            </w:r>
            <w:r>
              <w:rPr>
                <w:color w:val="000000"/>
              </w:rPr>
            </w:r>
            <w:r>
              <w:rPr>
                <w:color w:val="000000"/>
              </w:rPr>
              <w:fldChar w:fldCharType="separate"/>
            </w:r>
            <w:r>
              <w:rPr>
                <w:color w:val="000000"/>
              </w:rPr>
              <w:t> </w:t>
            </w:r>
            <w:r>
              <w:rPr>
                <w:color w:val="000000"/>
              </w:rPr>
              <w:t> </w:t>
            </w:r>
            <w:r>
              <w:rPr>
                <w:color w:val="000000"/>
              </w:rPr>
              <w:t> </w:t>
            </w:r>
            <w:r>
              <w:rPr>
                <w:color w:val="000000"/>
              </w:rPr>
              <w:t> </w:t>
            </w:r>
            <w:r>
              <w:rPr>
                <w:color w:val="000000"/>
              </w:rPr>
              <w:t> </w:t>
            </w:r>
            <w:r>
              <w:rPr>
                <w:color w:val="000000"/>
              </w:rPr>
              <w:fldChar w:fldCharType="end"/>
            </w:r>
          </w:p>
        </w:tc>
        <w:tc>
          <w:tcPr>
            <w:tcW w:w="1324" w:type="dxa"/>
          </w:tcPr>
          <w:p w:rsidR="00C67891" w:rsidRDefault="00C67891">
            <w:r>
              <w:t>Gemeinde</w:t>
            </w:r>
          </w:p>
        </w:tc>
        <w:tc>
          <w:tcPr>
            <w:tcW w:w="2503" w:type="dxa"/>
          </w:tcPr>
          <w:p w:rsidR="00C67891" w:rsidRDefault="00C67891">
            <w:r>
              <w:rPr>
                <w:color w:val="000000"/>
              </w:rPr>
              <w:fldChar w:fldCharType="begin">
                <w:ffData>
                  <w:name w:val="Text1"/>
                  <w:enabled/>
                  <w:calcOnExit w:val="0"/>
                  <w:textInput/>
                </w:ffData>
              </w:fldChar>
            </w:r>
            <w:r>
              <w:rPr>
                <w:color w:val="000000"/>
              </w:rPr>
              <w:instrText xml:space="preserve"> FORMTEXT </w:instrText>
            </w:r>
            <w:r>
              <w:rPr>
                <w:color w:val="000000"/>
              </w:rPr>
            </w:r>
            <w:r>
              <w:rPr>
                <w:color w:val="000000"/>
              </w:rPr>
              <w:fldChar w:fldCharType="separate"/>
            </w:r>
            <w:r>
              <w:rPr>
                <w:color w:val="000000"/>
              </w:rPr>
              <w:t> </w:t>
            </w:r>
            <w:r>
              <w:rPr>
                <w:color w:val="000000"/>
              </w:rPr>
              <w:t> </w:t>
            </w:r>
            <w:r>
              <w:rPr>
                <w:color w:val="000000"/>
              </w:rPr>
              <w:t> </w:t>
            </w:r>
            <w:r>
              <w:rPr>
                <w:color w:val="000000"/>
              </w:rPr>
              <w:t> </w:t>
            </w:r>
            <w:r>
              <w:rPr>
                <w:color w:val="000000"/>
              </w:rPr>
              <w:t> </w:t>
            </w:r>
            <w:r>
              <w:rPr>
                <w:color w:val="000000"/>
              </w:rPr>
              <w:fldChar w:fldCharType="end"/>
            </w:r>
          </w:p>
        </w:tc>
      </w:tr>
      <w:tr w:rsidR="00C67891" w:rsidTr="00C67891">
        <w:tblPrEx>
          <w:tblCellMar>
            <w:left w:w="70" w:type="dxa"/>
            <w:right w:w="70" w:type="dxa"/>
          </w:tblCellMar>
        </w:tblPrEx>
        <w:trPr>
          <w:trHeight w:hRule="exact" w:val="240"/>
        </w:trPr>
        <w:tc>
          <w:tcPr>
            <w:tcW w:w="9216" w:type="dxa"/>
            <w:gridSpan w:val="9"/>
          </w:tcPr>
          <w:p w:rsidR="00C67891" w:rsidRDefault="00C67891"/>
        </w:tc>
      </w:tr>
      <w:tr w:rsidR="00C67891" w:rsidTr="00C67891">
        <w:tblPrEx>
          <w:tblCellMar>
            <w:left w:w="70" w:type="dxa"/>
            <w:right w:w="70" w:type="dxa"/>
          </w:tblCellMar>
        </w:tblPrEx>
        <w:trPr>
          <w:trHeight w:hRule="exact" w:val="240"/>
        </w:trPr>
        <w:tc>
          <w:tcPr>
            <w:tcW w:w="9216" w:type="dxa"/>
            <w:gridSpan w:val="9"/>
          </w:tcPr>
          <w:p w:rsidR="00C67891" w:rsidRDefault="00C67891">
            <w:r>
              <w:t>für folgende Grundpfandrechte:</w:t>
            </w:r>
          </w:p>
        </w:tc>
      </w:tr>
      <w:tr w:rsidR="00C67891" w:rsidTr="00C67891">
        <w:tblPrEx>
          <w:tblCellMar>
            <w:left w:w="70" w:type="dxa"/>
            <w:right w:w="70" w:type="dxa"/>
          </w:tblCellMar>
        </w:tblPrEx>
        <w:trPr>
          <w:trHeight w:hRule="exact" w:val="200"/>
        </w:trPr>
        <w:tc>
          <w:tcPr>
            <w:tcW w:w="9216" w:type="dxa"/>
            <w:gridSpan w:val="9"/>
          </w:tcPr>
          <w:p w:rsidR="00C67891" w:rsidRDefault="00C67891"/>
        </w:tc>
      </w:tr>
      <w:tr w:rsidR="00C67891" w:rsidTr="00C67891">
        <w:tblPrEx>
          <w:tblCellMar>
            <w:left w:w="70" w:type="dxa"/>
            <w:right w:w="70" w:type="dxa"/>
          </w:tblCellMar>
        </w:tblPrEx>
        <w:trPr>
          <w:cantSplit/>
        </w:trPr>
        <w:tc>
          <w:tcPr>
            <w:tcW w:w="1560" w:type="dxa"/>
            <w:gridSpan w:val="2"/>
          </w:tcPr>
          <w:p w:rsidR="00C67891" w:rsidRDefault="00C67891">
            <w:pPr>
              <w:rPr>
                <w:b/>
              </w:rPr>
            </w:pPr>
            <w:r>
              <w:rPr>
                <w:b/>
              </w:rPr>
              <w:t>Art</w:t>
            </w:r>
          </w:p>
        </w:tc>
        <w:tc>
          <w:tcPr>
            <w:tcW w:w="2695" w:type="dxa"/>
            <w:gridSpan w:val="3"/>
          </w:tcPr>
          <w:p w:rsidR="00C67891" w:rsidRDefault="00C67891">
            <w:pPr>
              <w:jc w:val="right"/>
              <w:rPr>
                <w:b/>
              </w:rPr>
            </w:pPr>
            <w:r>
              <w:rPr>
                <w:b/>
              </w:rPr>
              <w:t>Betrag in CHF</w:t>
            </w:r>
          </w:p>
        </w:tc>
        <w:tc>
          <w:tcPr>
            <w:tcW w:w="376" w:type="dxa"/>
          </w:tcPr>
          <w:p w:rsidR="00C67891" w:rsidRDefault="00C67891">
            <w:pPr>
              <w:rPr>
                <w:b/>
              </w:rPr>
            </w:pPr>
          </w:p>
        </w:tc>
        <w:tc>
          <w:tcPr>
            <w:tcW w:w="4585" w:type="dxa"/>
            <w:gridSpan w:val="3"/>
          </w:tcPr>
          <w:p w:rsidR="00C67891" w:rsidRDefault="00C67891">
            <w:pPr>
              <w:rPr>
                <w:b/>
              </w:rPr>
            </w:pPr>
            <w:r>
              <w:rPr>
                <w:b/>
              </w:rPr>
              <w:t>Titel-Identifikations-Nr. oder</w:t>
            </w:r>
          </w:p>
          <w:p w:rsidR="00C67891" w:rsidRDefault="00C67891">
            <w:pPr>
              <w:rPr>
                <w:b/>
              </w:rPr>
            </w:pPr>
            <w:proofErr w:type="spellStart"/>
            <w:r>
              <w:rPr>
                <w:b/>
              </w:rPr>
              <w:t>Litera</w:t>
            </w:r>
            <w:proofErr w:type="spellEnd"/>
            <w:r>
              <w:rPr>
                <w:b/>
              </w:rPr>
              <w:t>, Errichtungsdatum und Beleg</w:t>
            </w:r>
          </w:p>
        </w:tc>
      </w:tr>
      <w:tr w:rsidR="00C67891" w:rsidTr="00C67891">
        <w:tblPrEx>
          <w:tblCellMar>
            <w:left w:w="70" w:type="dxa"/>
            <w:right w:w="70" w:type="dxa"/>
          </w:tblCellMar>
        </w:tblPrEx>
        <w:trPr>
          <w:cantSplit/>
        </w:trPr>
        <w:tc>
          <w:tcPr>
            <w:tcW w:w="1560" w:type="dxa"/>
            <w:gridSpan w:val="2"/>
          </w:tcPr>
          <w:p w:rsidR="00C67891" w:rsidRDefault="00C67891">
            <w:pPr>
              <w:rPr>
                <w:color w:val="000000"/>
              </w:rPr>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Schuldbrief</w:t>
            </w:r>
            <w:r>
              <w:rPr>
                <w:color w:val="000000"/>
              </w:rPr>
              <w:fldChar w:fldCharType="end"/>
            </w:r>
          </w:p>
        </w:tc>
        <w:tc>
          <w:tcPr>
            <w:tcW w:w="2695" w:type="dxa"/>
            <w:gridSpan w:val="3"/>
          </w:tcPr>
          <w:p w:rsidR="00C67891" w:rsidRDefault="00C67891">
            <w:pPr>
              <w:jc w:val="right"/>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50'000.00</w:t>
            </w:r>
            <w:r>
              <w:rPr>
                <w:color w:val="000000"/>
              </w:rPr>
              <w:fldChar w:fldCharType="end"/>
            </w:r>
          </w:p>
        </w:tc>
        <w:tc>
          <w:tcPr>
            <w:tcW w:w="376" w:type="dxa"/>
          </w:tcPr>
          <w:p w:rsidR="00C67891" w:rsidRDefault="00C67891">
            <w:pPr>
              <w:rPr>
                <w:color w:val="000000"/>
              </w:rPr>
            </w:pPr>
          </w:p>
        </w:tc>
        <w:tc>
          <w:tcPr>
            <w:tcW w:w="4585" w:type="dxa"/>
            <w:gridSpan w:val="3"/>
          </w:tcPr>
          <w:p w:rsidR="00C67891" w:rsidRDefault="00C67891">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2. Rang, 8%, vom 18.02.1988, 1988/448/0</w:t>
            </w:r>
            <w:r>
              <w:rPr>
                <w:color w:val="000000"/>
              </w:rPr>
              <w:fldChar w:fldCharType="end"/>
            </w:r>
            <w:r>
              <w:fldChar w:fldCharType="begin"/>
            </w:r>
            <w:r>
              <w:fldChar w:fldCharType="end"/>
            </w:r>
          </w:p>
        </w:tc>
      </w:tr>
      <w:tr w:rsidR="00C67891" w:rsidTr="00C67891">
        <w:tblPrEx>
          <w:tblCellMar>
            <w:left w:w="70" w:type="dxa"/>
            <w:right w:w="70" w:type="dxa"/>
          </w:tblCellMar>
        </w:tblPrEx>
        <w:trPr>
          <w:cantSplit/>
        </w:trPr>
        <w:tc>
          <w:tcPr>
            <w:tcW w:w="1560" w:type="dxa"/>
            <w:gridSpan w:val="2"/>
          </w:tcPr>
          <w:p w:rsidR="00C67891" w:rsidRDefault="00C67891">
            <w:pPr>
              <w:rPr>
                <w:color w:val="000000"/>
              </w:rPr>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color w:val="000000"/>
              </w:rPr>
              <w:t> </w:t>
            </w:r>
            <w:r>
              <w:rPr>
                <w:color w:val="000000"/>
              </w:rPr>
              <w:t> </w:t>
            </w:r>
            <w:r>
              <w:rPr>
                <w:color w:val="000000"/>
              </w:rPr>
              <w:t> </w:t>
            </w:r>
            <w:r>
              <w:rPr>
                <w:color w:val="000000"/>
              </w:rPr>
              <w:t> </w:t>
            </w:r>
            <w:r>
              <w:rPr>
                <w:color w:val="000000"/>
              </w:rPr>
              <w:t> </w:t>
            </w:r>
            <w:r>
              <w:rPr>
                <w:color w:val="000000"/>
              </w:rPr>
              <w:fldChar w:fldCharType="end"/>
            </w:r>
          </w:p>
        </w:tc>
        <w:tc>
          <w:tcPr>
            <w:tcW w:w="2695" w:type="dxa"/>
            <w:gridSpan w:val="3"/>
          </w:tcPr>
          <w:p w:rsidR="00C67891" w:rsidRDefault="00C67891">
            <w:pPr>
              <w:jc w:val="right"/>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color w:val="000000"/>
              </w:rPr>
              <w:t> </w:t>
            </w:r>
            <w:r>
              <w:rPr>
                <w:color w:val="000000"/>
              </w:rPr>
              <w:t> </w:t>
            </w:r>
            <w:r>
              <w:rPr>
                <w:color w:val="000000"/>
              </w:rPr>
              <w:t> </w:t>
            </w:r>
            <w:r>
              <w:rPr>
                <w:color w:val="000000"/>
              </w:rPr>
              <w:t> </w:t>
            </w:r>
            <w:r>
              <w:rPr>
                <w:color w:val="000000"/>
              </w:rPr>
              <w:t> </w:t>
            </w:r>
            <w:r>
              <w:rPr>
                <w:color w:val="000000"/>
              </w:rPr>
              <w:fldChar w:fldCharType="end"/>
            </w:r>
          </w:p>
        </w:tc>
        <w:tc>
          <w:tcPr>
            <w:tcW w:w="376" w:type="dxa"/>
          </w:tcPr>
          <w:p w:rsidR="00C67891" w:rsidRDefault="00C67891">
            <w:pPr>
              <w:rPr>
                <w:color w:val="000000"/>
              </w:rPr>
            </w:pPr>
          </w:p>
        </w:tc>
        <w:tc>
          <w:tcPr>
            <w:tcW w:w="4585" w:type="dxa"/>
            <w:gridSpan w:val="3"/>
          </w:tcPr>
          <w:p w:rsidR="00C67891" w:rsidRDefault="00C67891">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color w:val="000000"/>
              </w:rPr>
              <w:t> </w:t>
            </w:r>
            <w:r>
              <w:rPr>
                <w:color w:val="000000"/>
              </w:rPr>
              <w:t> </w:t>
            </w:r>
            <w:r>
              <w:rPr>
                <w:color w:val="000000"/>
              </w:rPr>
              <w:t> </w:t>
            </w:r>
            <w:r>
              <w:rPr>
                <w:color w:val="000000"/>
              </w:rPr>
              <w:t> </w:t>
            </w:r>
            <w:r>
              <w:rPr>
                <w:color w:val="000000"/>
              </w:rPr>
              <w:t> </w:t>
            </w:r>
            <w:r>
              <w:rPr>
                <w:color w:val="000000"/>
              </w:rPr>
              <w:fldChar w:fldCharType="end"/>
            </w:r>
            <w:r>
              <w:fldChar w:fldCharType="begin"/>
            </w:r>
            <w:r>
              <w:fldChar w:fldCharType="end"/>
            </w:r>
          </w:p>
        </w:tc>
      </w:tr>
      <w:tr w:rsidR="00C67891" w:rsidTr="00C67891">
        <w:tblPrEx>
          <w:tblCellMar>
            <w:left w:w="70" w:type="dxa"/>
            <w:right w:w="70" w:type="dxa"/>
          </w:tblCellMar>
        </w:tblPrEx>
        <w:trPr>
          <w:trHeight w:hRule="exact" w:val="240"/>
        </w:trPr>
        <w:tc>
          <w:tcPr>
            <w:tcW w:w="9216" w:type="dxa"/>
            <w:gridSpan w:val="9"/>
          </w:tcPr>
          <w:p w:rsidR="00C67891" w:rsidRDefault="00C67891"/>
        </w:tc>
      </w:tr>
      <w:tr w:rsidR="00C67891" w:rsidTr="00C67891">
        <w:tblPrEx>
          <w:tblCellMar>
            <w:left w:w="70" w:type="dxa"/>
            <w:right w:w="70" w:type="dxa"/>
          </w:tblCellMar>
        </w:tblPrEx>
        <w:trPr>
          <w:trHeight w:hRule="exact" w:val="480"/>
        </w:trPr>
        <w:tc>
          <w:tcPr>
            <w:tcW w:w="9216" w:type="dxa"/>
            <w:gridSpan w:val="9"/>
          </w:tcPr>
          <w:p w:rsidR="00C67891" w:rsidRDefault="00C67891">
            <w:r>
              <w:t>Auf den übrigen Grundstücken bzw. Restgrundstücken bleiben die Pfandrechte unverändert bestehen.</w:t>
            </w:r>
          </w:p>
        </w:tc>
      </w:tr>
      <w:tr w:rsidR="00C67891" w:rsidTr="00C67891">
        <w:tblPrEx>
          <w:tblCellMar>
            <w:left w:w="70" w:type="dxa"/>
            <w:right w:w="70" w:type="dxa"/>
          </w:tblCellMar>
        </w:tblPrEx>
        <w:trPr>
          <w:trHeight w:hRule="exact" w:val="240"/>
        </w:trPr>
        <w:tc>
          <w:tcPr>
            <w:tcW w:w="4255" w:type="dxa"/>
            <w:gridSpan w:val="5"/>
          </w:tcPr>
          <w:p w:rsidR="00C67891" w:rsidRDefault="00C67891">
            <w:pPr>
              <w:tabs>
                <w:tab w:val="left" w:pos="2836"/>
              </w:tabs>
            </w:pPr>
            <w:r>
              <w:t xml:space="preserve">Ort/Datum: </w:t>
            </w: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c>
          <w:tcPr>
            <w:tcW w:w="4961" w:type="dxa"/>
            <w:gridSpan w:val="4"/>
          </w:tcPr>
          <w:p w:rsidR="00C67891" w:rsidRDefault="00C67891">
            <w:pPr>
              <w:tabs>
                <w:tab w:val="left" w:pos="2836"/>
              </w:tabs>
            </w:pPr>
            <w:r>
              <w:rPr>
                <w:b/>
              </w:rPr>
              <w:t xml:space="preserve">Der/Die Grundpfand-/Faustpfandgläubiger/in: </w:t>
            </w:r>
            <w:r>
              <w:rPr>
                <w:position w:val="6"/>
                <w:sz w:val="16"/>
              </w:rPr>
              <w:t>1)</w:t>
            </w:r>
          </w:p>
        </w:tc>
      </w:tr>
      <w:tr w:rsidR="00C67891" w:rsidTr="00C67891">
        <w:tblPrEx>
          <w:tblCellMar>
            <w:left w:w="70" w:type="dxa"/>
            <w:right w:w="70" w:type="dxa"/>
          </w:tblCellMar>
        </w:tblPrEx>
        <w:trPr>
          <w:trHeight w:hRule="exact" w:val="240"/>
        </w:trPr>
        <w:tc>
          <w:tcPr>
            <w:tcW w:w="4255" w:type="dxa"/>
            <w:gridSpan w:val="5"/>
          </w:tcPr>
          <w:p w:rsidR="00C67891" w:rsidRDefault="00C67891">
            <w:pPr>
              <w:tabs>
                <w:tab w:val="left" w:pos="2836"/>
              </w:tabs>
            </w:pPr>
            <w:r>
              <w:t>Bemerkungen/Beilagen:</w:t>
            </w:r>
          </w:p>
        </w:tc>
        <w:tc>
          <w:tcPr>
            <w:tcW w:w="4961" w:type="dxa"/>
            <w:gridSpan w:val="4"/>
          </w:tcPr>
          <w:p w:rsidR="00C67891" w:rsidRDefault="00C67891">
            <w:pPr>
              <w:tabs>
                <w:tab w:val="left" w:pos="2836"/>
              </w:tabs>
            </w:pPr>
            <w:r>
              <w:rPr>
                <w:sz w:val="16"/>
              </w:rPr>
              <w:t>(Name, Adresse und Unterschrift)</w:t>
            </w:r>
          </w:p>
        </w:tc>
      </w:tr>
      <w:tr w:rsidR="00C67891" w:rsidTr="00C67891">
        <w:tblPrEx>
          <w:tblCellMar>
            <w:left w:w="70" w:type="dxa"/>
            <w:right w:w="70" w:type="dxa"/>
          </w:tblCellMar>
        </w:tblPrEx>
        <w:trPr>
          <w:trHeight w:hRule="exact" w:val="1480"/>
        </w:trPr>
        <w:tc>
          <w:tcPr>
            <w:tcW w:w="4255" w:type="dxa"/>
            <w:gridSpan w:val="5"/>
          </w:tcPr>
          <w:p w:rsidR="00C67891" w:rsidRDefault="00C67891">
            <w:pPr>
              <w:tabs>
                <w:tab w:val="left" w:pos="2836"/>
              </w:tabs>
              <w:rPr>
                <w:position w:val="6"/>
              </w:rPr>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c>
          <w:tcPr>
            <w:tcW w:w="4961" w:type="dxa"/>
            <w:gridSpan w:val="4"/>
          </w:tcPr>
          <w:p w:rsidR="00C67891" w:rsidRDefault="00C67891">
            <w:pPr>
              <w:tabs>
                <w:tab w:val="left" w:pos="2836"/>
              </w:tabs>
              <w:rPr>
                <w:position w:val="6"/>
              </w:rPr>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Heinz Muster, Kuhweid, Seldwyla:</w:t>
            </w:r>
            <w:r>
              <w:rPr>
                <w:color w:val="000000"/>
              </w:rPr>
              <w:fldChar w:fldCharType="end"/>
            </w:r>
          </w:p>
        </w:tc>
      </w:tr>
      <w:tr w:rsidR="00C67891" w:rsidTr="00C67891">
        <w:tblPrEx>
          <w:tblCellMar>
            <w:left w:w="70" w:type="dxa"/>
            <w:right w:w="70" w:type="dxa"/>
          </w:tblCellMar>
        </w:tblPrEx>
        <w:trPr>
          <w:trHeight w:hRule="exact" w:val="240"/>
        </w:trPr>
        <w:tc>
          <w:tcPr>
            <w:tcW w:w="9216" w:type="dxa"/>
            <w:gridSpan w:val="9"/>
            <w:tcBorders>
              <w:top w:val="single" w:sz="6" w:space="0" w:color="auto"/>
            </w:tcBorders>
          </w:tcPr>
          <w:p w:rsidR="00C67891" w:rsidRDefault="00C67891"/>
        </w:tc>
      </w:tr>
      <w:tr w:rsidR="00C67891" w:rsidTr="00C67891">
        <w:tblPrEx>
          <w:tblCellMar>
            <w:left w:w="70" w:type="dxa"/>
            <w:right w:w="70" w:type="dxa"/>
          </w:tblCellMar>
        </w:tblPrEx>
        <w:trPr>
          <w:trHeight w:hRule="exact" w:val="240"/>
        </w:trPr>
        <w:tc>
          <w:tcPr>
            <w:tcW w:w="9216" w:type="dxa"/>
            <w:gridSpan w:val="9"/>
          </w:tcPr>
          <w:p w:rsidR="00C67891" w:rsidRDefault="00C67891">
            <w:pPr>
              <w:rPr>
                <w:b/>
              </w:rPr>
            </w:pPr>
            <w:r>
              <w:rPr>
                <w:b/>
              </w:rPr>
              <w:t xml:space="preserve">Eintragungsbewilligung </w:t>
            </w:r>
            <w:r>
              <w:rPr>
                <w:vertAlign w:val="superscript"/>
              </w:rPr>
              <w:t>2)</w:t>
            </w:r>
          </w:p>
        </w:tc>
      </w:tr>
      <w:tr w:rsidR="00C67891" w:rsidTr="00C67891">
        <w:tblPrEx>
          <w:tblCellMar>
            <w:left w:w="70" w:type="dxa"/>
            <w:right w:w="70" w:type="dxa"/>
          </w:tblCellMar>
        </w:tblPrEx>
        <w:trPr>
          <w:trHeight w:hRule="exact" w:val="200"/>
        </w:trPr>
        <w:tc>
          <w:tcPr>
            <w:tcW w:w="9216" w:type="dxa"/>
            <w:gridSpan w:val="9"/>
          </w:tcPr>
          <w:p w:rsidR="00C67891" w:rsidRDefault="00C67891"/>
        </w:tc>
      </w:tr>
      <w:tr w:rsidR="00C67891" w:rsidTr="00C67891">
        <w:tblPrEx>
          <w:tblCellMar>
            <w:left w:w="70" w:type="dxa"/>
            <w:right w:w="70" w:type="dxa"/>
          </w:tblCellMar>
        </w:tblPrEx>
        <w:trPr>
          <w:trHeight w:hRule="exact" w:val="480"/>
        </w:trPr>
        <w:tc>
          <w:tcPr>
            <w:tcW w:w="9216" w:type="dxa"/>
            <w:gridSpan w:val="9"/>
          </w:tcPr>
          <w:p w:rsidR="00C67891" w:rsidRDefault="00C67891">
            <w:r>
              <w:t>Zur beantragten Änderung wird die Bewilligung erteilt; auf die Eintragung einer leeren Pfan</w:t>
            </w:r>
            <w:r>
              <w:t>d</w:t>
            </w:r>
            <w:r>
              <w:t>stelle wird verzichtet.</w:t>
            </w:r>
          </w:p>
        </w:tc>
      </w:tr>
      <w:tr w:rsidR="00C67891" w:rsidTr="00C67891">
        <w:tblPrEx>
          <w:tblCellMar>
            <w:left w:w="70" w:type="dxa"/>
            <w:right w:w="70" w:type="dxa"/>
          </w:tblCellMar>
        </w:tblPrEx>
        <w:trPr>
          <w:trHeight w:hRule="exact" w:val="200"/>
        </w:trPr>
        <w:tc>
          <w:tcPr>
            <w:tcW w:w="9216" w:type="dxa"/>
            <w:gridSpan w:val="9"/>
          </w:tcPr>
          <w:p w:rsidR="00C67891" w:rsidRDefault="00C67891"/>
        </w:tc>
      </w:tr>
      <w:tr w:rsidR="00C67891" w:rsidTr="00C67891">
        <w:tblPrEx>
          <w:tblCellMar>
            <w:left w:w="70" w:type="dxa"/>
            <w:right w:w="70" w:type="dxa"/>
          </w:tblCellMar>
        </w:tblPrEx>
        <w:trPr>
          <w:trHeight w:hRule="exact" w:val="240"/>
        </w:trPr>
        <w:tc>
          <w:tcPr>
            <w:tcW w:w="5389" w:type="dxa"/>
            <w:gridSpan w:val="7"/>
          </w:tcPr>
          <w:p w:rsidR="00C67891" w:rsidRDefault="00C67891">
            <w:r>
              <w:t xml:space="preserve">Ort/Datum: </w:t>
            </w: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c>
          <w:tcPr>
            <w:tcW w:w="3827" w:type="dxa"/>
            <w:gridSpan w:val="2"/>
          </w:tcPr>
          <w:p w:rsidR="00C67891" w:rsidRDefault="00C67891">
            <w:r>
              <w:rPr>
                <w:b/>
              </w:rPr>
              <w:t>Der/Die Eigentümer/in:</w:t>
            </w:r>
          </w:p>
        </w:tc>
      </w:tr>
      <w:tr w:rsidR="00C67891" w:rsidTr="00C67891">
        <w:tblPrEx>
          <w:tblCellMar>
            <w:left w:w="70" w:type="dxa"/>
            <w:right w:w="70" w:type="dxa"/>
          </w:tblCellMar>
        </w:tblPrEx>
        <w:trPr>
          <w:trHeight w:hRule="exact" w:val="1800"/>
        </w:trPr>
        <w:tc>
          <w:tcPr>
            <w:tcW w:w="5389" w:type="dxa"/>
            <w:gridSpan w:val="7"/>
          </w:tcPr>
          <w:p w:rsidR="00C67891" w:rsidRDefault="00C67891"/>
          <w:p w:rsidR="00C67891" w:rsidRDefault="00C67891"/>
          <w:p w:rsidR="00C67891" w:rsidRDefault="00C67891"/>
          <w:p w:rsidR="00C67891" w:rsidRDefault="00C67891">
            <w:r>
              <w:t>Taxpunkte          _____________</w:t>
            </w:r>
          </w:p>
          <w:p w:rsidR="00C67891" w:rsidRDefault="00C67891">
            <w:pPr>
              <w:rPr>
                <w:sz w:val="16"/>
              </w:rPr>
            </w:pPr>
          </w:p>
          <w:p w:rsidR="00C67891" w:rsidRDefault="00C67891">
            <w:pPr>
              <w:rPr>
                <w:b/>
              </w:rPr>
            </w:pPr>
            <w:r>
              <w:rPr>
                <w:b/>
              </w:rPr>
              <w:t>Gebühren CHF  _____________</w:t>
            </w:r>
          </w:p>
          <w:p w:rsidR="00C67891" w:rsidRDefault="00C67891">
            <w:pPr>
              <w:rPr>
                <w:sz w:val="18"/>
              </w:rPr>
            </w:pPr>
          </w:p>
          <w:p w:rsidR="00C67891" w:rsidRDefault="00C67891">
            <w:r>
              <w:rPr>
                <w:sz w:val="18"/>
              </w:rPr>
              <w:t>verrechnet auf Beleg</w:t>
            </w:r>
          </w:p>
        </w:tc>
        <w:tc>
          <w:tcPr>
            <w:tcW w:w="3827" w:type="dxa"/>
            <w:gridSpan w:val="2"/>
          </w:tcPr>
          <w:p w:rsidR="00C67891" w:rsidRDefault="00C67891">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r>
    </w:tbl>
    <w:p w:rsidR="00C67891" w:rsidRDefault="00C67891">
      <w:pPr>
        <w:rPr>
          <w:sz w:val="10"/>
        </w:rPr>
      </w:pPr>
    </w:p>
    <w:p w:rsidR="00902C4B" w:rsidRDefault="00902C4B" w:rsidP="00902C4B">
      <w:pPr>
        <w:rPr>
          <w:szCs w:val="22"/>
        </w:rPr>
      </w:pPr>
    </w:p>
    <w:p w:rsidR="00902C4B" w:rsidRDefault="00902C4B" w:rsidP="00902C4B">
      <w:pPr>
        <w:spacing w:after="200"/>
        <w:rPr>
          <w:szCs w:val="22"/>
        </w:rPr>
      </w:pPr>
      <w:r>
        <w:rPr>
          <w:szCs w:val="22"/>
        </w:rPr>
        <w:br w:type="page"/>
      </w:r>
    </w:p>
    <w:tbl>
      <w:tblPr>
        <w:tblW w:w="0" w:type="auto"/>
        <w:tblInd w:w="54" w:type="dxa"/>
        <w:tblLayout w:type="fixed"/>
        <w:tblCellMar>
          <w:left w:w="56" w:type="dxa"/>
          <w:right w:w="56" w:type="dxa"/>
        </w:tblCellMar>
        <w:tblLook w:val="0000" w:firstRow="0" w:lastRow="0" w:firstColumn="0" w:lastColumn="0" w:noHBand="0" w:noVBand="0"/>
      </w:tblPr>
      <w:tblGrid>
        <w:gridCol w:w="993"/>
        <w:gridCol w:w="567"/>
        <w:gridCol w:w="692"/>
        <w:gridCol w:w="1434"/>
        <w:gridCol w:w="569"/>
        <w:gridCol w:w="376"/>
        <w:gridCol w:w="758"/>
        <w:gridCol w:w="1324"/>
        <w:gridCol w:w="2503"/>
      </w:tblGrid>
      <w:tr w:rsidR="00C67891" w:rsidTr="00C67891">
        <w:trPr>
          <w:cantSplit/>
          <w:trHeight w:hRule="exact" w:val="907"/>
        </w:trPr>
        <w:tc>
          <w:tcPr>
            <w:tcW w:w="4255" w:type="dxa"/>
            <w:gridSpan w:val="5"/>
          </w:tcPr>
          <w:p w:rsidR="00C67891" w:rsidRDefault="00C67891">
            <w:pPr>
              <w:rPr>
                <w:b/>
                <w:sz w:val="28"/>
              </w:rPr>
            </w:pPr>
            <w:r>
              <w:rPr>
                <w:b/>
                <w:sz w:val="28"/>
              </w:rPr>
              <w:lastRenderedPageBreak/>
              <w:t>Pfandentlassungsbewilligung</w:t>
            </w:r>
          </w:p>
          <w:p w:rsidR="00C67891" w:rsidRDefault="00C67891">
            <w:pPr>
              <w:rPr>
                <w:b/>
              </w:rPr>
            </w:pPr>
          </w:p>
          <w:p w:rsidR="00C67891" w:rsidRDefault="00C67891">
            <w:pPr>
              <w:rPr>
                <w:b/>
                <w:sz w:val="18"/>
              </w:rPr>
            </w:pPr>
            <w:r>
              <w:rPr>
                <w:b/>
              </w:rPr>
              <w:t>an das Grundbuchamt</w:t>
            </w:r>
          </w:p>
        </w:tc>
        <w:tc>
          <w:tcPr>
            <w:tcW w:w="1134" w:type="dxa"/>
            <w:gridSpan w:val="2"/>
          </w:tcPr>
          <w:p w:rsidR="00C67891" w:rsidRDefault="00C67891"/>
        </w:tc>
        <w:tc>
          <w:tcPr>
            <w:tcW w:w="3827" w:type="dxa"/>
            <w:gridSpan w:val="2"/>
          </w:tcPr>
          <w:p w:rsidR="00C67891" w:rsidRDefault="00C67891">
            <w:r>
              <w:t xml:space="preserve">Beleg Nr. </w:t>
            </w:r>
          </w:p>
          <w:p w:rsidR="00C67891" w:rsidRDefault="00C67891">
            <w:pPr>
              <w:rPr>
                <w:sz w:val="16"/>
              </w:rPr>
            </w:pPr>
          </w:p>
          <w:p w:rsidR="00C67891" w:rsidRDefault="00C67891">
            <w:r>
              <w:t>Eingang</w:t>
            </w:r>
          </w:p>
        </w:tc>
      </w:tr>
      <w:tr w:rsidR="00C67891" w:rsidTr="00C67891">
        <w:tblPrEx>
          <w:tblCellMar>
            <w:left w:w="70" w:type="dxa"/>
            <w:right w:w="70" w:type="dxa"/>
          </w:tblCellMar>
        </w:tblPrEx>
        <w:trPr>
          <w:trHeight w:hRule="exact" w:val="240"/>
        </w:trPr>
        <w:tc>
          <w:tcPr>
            <w:tcW w:w="9216" w:type="dxa"/>
            <w:gridSpan w:val="9"/>
          </w:tcPr>
          <w:p w:rsidR="00C67891" w:rsidRDefault="00C67891">
            <w:pPr>
              <w:pStyle w:val="Betreff"/>
              <w:spacing w:before="0" w:after="0"/>
              <w:rPr>
                <w:rFonts w:ascii="Arial" w:hAnsi="Arial"/>
                <w:b w:val="0"/>
                <w:sz w:val="20"/>
              </w:rPr>
            </w:pPr>
          </w:p>
        </w:tc>
      </w:tr>
      <w:tr w:rsidR="00C67891" w:rsidTr="00C67891">
        <w:tblPrEx>
          <w:tblCellMar>
            <w:left w:w="70" w:type="dxa"/>
            <w:right w:w="70" w:type="dxa"/>
          </w:tblCellMar>
        </w:tblPrEx>
        <w:trPr>
          <w:trHeight w:hRule="exact" w:val="240"/>
        </w:trPr>
        <w:tc>
          <w:tcPr>
            <w:tcW w:w="9216" w:type="dxa"/>
            <w:gridSpan w:val="9"/>
          </w:tcPr>
          <w:p w:rsidR="00C67891" w:rsidRDefault="00C67891">
            <w:pPr>
              <w:pStyle w:val="Betreff"/>
              <w:spacing w:before="0" w:after="0"/>
              <w:rPr>
                <w:rFonts w:ascii="Arial" w:hAnsi="Arial"/>
                <w:b w:val="0"/>
                <w:sz w:val="20"/>
              </w:rPr>
            </w:pPr>
          </w:p>
        </w:tc>
      </w:tr>
      <w:tr w:rsidR="00C67891" w:rsidTr="00C67891">
        <w:tblPrEx>
          <w:tblCellMar>
            <w:left w:w="70" w:type="dxa"/>
            <w:right w:w="70" w:type="dxa"/>
          </w:tblCellMar>
        </w:tblPrEx>
        <w:trPr>
          <w:trHeight w:hRule="exact" w:val="400"/>
        </w:trPr>
        <w:tc>
          <w:tcPr>
            <w:tcW w:w="9216" w:type="dxa"/>
            <w:gridSpan w:val="9"/>
          </w:tcPr>
          <w:p w:rsidR="00C67891" w:rsidRDefault="00C67891">
            <w:pPr>
              <w:pStyle w:val="Betreff"/>
              <w:spacing w:before="0" w:after="0"/>
              <w:rPr>
                <w:rFonts w:ascii="Arial" w:hAnsi="Arial"/>
                <w:b w:val="0"/>
                <w:sz w:val="20"/>
              </w:rPr>
            </w:pPr>
            <w:r>
              <w:rPr>
                <w:rFonts w:ascii="Arial" w:hAnsi="Arial"/>
                <w:b w:val="0"/>
                <w:sz w:val="20"/>
              </w:rPr>
              <w:t>Der/Die Unterzeichnende erteilt seine/ihre Einwilligung, folgende Grundstücke</w:t>
            </w:r>
          </w:p>
        </w:tc>
      </w:tr>
      <w:tr w:rsidR="00C67891" w:rsidTr="00C67891">
        <w:tblPrEx>
          <w:tblCellMar>
            <w:left w:w="70" w:type="dxa"/>
            <w:right w:w="70" w:type="dxa"/>
          </w:tblCellMar>
        </w:tblPrEx>
        <w:trPr>
          <w:cantSplit/>
          <w:trHeight w:hRule="exact" w:val="720"/>
        </w:trPr>
        <w:tc>
          <w:tcPr>
            <w:tcW w:w="2252" w:type="dxa"/>
            <w:gridSpan w:val="3"/>
          </w:tcPr>
          <w:p w:rsidR="00C67891" w:rsidRDefault="00C67891">
            <w:pPr>
              <w:pStyle w:val="Betreff"/>
              <w:tabs>
                <w:tab w:val="left" w:pos="2269"/>
              </w:tabs>
              <w:spacing w:before="0" w:after="0"/>
              <w:rPr>
                <w:rFonts w:ascii="Arial" w:hAnsi="Arial"/>
                <w:b w:val="0"/>
                <w:sz w:val="20"/>
              </w:rPr>
            </w:pPr>
            <w:r>
              <w:rPr>
                <w:rFonts w:ascii="Arial" w:hAnsi="Arial"/>
                <w:b w:val="0"/>
                <w:sz w:val="20"/>
              </w:rPr>
              <w:t xml:space="preserve">im Eigentum von </w:t>
            </w:r>
          </w:p>
        </w:tc>
        <w:tc>
          <w:tcPr>
            <w:tcW w:w="6964" w:type="dxa"/>
            <w:gridSpan w:val="6"/>
          </w:tcPr>
          <w:p w:rsidR="00C67891" w:rsidRDefault="00C67891">
            <w:r>
              <w:rPr>
                <w:b/>
                <w:color w:val="000000"/>
              </w:rPr>
              <w:fldChar w:fldCharType="begin">
                <w:ffData>
                  <w:name w:val="Text1"/>
                  <w:enabled/>
                  <w:calcOnExit w:val="0"/>
                  <w:textInput/>
                </w:ffData>
              </w:fldChar>
            </w:r>
            <w:r>
              <w:rPr>
                <w:b/>
                <w:color w:val="000000"/>
              </w:rPr>
              <w:instrText xml:space="preserve"> FORMTEXT </w:instrText>
            </w:r>
            <w:r>
              <w:rPr>
                <w:b/>
                <w:color w:val="000000"/>
              </w:rPr>
            </w:r>
            <w:r>
              <w:rPr>
                <w:b/>
                <w:color w:val="000000"/>
              </w:rPr>
              <w:fldChar w:fldCharType="separate"/>
            </w:r>
            <w:r>
              <w:rPr>
                <w:b/>
                <w:noProof/>
                <w:color w:val="000000"/>
              </w:rPr>
              <w:t>Muster Max</w:t>
            </w:r>
            <w:r>
              <w:rPr>
                <w:b/>
                <w:color w:val="000000"/>
              </w:rPr>
              <w:fldChar w:fldCharType="end"/>
            </w:r>
          </w:p>
        </w:tc>
      </w:tr>
      <w:tr w:rsidR="00C67891" w:rsidTr="00C67891">
        <w:tblPrEx>
          <w:tblCellMar>
            <w:left w:w="70" w:type="dxa"/>
            <w:right w:w="70" w:type="dxa"/>
          </w:tblCellMar>
        </w:tblPrEx>
        <w:trPr>
          <w:trHeight w:hRule="exact" w:val="240"/>
        </w:trPr>
        <w:tc>
          <w:tcPr>
            <w:tcW w:w="9216" w:type="dxa"/>
            <w:gridSpan w:val="9"/>
          </w:tcPr>
          <w:p w:rsidR="00C67891" w:rsidRDefault="00C67891">
            <w:r>
              <w:rPr>
                <w:b/>
              </w:rPr>
              <w:t>ganz</w:t>
            </w:r>
            <w:r>
              <w:t xml:space="preserve"> aus der Pfandhaft zu entlassen:</w:t>
            </w:r>
          </w:p>
        </w:tc>
      </w:tr>
      <w:tr w:rsidR="00C67891" w:rsidTr="00C67891">
        <w:tblPrEx>
          <w:tblCellMar>
            <w:left w:w="70" w:type="dxa"/>
            <w:right w:w="70" w:type="dxa"/>
          </w:tblCellMar>
        </w:tblPrEx>
        <w:trPr>
          <w:trHeight w:hRule="exact" w:val="200"/>
        </w:trPr>
        <w:tc>
          <w:tcPr>
            <w:tcW w:w="9216" w:type="dxa"/>
            <w:gridSpan w:val="9"/>
          </w:tcPr>
          <w:p w:rsidR="00C67891" w:rsidRDefault="00C67891"/>
        </w:tc>
      </w:tr>
      <w:tr w:rsidR="00C67891" w:rsidTr="00C67891">
        <w:tblPrEx>
          <w:tblCellMar>
            <w:left w:w="70" w:type="dxa"/>
            <w:right w:w="70" w:type="dxa"/>
          </w:tblCellMar>
        </w:tblPrEx>
        <w:trPr>
          <w:trHeight w:hRule="exact" w:val="360"/>
        </w:trPr>
        <w:tc>
          <w:tcPr>
            <w:tcW w:w="2252" w:type="dxa"/>
            <w:gridSpan w:val="3"/>
          </w:tcPr>
          <w:p w:rsidR="00C67891" w:rsidRDefault="00C67891">
            <w:pPr>
              <w:pStyle w:val="Betreff"/>
              <w:tabs>
                <w:tab w:val="clear" w:pos="5800"/>
              </w:tabs>
              <w:spacing w:before="0" w:after="0"/>
              <w:rPr>
                <w:rFonts w:ascii="Arial" w:hAnsi="Arial"/>
                <w:b w:val="0"/>
                <w:sz w:val="20"/>
              </w:rPr>
            </w:pPr>
            <w:r>
              <w:rPr>
                <w:rFonts w:ascii="Arial" w:hAnsi="Arial"/>
                <w:b w:val="0"/>
                <w:sz w:val="20"/>
              </w:rPr>
              <w:t>Grundbuchblatt Nr.</w:t>
            </w:r>
          </w:p>
        </w:tc>
        <w:tc>
          <w:tcPr>
            <w:tcW w:w="6964" w:type="dxa"/>
            <w:gridSpan w:val="6"/>
          </w:tcPr>
          <w:p w:rsidR="00C67891" w:rsidRDefault="00C67891">
            <w:r>
              <w:rPr>
                <w:b/>
                <w:color w:val="000000"/>
              </w:rPr>
              <w:fldChar w:fldCharType="begin">
                <w:ffData>
                  <w:name w:val="Text1"/>
                  <w:enabled/>
                  <w:calcOnExit w:val="0"/>
                  <w:textInput/>
                </w:ffData>
              </w:fldChar>
            </w:r>
            <w:r>
              <w:rPr>
                <w:b/>
                <w:color w:val="000000"/>
              </w:rPr>
              <w:instrText xml:space="preserve"> FORMTEXT </w:instrText>
            </w:r>
            <w:r>
              <w:rPr>
                <w:b/>
                <w:color w:val="000000"/>
              </w:rPr>
            </w:r>
            <w:r>
              <w:rPr>
                <w:b/>
                <w:color w:val="000000"/>
              </w:rPr>
              <w:fldChar w:fldCharType="separate"/>
            </w:r>
            <w:r>
              <w:rPr>
                <w:b/>
                <w:noProof/>
                <w:color w:val="000000"/>
              </w:rPr>
              <w:t>483-1 und 483-2</w:t>
            </w:r>
            <w:r>
              <w:rPr>
                <w:b/>
                <w:color w:val="000000"/>
              </w:rPr>
              <w:fldChar w:fldCharType="end"/>
            </w:r>
          </w:p>
        </w:tc>
      </w:tr>
      <w:tr w:rsidR="00C67891" w:rsidTr="00C67891">
        <w:tblPrEx>
          <w:tblCellMar>
            <w:left w:w="70" w:type="dxa"/>
            <w:right w:w="70" w:type="dxa"/>
          </w:tblCellMar>
        </w:tblPrEx>
        <w:trPr>
          <w:trHeight w:hRule="exact" w:val="360"/>
        </w:trPr>
        <w:tc>
          <w:tcPr>
            <w:tcW w:w="2252" w:type="dxa"/>
            <w:gridSpan w:val="3"/>
          </w:tcPr>
          <w:p w:rsidR="00C67891" w:rsidRDefault="00C67891">
            <w:pPr>
              <w:pStyle w:val="Betreff"/>
              <w:tabs>
                <w:tab w:val="clear" w:pos="5800"/>
              </w:tabs>
              <w:spacing w:before="0" w:after="0"/>
              <w:rPr>
                <w:rFonts w:ascii="Arial" w:hAnsi="Arial"/>
                <w:b w:val="0"/>
                <w:sz w:val="20"/>
              </w:rPr>
            </w:pPr>
            <w:r>
              <w:rPr>
                <w:rFonts w:ascii="Arial" w:hAnsi="Arial"/>
                <w:b w:val="0"/>
                <w:sz w:val="20"/>
              </w:rPr>
              <w:t xml:space="preserve">der Gemeinde </w:t>
            </w:r>
          </w:p>
        </w:tc>
        <w:tc>
          <w:tcPr>
            <w:tcW w:w="6964" w:type="dxa"/>
            <w:gridSpan w:val="6"/>
          </w:tcPr>
          <w:p w:rsidR="00C67891" w:rsidRDefault="00C67891">
            <w:r>
              <w:rPr>
                <w:b/>
                <w:color w:val="000000"/>
              </w:rPr>
              <w:fldChar w:fldCharType="begin">
                <w:ffData>
                  <w:name w:val="Text1"/>
                  <w:enabled/>
                  <w:calcOnExit w:val="0"/>
                  <w:textInput/>
                </w:ffData>
              </w:fldChar>
            </w:r>
            <w:r>
              <w:rPr>
                <w:b/>
                <w:color w:val="000000"/>
              </w:rPr>
              <w:instrText xml:space="preserve"> FORMTEXT </w:instrText>
            </w:r>
            <w:r>
              <w:rPr>
                <w:b/>
                <w:color w:val="000000"/>
              </w:rPr>
            </w:r>
            <w:r>
              <w:rPr>
                <w:b/>
                <w:color w:val="000000"/>
              </w:rPr>
              <w:fldChar w:fldCharType="separate"/>
            </w:r>
            <w:r>
              <w:rPr>
                <w:b/>
                <w:noProof/>
                <w:color w:val="000000"/>
              </w:rPr>
              <w:t>Seldwyla</w:t>
            </w:r>
            <w:r>
              <w:rPr>
                <w:b/>
                <w:color w:val="000000"/>
              </w:rPr>
              <w:fldChar w:fldCharType="end"/>
            </w:r>
          </w:p>
        </w:tc>
      </w:tr>
      <w:tr w:rsidR="00C67891" w:rsidTr="00C67891">
        <w:tblPrEx>
          <w:tblCellMar>
            <w:left w:w="70" w:type="dxa"/>
            <w:right w:w="70" w:type="dxa"/>
          </w:tblCellMar>
        </w:tblPrEx>
        <w:trPr>
          <w:trHeight w:hRule="exact" w:val="240"/>
        </w:trPr>
        <w:tc>
          <w:tcPr>
            <w:tcW w:w="9216" w:type="dxa"/>
            <w:gridSpan w:val="9"/>
          </w:tcPr>
          <w:p w:rsidR="00C67891" w:rsidRDefault="00C67891"/>
        </w:tc>
      </w:tr>
      <w:tr w:rsidR="00C67891" w:rsidTr="00C67891">
        <w:tblPrEx>
          <w:tblCellMar>
            <w:left w:w="70" w:type="dxa"/>
            <w:right w:w="70" w:type="dxa"/>
          </w:tblCellMar>
        </w:tblPrEx>
        <w:trPr>
          <w:trHeight w:hRule="exact" w:val="240"/>
        </w:trPr>
        <w:tc>
          <w:tcPr>
            <w:tcW w:w="9216" w:type="dxa"/>
            <w:gridSpan w:val="9"/>
          </w:tcPr>
          <w:p w:rsidR="00C67891" w:rsidRDefault="00C67891">
            <w:r>
              <w:rPr>
                <w:b/>
              </w:rPr>
              <w:t>teilweise</w:t>
            </w:r>
            <w:r>
              <w:t xml:space="preserve"> aus der Pfandhaft zu entlassen:</w:t>
            </w:r>
          </w:p>
        </w:tc>
      </w:tr>
      <w:tr w:rsidR="00C67891" w:rsidTr="00C67891">
        <w:tblPrEx>
          <w:tblCellMar>
            <w:left w:w="70" w:type="dxa"/>
            <w:right w:w="70" w:type="dxa"/>
          </w:tblCellMar>
        </w:tblPrEx>
        <w:trPr>
          <w:trHeight w:hRule="exact" w:val="200"/>
        </w:trPr>
        <w:tc>
          <w:tcPr>
            <w:tcW w:w="9216" w:type="dxa"/>
            <w:gridSpan w:val="9"/>
          </w:tcPr>
          <w:p w:rsidR="00C67891" w:rsidRDefault="00C67891"/>
        </w:tc>
      </w:tr>
      <w:tr w:rsidR="00C67891" w:rsidTr="00C67891">
        <w:tblPrEx>
          <w:tblCellMar>
            <w:left w:w="70" w:type="dxa"/>
            <w:right w:w="70" w:type="dxa"/>
          </w:tblCellMar>
        </w:tblPrEx>
        <w:trPr>
          <w:trHeight w:hRule="exact" w:val="240"/>
        </w:trPr>
        <w:tc>
          <w:tcPr>
            <w:tcW w:w="993" w:type="dxa"/>
          </w:tcPr>
          <w:p w:rsidR="00C67891" w:rsidRDefault="00C67891">
            <w:r>
              <w:rPr>
                <w:color w:val="000000"/>
              </w:rPr>
              <w:fldChar w:fldCharType="begin">
                <w:ffData>
                  <w:name w:val="Text1"/>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c>
          <w:tcPr>
            <w:tcW w:w="2693" w:type="dxa"/>
            <w:gridSpan w:val="3"/>
          </w:tcPr>
          <w:p w:rsidR="00C67891" w:rsidRDefault="00C67891">
            <w:r>
              <w:t>m</w:t>
            </w:r>
            <w:r>
              <w:rPr>
                <w:vertAlign w:val="superscript"/>
              </w:rPr>
              <w:t>2</w:t>
            </w:r>
            <w:r>
              <w:t xml:space="preserve"> von Grundbuchblatt Nr.</w:t>
            </w:r>
          </w:p>
        </w:tc>
        <w:tc>
          <w:tcPr>
            <w:tcW w:w="1703" w:type="dxa"/>
            <w:gridSpan w:val="3"/>
          </w:tcPr>
          <w:p w:rsidR="00C67891" w:rsidRDefault="00C67891">
            <w:r>
              <w:rPr>
                <w:color w:val="000000"/>
              </w:rPr>
              <w:fldChar w:fldCharType="begin">
                <w:ffData>
                  <w:name w:val="Text1"/>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c>
          <w:tcPr>
            <w:tcW w:w="1324" w:type="dxa"/>
          </w:tcPr>
          <w:p w:rsidR="00C67891" w:rsidRDefault="00C67891">
            <w:r>
              <w:t>Gemeinde</w:t>
            </w:r>
          </w:p>
        </w:tc>
        <w:tc>
          <w:tcPr>
            <w:tcW w:w="2503" w:type="dxa"/>
          </w:tcPr>
          <w:p w:rsidR="00C67891" w:rsidRDefault="00C67891">
            <w:r>
              <w:rPr>
                <w:color w:val="000000"/>
              </w:rPr>
              <w:fldChar w:fldCharType="begin">
                <w:ffData>
                  <w:name w:val="Text1"/>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r>
      <w:tr w:rsidR="00C67891" w:rsidTr="00C67891">
        <w:tblPrEx>
          <w:tblCellMar>
            <w:left w:w="70" w:type="dxa"/>
            <w:right w:w="70" w:type="dxa"/>
          </w:tblCellMar>
        </w:tblPrEx>
        <w:trPr>
          <w:trHeight w:hRule="exact" w:val="240"/>
        </w:trPr>
        <w:tc>
          <w:tcPr>
            <w:tcW w:w="9216" w:type="dxa"/>
            <w:gridSpan w:val="9"/>
          </w:tcPr>
          <w:p w:rsidR="00C67891" w:rsidRDefault="00C67891"/>
        </w:tc>
      </w:tr>
      <w:tr w:rsidR="00C67891" w:rsidTr="00C67891">
        <w:tblPrEx>
          <w:tblCellMar>
            <w:left w:w="70" w:type="dxa"/>
            <w:right w:w="70" w:type="dxa"/>
          </w:tblCellMar>
        </w:tblPrEx>
        <w:trPr>
          <w:trHeight w:hRule="exact" w:val="240"/>
        </w:trPr>
        <w:tc>
          <w:tcPr>
            <w:tcW w:w="9216" w:type="dxa"/>
            <w:gridSpan w:val="9"/>
          </w:tcPr>
          <w:p w:rsidR="00C67891" w:rsidRDefault="00C67891">
            <w:r>
              <w:t>für folgende Grundpfandrechte:</w:t>
            </w:r>
          </w:p>
        </w:tc>
      </w:tr>
      <w:tr w:rsidR="00C67891" w:rsidTr="00C67891">
        <w:tblPrEx>
          <w:tblCellMar>
            <w:left w:w="70" w:type="dxa"/>
            <w:right w:w="70" w:type="dxa"/>
          </w:tblCellMar>
        </w:tblPrEx>
        <w:trPr>
          <w:trHeight w:hRule="exact" w:val="200"/>
        </w:trPr>
        <w:tc>
          <w:tcPr>
            <w:tcW w:w="9216" w:type="dxa"/>
            <w:gridSpan w:val="9"/>
          </w:tcPr>
          <w:p w:rsidR="00C67891" w:rsidRDefault="00C67891"/>
        </w:tc>
      </w:tr>
      <w:tr w:rsidR="00C67891" w:rsidTr="00C67891">
        <w:tblPrEx>
          <w:tblCellMar>
            <w:left w:w="70" w:type="dxa"/>
            <w:right w:w="70" w:type="dxa"/>
          </w:tblCellMar>
        </w:tblPrEx>
        <w:trPr>
          <w:cantSplit/>
        </w:trPr>
        <w:tc>
          <w:tcPr>
            <w:tcW w:w="1560" w:type="dxa"/>
            <w:gridSpan w:val="2"/>
          </w:tcPr>
          <w:p w:rsidR="00C67891" w:rsidRDefault="00C67891">
            <w:pPr>
              <w:rPr>
                <w:b/>
              </w:rPr>
            </w:pPr>
            <w:r>
              <w:rPr>
                <w:b/>
              </w:rPr>
              <w:t>Art</w:t>
            </w:r>
          </w:p>
        </w:tc>
        <w:tc>
          <w:tcPr>
            <w:tcW w:w="2695" w:type="dxa"/>
            <w:gridSpan w:val="3"/>
          </w:tcPr>
          <w:p w:rsidR="00C67891" w:rsidRDefault="00C67891">
            <w:pPr>
              <w:jc w:val="right"/>
              <w:rPr>
                <w:b/>
              </w:rPr>
            </w:pPr>
            <w:r>
              <w:rPr>
                <w:b/>
              </w:rPr>
              <w:t>Betrag in CHF</w:t>
            </w:r>
          </w:p>
        </w:tc>
        <w:tc>
          <w:tcPr>
            <w:tcW w:w="376" w:type="dxa"/>
          </w:tcPr>
          <w:p w:rsidR="00C67891" w:rsidRDefault="00C67891">
            <w:pPr>
              <w:rPr>
                <w:b/>
              </w:rPr>
            </w:pPr>
          </w:p>
        </w:tc>
        <w:tc>
          <w:tcPr>
            <w:tcW w:w="4585" w:type="dxa"/>
            <w:gridSpan w:val="3"/>
          </w:tcPr>
          <w:p w:rsidR="00C67891" w:rsidRDefault="00C67891">
            <w:pPr>
              <w:rPr>
                <w:b/>
              </w:rPr>
            </w:pPr>
            <w:r>
              <w:rPr>
                <w:b/>
              </w:rPr>
              <w:t>Titel-Identifikations-Nr. oder</w:t>
            </w:r>
          </w:p>
          <w:p w:rsidR="00C67891" w:rsidRDefault="00C67891">
            <w:pPr>
              <w:rPr>
                <w:b/>
              </w:rPr>
            </w:pPr>
            <w:proofErr w:type="spellStart"/>
            <w:r>
              <w:rPr>
                <w:b/>
              </w:rPr>
              <w:t>Litera</w:t>
            </w:r>
            <w:proofErr w:type="spellEnd"/>
            <w:r>
              <w:rPr>
                <w:b/>
              </w:rPr>
              <w:t>, Errichtungsdatum und Beleg</w:t>
            </w:r>
          </w:p>
        </w:tc>
      </w:tr>
      <w:tr w:rsidR="00C67891" w:rsidTr="00C67891">
        <w:tblPrEx>
          <w:tblCellMar>
            <w:left w:w="70" w:type="dxa"/>
            <w:right w:w="70" w:type="dxa"/>
          </w:tblCellMar>
        </w:tblPrEx>
        <w:trPr>
          <w:cantSplit/>
        </w:trPr>
        <w:tc>
          <w:tcPr>
            <w:tcW w:w="1560" w:type="dxa"/>
            <w:gridSpan w:val="2"/>
          </w:tcPr>
          <w:p w:rsidR="00C67891" w:rsidRDefault="00C67891">
            <w:pPr>
              <w:rPr>
                <w:color w:val="000000"/>
              </w:rPr>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PfV</w:t>
            </w:r>
            <w:r>
              <w:rPr>
                <w:color w:val="000000"/>
              </w:rPr>
              <w:fldChar w:fldCharType="end"/>
            </w:r>
          </w:p>
        </w:tc>
        <w:tc>
          <w:tcPr>
            <w:tcW w:w="2695" w:type="dxa"/>
            <w:gridSpan w:val="3"/>
          </w:tcPr>
          <w:p w:rsidR="00C67891" w:rsidRDefault="00C67891">
            <w:pPr>
              <w:jc w:val="right"/>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120'000.00</w:t>
            </w:r>
            <w:r>
              <w:rPr>
                <w:color w:val="000000"/>
              </w:rPr>
              <w:fldChar w:fldCharType="end"/>
            </w:r>
          </w:p>
        </w:tc>
        <w:tc>
          <w:tcPr>
            <w:tcW w:w="376" w:type="dxa"/>
          </w:tcPr>
          <w:p w:rsidR="00C67891" w:rsidRDefault="00C67891">
            <w:pPr>
              <w:rPr>
                <w:color w:val="000000"/>
              </w:rPr>
            </w:pPr>
          </w:p>
        </w:tc>
        <w:tc>
          <w:tcPr>
            <w:tcW w:w="4585" w:type="dxa"/>
            <w:gridSpan w:val="3"/>
          </w:tcPr>
          <w:p w:rsidR="00C67891" w:rsidRDefault="00C67891">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10%, vom 15.4.1998, 1998/971/0</w:t>
            </w:r>
            <w:r>
              <w:rPr>
                <w:color w:val="000000"/>
              </w:rPr>
              <w:fldChar w:fldCharType="end"/>
            </w:r>
            <w:r>
              <w:fldChar w:fldCharType="begin"/>
            </w:r>
            <w:r>
              <w:fldChar w:fldCharType="end"/>
            </w:r>
          </w:p>
        </w:tc>
      </w:tr>
      <w:tr w:rsidR="00C67891" w:rsidTr="00C67891">
        <w:tblPrEx>
          <w:tblCellMar>
            <w:left w:w="70" w:type="dxa"/>
            <w:right w:w="70" w:type="dxa"/>
          </w:tblCellMar>
        </w:tblPrEx>
        <w:trPr>
          <w:cantSplit/>
        </w:trPr>
        <w:tc>
          <w:tcPr>
            <w:tcW w:w="1560" w:type="dxa"/>
            <w:gridSpan w:val="2"/>
          </w:tcPr>
          <w:p w:rsidR="00C67891" w:rsidRDefault="00C67891">
            <w:pPr>
              <w:rPr>
                <w:color w:val="000000"/>
              </w:rPr>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c>
          <w:tcPr>
            <w:tcW w:w="2695" w:type="dxa"/>
            <w:gridSpan w:val="3"/>
          </w:tcPr>
          <w:p w:rsidR="00C67891" w:rsidRDefault="00C67891">
            <w:pPr>
              <w:jc w:val="right"/>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c>
          <w:tcPr>
            <w:tcW w:w="376" w:type="dxa"/>
          </w:tcPr>
          <w:p w:rsidR="00C67891" w:rsidRDefault="00C67891">
            <w:pPr>
              <w:rPr>
                <w:color w:val="000000"/>
              </w:rPr>
            </w:pPr>
          </w:p>
        </w:tc>
        <w:tc>
          <w:tcPr>
            <w:tcW w:w="4585" w:type="dxa"/>
            <w:gridSpan w:val="3"/>
          </w:tcPr>
          <w:p w:rsidR="00C67891" w:rsidRDefault="00C67891">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r>
              <w:fldChar w:fldCharType="begin"/>
            </w:r>
            <w:r>
              <w:fldChar w:fldCharType="end"/>
            </w:r>
          </w:p>
        </w:tc>
      </w:tr>
      <w:tr w:rsidR="00C67891" w:rsidTr="00C67891">
        <w:tblPrEx>
          <w:tblCellMar>
            <w:left w:w="70" w:type="dxa"/>
            <w:right w:w="70" w:type="dxa"/>
          </w:tblCellMar>
        </w:tblPrEx>
        <w:trPr>
          <w:trHeight w:hRule="exact" w:val="240"/>
        </w:trPr>
        <w:tc>
          <w:tcPr>
            <w:tcW w:w="9216" w:type="dxa"/>
            <w:gridSpan w:val="9"/>
          </w:tcPr>
          <w:p w:rsidR="00C67891" w:rsidRDefault="00C67891"/>
        </w:tc>
      </w:tr>
      <w:tr w:rsidR="00C67891" w:rsidTr="00C67891">
        <w:tblPrEx>
          <w:tblCellMar>
            <w:left w:w="70" w:type="dxa"/>
            <w:right w:w="70" w:type="dxa"/>
          </w:tblCellMar>
        </w:tblPrEx>
        <w:trPr>
          <w:trHeight w:hRule="exact" w:val="480"/>
        </w:trPr>
        <w:tc>
          <w:tcPr>
            <w:tcW w:w="9216" w:type="dxa"/>
            <w:gridSpan w:val="9"/>
          </w:tcPr>
          <w:p w:rsidR="00C67891" w:rsidRDefault="00C67891">
            <w:r>
              <w:t>Auf den übrigen Grundstücken bzw. Restgrundstücken bleiben die Pfandrechte unverändert bestehen.</w:t>
            </w:r>
          </w:p>
        </w:tc>
      </w:tr>
      <w:tr w:rsidR="00C67891" w:rsidTr="00C67891">
        <w:tblPrEx>
          <w:tblCellMar>
            <w:left w:w="70" w:type="dxa"/>
            <w:right w:w="70" w:type="dxa"/>
          </w:tblCellMar>
        </w:tblPrEx>
        <w:trPr>
          <w:trHeight w:hRule="exact" w:val="240"/>
        </w:trPr>
        <w:tc>
          <w:tcPr>
            <w:tcW w:w="4255" w:type="dxa"/>
            <w:gridSpan w:val="5"/>
          </w:tcPr>
          <w:p w:rsidR="00C67891" w:rsidRDefault="00C67891">
            <w:pPr>
              <w:tabs>
                <w:tab w:val="left" w:pos="2836"/>
              </w:tabs>
            </w:pPr>
            <w:r>
              <w:t xml:space="preserve">Ort/Datum: </w:t>
            </w: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c>
          <w:tcPr>
            <w:tcW w:w="4961" w:type="dxa"/>
            <w:gridSpan w:val="4"/>
          </w:tcPr>
          <w:p w:rsidR="00C67891" w:rsidRDefault="00C67891">
            <w:pPr>
              <w:tabs>
                <w:tab w:val="left" w:pos="2836"/>
              </w:tabs>
            </w:pPr>
            <w:r>
              <w:rPr>
                <w:b/>
              </w:rPr>
              <w:t xml:space="preserve">Der/Die Grundpfand-/Faustpfandgläubiger/in: </w:t>
            </w:r>
            <w:r>
              <w:rPr>
                <w:position w:val="6"/>
                <w:sz w:val="16"/>
              </w:rPr>
              <w:t>1)</w:t>
            </w:r>
          </w:p>
        </w:tc>
      </w:tr>
      <w:tr w:rsidR="00C67891" w:rsidTr="00C67891">
        <w:tblPrEx>
          <w:tblCellMar>
            <w:left w:w="70" w:type="dxa"/>
            <w:right w:w="70" w:type="dxa"/>
          </w:tblCellMar>
        </w:tblPrEx>
        <w:trPr>
          <w:trHeight w:hRule="exact" w:val="240"/>
        </w:trPr>
        <w:tc>
          <w:tcPr>
            <w:tcW w:w="4255" w:type="dxa"/>
            <w:gridSpan w:val="5"/>
          </w:tcPr>
          <w:p w:rsidR="00C67891" w:rsidRDefault="00C67891">
            <w:pPr>
              <w:tabs>
                <w:tab w:val="left" w:pos="2836"/>
              </w:tabs>
            </w:pPr>
            <w:r>
              <w:t>Bemerkungen/Beilagen:</w:t>
            </w:r>
          </w:p>
        </w:tc>
        <w:tc>
          <w:tcPr>
            <w:tcW w:w="4961" w:type="dxa"/>
            <w:gridSpan w:val="4"/>
          </w:tcPr>
          <w:p w:rsidR="00C67891" w:rsidRDefault="00C67891">
            <w:pPr>
              <w:tabs>
                <w:tab w:val="left" w:pos="2836"/>
              </w:tabs>
            </w:pPr>
            <w:r>
              <w:rPr>
                <w:sz w:val="16"/>
              </w:rPr>
              <w:t>(Name, Adresse und Unterschrift)</w:t>
            </w:r>
          </w:p>
        </w:tc>
      </w:tr>
      <w:tr w:rsidR="00C67891" w:rsidTr="00C67891">
        <w:tblPrEx>
          <w:tblCellMar>
            <w:left w:w="70" w:type="dxa"/>
            <w:right w:w="70" w:type="dxa"/>
          </w:tblCellMar>
        </w:tblPrEx>
        <w:trPr>
          <w:trHeight w:hRule="exact" w:val="1480"/>
        </w:trPr>
        <w:tc>
          <w:tcPr>
            <w:tcW w:w="4255" w:type="dxa"/>
            <w:gridSpan w:val="5"/>
          </w:tcPr>
          <w:p w:rsidR="00C67891" w:rsidRDefault="00C67891">
            <w:pPr>
              <w:tabs>
                <w:tab w:val="left" w:pos="2836"/>
              </w:tabs>
              <w:rPr>
                <w:position w:val="6"/>
              </w:rPr>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c>
          <w:tcPr>
            <w:tcW w:w="4961" w:type="dxa"/>
            <w:gridSpan w:val="4"/>
          </w:tcPr>
          <w:p w:rsidR="00C67891" w:rsidRDefault="00C67891">
            <w:pPr>
              <w:tabs>
                <w:tab w:val="left" w:pos="2836"/>
              </w:tabs>
              <w:rPr>
                <w:position w:val="6"/>
              </w:rPr>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Bernische Stiftung für Agrarkredite:</w:t>
            </w:r>
            <w:r>
              <w:rPr>
                <w:color w:val="000000"/>
              </w:rPr>
              <w:fldChar w:fldCharType="end"/>
            </w:r>
          </w:p>
        </w:tc>
      </w:tr>
      <w:tr w:rsidR="00C67891" w:rsidTr="00C67891">
        <w:tblPrEx>
          <w:tblCellMar>
            <w:left w:w="70" w:type="dxa"/>
            <w:right w:w="70" w:type="dxa"/>
          </w:tblCellMar>
        </w:tblPrEx>
        <w:trPr>
          <w:trHeight w:hRule="exact" w:val="240"/>
        </w:trPr>
        <w:tc>
          <w:tcPr>
            <w:tcW w:w="9216" w:type="dxa"/>
            <w:gridSpan w:val="9"/>
            <w:tcBorders>
              <w:top w:val="single" w:sz="6" w:space="0" w:color="auto"/>
            </w:tcBorders>
          </w:tcPr>
          <w:p w:rsidR="00C67891" w:rsidRDefault="00C67891"/>
        </w:tc>
      </w:tr>
      <w:tr w:rsidR="00C67891" w:rsidTr="00C67891">
        <w:tblPrEx>
          <w:tblCellMar>
            <w:left w:w="70" w:type="dxa"/>
            <w:right w:w="70" w:type="dxa"/>
          </w:tblCellMar>
        </w:tblPrEx>
        <w:trPr>
          <w:trHeight w:hRule="exact" w:val="240"/>
        </w:trPr>
        <w:tc>
          <w:tcPr>
            <w:tcW w:w="9216" w:type="dxa"/>
            <w:gridSpan w:val="9"/>
          </w:tcPr>
          <w:p w:rsidR="00C67891" w:rsidRDefault="00C67891">
            <w:pPr>
              <w:rPr>
                <w:b/>
              </w:rPr>
            </w:pPr>
            <w:r>
              <w:rPr>
                <w:b/>
              </w:rPr>
              <w:t xml:space="preserve">Eintragungsbewilligung </w:t>
            </w:r>
            <w:r>
              <w:rPr>
                <w:vertAlign w:val="superscript"/>
              </w:rPr>
              <w:t>2)</w:t>
            </w:r>
          </w:p>
        </w:tc>
      </w:tr>
      <w:tr w:rsidR="00C67891" w:rsidTr="00C67891">
        <w:tblPrEx>
          <w:tblCellMar>
            <w:left w:w="70" w:type="dxa"/>
            <w:right w:w="70" w:type="dxa"/>
          </w:tblCellMar>
        </w:tblPrEx>
        <w:trPr>
          <w:trHeight w:hRule="exact" w:val="200"/>
        </w:trPr>
        <w:tc>
          <w:tcPr>
            <w:tcW w:w="9216" w:type="dxa"/>
            <w:gridSpan w:val="9"/>
          </w:tcPr>
          <w:p w:rsidR="00C67891" w:rsidRDefault="00C67891"/>
        </w:tc>
      </w:tr>
      <w:tr w:rsidR="00C67891" w:rsidTr="00C67891">
        <w:tblPrEx>
          <w:tblCellMar>
            <w:left w:w="70" w:type="dxa"/>
            <w:right w:w="70" w:type="dxa"/>
          </w:tblCellMar>
        </w:tblPrEx>
        <w:trPr>
          <w:trHeight w:hRule="exact" w:val="480"/>
        </w:trPr>
        <w:tc>
          <w:tcPr>
            <w:tcW w:w="9216" w:type="dxa"/>
            <w:gridSpan w:val="9"/>
          </w:tcPr>
          <w:p w:rsidR="00C67891" w:rsidRDefault="00C67891">
            <w:r>
              <w:t>Zur beantragten Änderung wird die Bewilligung erteilt; auf die Eintragung einer leeren Pfan</w:t>
            </w:r>
            <w:r>
              <w:t>d</w:t>
            </w:r>
            <w:r>
              <w:t>stelle wird verzichtet.</w:t>
            </w:r>
          </w:p>
        </w:tc>
      </w:tr>
      <w:tr w:rsidR="00C67891" w:rsidTr="00C67891">
        <w:tblPrEx>
          <w:tblCellMar>
            <w:left w:w="70" w:type="dxa"/>
            <w:right w:w="70" w:type="dxa"/>
          </w:tblCellMar>
        </w:tblPrEx>
        <w:trPr>
          <w:trHeight w:hRule="exact" w:val="200"/>
        </w:trPr>
        <w:tc>
          <w:tcPr>
            <w:tcW w:w="9216" w:type="dxa"/>
            <w:gridSpan w:val="9"/>
          </w:tcPr>
          <w:p w:rsidR="00C67891" w:rsidRDefault="00C67891"/>
        </w:tc>
      </w:tr>
      <w:tr w:rsidR="00C67891" w:rsidTr="00C67891">
        <w:tblPrEx>
          <w:tblCellMar>
            <w:left w:w="70" w:type="dxa"/>
            <w:right w:w="70" w:type="dxa"/>
          </w:tblCellMar>
        </w:tblPrEx>
        <w:trPr>
          <w:trHeight w:hRule="exact" w:val="240"/>
        </w:trPr>
        <w:tc>
          <w:tcPr>
            <w:tcW w:w="5389" w:type="dxa"/>
            <w:gridSpan w:val="7"/>
          </w:tcPr>
          <w:p w:rsidR="00C67891" w:rsidRDefault="00C67891">
            <w:r>
              <w:t xml:space="preserve">Ort/Datum: </w:t>
            </w: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c>
          <w:tcPr>
            <w:tcW w:w="3827" w:type="dxa"/>
            <w:gridSpan w:val="2"/>
          </w:tcPr>
          <w:p w:rsidR="00C67891" w:rsidRDefault="00C67891">
            <w:r>
              <w:rPr>
                <w:b/>
              </w:rPr>
              <w:t>Der/Die Eigentümer/in:</w:t>
            </w:r>
          </w:p>
        </w:tc>
      </w:tr>
      <w:tr w:rsidR="00C67891" w:rsidTr="00C67891">
        <w:tblPrEx>
          <w:tblCellMar>
            <w:left w:w="70" w:type="dxa"/>
            <w:right w:w="70" w:type="dxa"/>
          </w:tblCellMar>
        </w:tblPrEx>
        <w:trPr>
          <w:trHeight w:hRule="exact" w:val="1800"/>
        </w:trPr>
        <w:tc>
          <w:tcPr>
            <w:tcW w:w="5389" w:type="dxa"/>
            <w:gridSpan w:val="7"/>
          </w:tcPr>
          <w:p w:rsidR="00C67891" w:rsidRDefault="00C67891"/>
          <w:p w:rsidR="00C67891" w:rsidRDefault="00C67891"/>
          <w:p w:rsidR="00C67891" w:rsidRDefault="00C67891"/>
          <w:p w:rsidR="00C67891" w:rsidRDefault="00C67891">
            <w:r>
              <w:t>Taxpunkte          _____________</w:t>
            </w:r>
          </w:p>
          <w:p w:rsidR="00C67891" w:rsidRDefault="00C67891">
            <w:pPr>
              <w:rPr>
                <w:sz w:val="16"/>
              </w:rPr>
            </w:pPr>
          </w:p>
          <w:p w:rsidR="00C67891" w:rsidRDefault="00C67891">
            <w:pPr>
              <w:rPr>
                <w:b/>
              </w:rPr>
            </w:pPr>
            <w:r>
              <w:rPr>
                <w:b/>
              </w:rPr>
              <w:t>Gebühren CHF  _____________</w:t>
            </w:r>
          </w:p>
          <w:p w:rsidR="00C67891" w:rsidRDefault="00C67891">
            <w:pPr>
              <w:rPr>
                <w:sz w:val="18"/>
              </w:rPr>
            </w:pPr>
          </w:p>
          <w:p w:rsidR="00C67891" w:rsidRDefault="00C67891">
            <w:r>
              <w:rPr>
                <w:sz w:val="18"/>
              </w:rPr>
              <w:t>verrechnet auf Beleg</w:t>
            </w:r>
          </w:p>
        </w:tc>
        <w:tc>
          <w:tcPr>
            <w:tcW w:w="3827" w:type="dxa"/>
            <w:gridSpan w:val="2"/>
          </w:tcPr>
          <w:p w:rsidR="00C67891" w:rsidRDefault="00C67891">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r>
    </w:tbl>
    <w:p w:rsidR="00C67891" w:rsidRDefault="00C67891">
      <w:pPr>
        <w:rPr>
          <w:sz w:val="10"/>
        </w:rPr>
      </w:pPr>
    </w:p>
    <w:p w:rsidR="00902C4B" w:rsidRDefault="00902C4B" w:rsidP="00902C4B">
      <w:pPr>
        <w:rPr>
          <w:szCs w:val="22"/>
        </w:rPr>
      </w:pPr>
    </w:p>
    <w:p w:rsidR="00902C4B" w:rsidRDefault="00902C4B" w:rsidP="00902C4B">
      <w:pPr>
        <w:spacing w:after="200"/>
        <w:rPr>
          <w:szCs w:val="22"/>
        </w:rPr>
      </w:pPr>
      <w:r>
        <w:rPr>
          <w:szCs w:val="22"/>
        </w:rPr>
        <w:br w:type="page"/>
      </w:r>
    </w:p>
    <w:tbl>
      <w:tblPr>
        <w:tblW w:w="0" w:type="auto"/>
        <w:tblInd w:w="54" w:type="dxa"/>
        <w:tblLayout w:type="fixed"/>
        <w:tblCellMar>
          <w:left w:w="56" w:type="dxa"/>
          <w:right w:w="56" w:type="dxa"/>
        </w:tblCellMar>
        <w:tblLook w:val="0000" w:firstRow="0" w:lastRow="0" w:firstColumn="0" w:lastColumn="0" w:noHBand="0" w:noVBand="0"/>
      </w:tblPr>
      <w:tblGrid>
        <w:gridCol w:w="993"/>
        <w:gridCol w:w="567"/>
        <w:gridCol w:w="692"/>
        <w:gridCol w:w="1434"/>
        <w:gridCol w:w="569"/>
        <w:gridCol w:w="376"/>
        <w:gridCol w:w="758"/>
        <w:gridCol w:w="1324"/>
        <w:gridCol w:w="2503"/>
      </w:tblGrid>
      <w:tr w:rsidR="00C67891" w:rsidTr="00C67891">
        <w:trPr>
          <w:cantSplit/>
          <w:trHeight w:hRule="exact" w:val="907"/>
        </w:trPr>
        <w:tc>
          <w:tcPr>
            <w:tcW w:w="4255" w:type="dxa"/>
            <w:gridSpan w:val="5"/>
          </w:tcPr>
          <w:p w:rsidR="00C67891" w:rsidRDefault="00C67891">
            <w:pPr>
              <w:rPr>
                <w:b/>
                <w:sz w:val="28"/>
              </w:rPr>
            </w:pPr>
            <w:r>
              <w:rPr>
                <w:b/>
                <w:sz w:val="28"/>
              </w:rPr>
              <w:lastRenderedPageBreak/>
              <w:t>Pfandentlassungsbewilligung</w:t>
            </w:r>
          </w:p>
          <w:p w:rsidR="00C67891" w:rsidRDefault="00C67891">
            <w:pPr>
              <w:rPr>
                <w:b/>
              </w:rPr>
            </w:pPr>
          </w:p>
          <w:p w:rsidR="00C67891" w:rsidRDefault="00C67891">
            <w:pPr>
              <w:rPr>
                <w:b/>
                <w:sz w:val="18"/>
              </w:rPr>
            </w:pPr>
            <w:r>
              <w:rPr>
                <w:b/>
              </w:rPr>
              <w:t>an das Grundbuchamt</w:t>
            </w:r>
          </w:p>
        </w:tc>
        <w:tc>
          <w:tcPr>
            <w:tcW w:w="1134" w:type="dxa"/>
            <w:gridSpan w:val="2"/>
          </w:tcPr>
          <w:p w:rsidR="00C67891" w:rsidRDefault="00C67891"/>
        </w:tc>
        <w:tc>
          <w:tcPr>
            <w:tcW w:w="3827" w:type="dxa"/>
            <w:gridSpan w:val="2"/>
          </w:tcPr>
          <w:p w:rsidR="00C67891" w:rsidRDefault="00C67891">
            <w:r>
              <w:t xml:space="preserve">Beleg Nr. </w:t>
            </w:r>
          </w:p>
          <w:p w:rsidR="00C67891" w:rsidRDefault="00C67891">
            <w:pPr>
              <w:rPr>
                <w:sz w:val="16"/>
              </w:rPr>
            </w:pPr>
          </w:p>
          <w:p w:rsidR="00C67891" w:rsidRDefault="00C67891">
            <w:r>
              <w:t>Eingang</w:t>
            </w:r>
          </w:p>
        </w:tc>
      </w:tr>
      <w:tr w:rsidR="00C67891" w:rsidTr="00C67891">
        <w:tblPrEx>
          <w:tblCellMar>
            <w:left w:w="70" w:type="dxa"/>
            <w:right w:w="70" w:type="dxa"/>
          </w:tblCellMar>
        </w:tblPrEx>
        <w:trPr>
          <w:trHeight w:hRule="exact" w:val="240"/>
        </w:trPr>
        <w:tc>
          <w:tcPr>
            <w:tcW w:w="9216" w:type="dxa"/>
            <w:gridSpan w:val="9"/>
          </w:tcPr>
          <w:p w:rsidR="00C67891" w:rsidRDefault="00C67891">
            <w:pPr>
              <w:pStyle w:val="Betreff"/>
              <w:spacing w:before="0" w:after="0"/>
              <w:rPr>
                <w:rFonts w:ascii="Arial" w:hAnsi="Arial"/>
                <w:b w:val="0"/>
                <w:sz w:val="20"/>
              </w:rPr>
            </w:pPr>
          </w:p>
        </w:tc>
      </w:tr>
      <w:tr w:rsidR="00C67891" w:rsidTr="00C67891">
        <w:tblPrEx>
          <w:tblCellMar>
            <w:left w:w="70" w:type="dxa"/>
            <w:right w:w="70" w:type="dxa"/>
          </w:tblCellMar>
        </w:tblPrEx>
        <w:trPr>
          <w:trHeight w:hRule="exact" w:val="400"/>
        </w:trPr>
        <w:tc>
          <w:tcPr>
            <w:tcW w:w="9216" w:type="dxa"/>
            <w:gridSpan w:val="9"/>
          </w:tcPr>
          <w:p w:rsidR="00C67891" w:rsidRDefault="00C67891">
            <w:pPr>
              <w:pStyle w:val="Betreff"/>
              <w:spacing w:before="0" w:after="0"/>
              <w:rPr>
                <w:rFonts w:ascii="Arial" w:hAnsi="Arial"/>
                <w:b w:val="0"/>
                <w:sz w:val="20"/>
              </w:rPr>
            </w:pPr>
            <w:r>
              <w:rPr>
                <w:rFonts w:ascii="Arial" w:hAnsi="Arial"/>
                <w:b w:val="0"/>
                <w:sz w:val="20"/>
              </w:rPr>
              <w:t>Der/Die Unterzeichnende erteilt seine/ihre Einwilligung, folgende Grundstücke</w:t>
            </w:r>
          </w:p>
        </w:tc>
      </w:tr>
      <w:tr w:rsidR="00C67891" w:rsidTr="00C67891">
        <w:tblPrEx>
          <w:tblCellMar>
            <w:left w:w="70" w:type="dxa"/>
            <w:right w:w="70" w:type="dxa"/>
          </w:tblCellMar>
        </w:tblPrEx>
        <w:trPr>
          <w:cantSplit/>
          <w:trHeight w:hRule="exact" w:val="720"/>
        </w:trPr>
        <w:tc>
          <w:tcPr>
            <w:tcW w:w="2252" w:type="dxa"/>
            <w:gridSpan w:val="3"/>
          </w:tcPr>
          <w:p w:rsidR="00C67891" w:rsidRDefault="00C67891">
            <w:pPr>
              <w:pStyle w:val="Betreff"/>
              <w:tabs>
                <w:tab w:val="left" w:pos="2269"/>
              </w:tabs>
              <w:spacing w:before="0" w:after="0"/>
              <w:rPr>
                <w:rFonts w:ascii="Arial" w:hAnsi="Arial"/>
                <w:b w:val="0"/>
                <w:sz w:val="20"/>
              </w:rPr>
            </w:pPr>
            <w:r>
              <w:rPr>
                <w:rFonts w:ascii="Arial" w:hAnsi="Arial"/>
                <w:b w:val="0"/>
                <w:sz w:val="20"/>
              </w:rPr>
              <w:t xml:space="preserve">im Eigentum von </w:t>
            </w:r>
          </w:p>
        </w:tc>
        <w:tc>
          <w:tcPr>
            <w:tcW w:w="6964" w:type="dxa"/>
            <w:gridSpan w:val="6"/>
          </w:tcPr>
          <w:p w:rsidR="00C67891" w:rsidRDefault="00C67891">
            <w:r>
              <w:rPr>
                <w:b/>
                <w:color w:val="000000"/>
              </w:rPr>
              <w:fldChar w:fldCharType="begin">
                <w:ffData>
                  <w:name w:val="Text1"/>
                  <w:enabled/>
                  <w:calcOnExit w:val="0"/>
                  <w:textInput/>
                </w:ffData>
              </w:fldChar>
            </w:r>
            <w:r>
              <w:rPr>
                <w:b/>
                <w:color w:val="000000"/>
              </w:rPr>
              <w:instrText xml:space="preserve"> FORMTEXT </w:instrText>
            </w:r>
            <w:r>
              <w:rPr>
                <w:b/>
                <w:color w:val="000000"/>
              </w:rPr>
            </w:r>
            <w:r>
              <w:rPr>
                <w:b/>
                <w:color w:val="000000"/>
              </w:rPr>
              <w:fldChar w:fldCharType="separate"/>
            </w:r>
            <w:r>
              <w:rPr>
                <w:b/>
                <w:noProof/>
                <w:color w:val="000000"/>
              </w:rPr>
              <w:t>Muster Max</w:t>
            </w:r>
            <w:r>
              <w:rPr>
                <w:b/>
                <w:color w:val="000000"/>
              </w:rPr>
              <w:fldChar w:fldCharType="end"/>
            </w:r>
          </w:p>
        </w:tc>
      </w:tr>
      <w:tr w:rsidR="00C67891" w:rsidTr="00C67891">
        <w:tblPrEx>
          <w:tblCellMar>
            <w:left w:w="70" w:type="dxa"/>
            <w:right w:w="70" w:type="dxa"/>
          </w:tblCellMar>
        </w:tblPrEx>
        <w:trPr>
          <w:trHeight w:hRule="exact" w:val="240"/>
        </w:trPr>
        <w:tc>
          <w:tcPr>
            <w:tcW w:w="9216" w:type="dxa"/>
            <w:gridSpan w:val="9"/>
          </w:tcPr>
          <w:p w:rsidR="00C67891" w:rsidRDefault="00C67891">
            <w:r>
              <w:rPr>
                <w:b/>
              </w:rPr>
              <w:t>ganz</w:t>
            </w:r>
            <w:r>
              <w:t xml:space="preserve"> aus der Pfandhaft zu entlassen:</w:t>
            </w:r>
          </w:p>
        </w:tc>
      </w:tr>
      <w:tr w:rsidR="00C67891" w:rsidTr="00C67891">
        <w:tblPrEx>
          <w:tblCellMar>
            <w:left w:w="70" w:type="dxa"/>
            <w:right w:w="70" w:type="dxa"/>
          </w:tblCellMar>
        </w:tblPrEx>
        <w:trPr>
          <w:trHeight w:hRule="exact" w:val="200"/>
        </w:trPr>
        <w:tc>
          <w:tcPr>
            <w:tcW w:w="9216" w:type="dxa"/>
            <w:gridSpan w:val="9"/>
          </w:tcPr>
          <w:p w:rsidR="00C67891" w:rsidRDefault="00C67891"/>
        </w:tc>
      </w:tr>
      <w:tr w:rsidR="00C67891" w:rsidTr="00C67891">
        <w:tblPrEx>
          <w:tblCellMar>
            <w:left w:w="70" w:type="dxa"/>
            <w:right w:w="70" w:type="dxa"/>
          </w:tblCellMar>
        </w:tblPrEx>
        <w:trPr>
          <w:trHeight w:hRule="exact" w:val="360"/>
        </w:trPr>
        <w:tc>
          <w:tcPr>
            <w:tcW w:w="2252" w:type="dxa"/>
            <w:gridSpan w:val="3"/>
          </w:tcPr>
          <w:p w:rsidR="00C67891" w:rsidRDefault="00C67891">
            <w:pPr>
              <w:pStyle w:val="Betreff"/>
              <w:tabs>
                <w:tab w:val="clear" w:pos="5800"/>
              </w:tabs>
              <w:spacing w:before="0" w:after="0"/>
              <w:rPr>
                <w:rFonts w:ascii="Arial" w:hAnsi="Arial"/>
                <w:b w:val="0"/>
                <w:sz w:val="20"/>
              </w:rPr>
            </w:pPr>
            <w:r>
              <w:rPr>
                <w:rFonts w:ascii="Arial" w:hAnsi="Arial"/>
                <w:b w:val="0"/>
                <w:sz w:val="20"/>
              </w:rPr>
              <w:t>Grundbuchblatt Nr.</w:t>
            </w:r>
          </w:p>
        </w:tc>
        <w:tc>
          <w:tcPr>
            <w:tcW w:w="6964" w:type="dxa"/>
            <w:gridSpan w:val="6"/>
          </w:tcPr>
          <w:p w:rsidR="00C67891" w:rsidRDefault="00C67891">
            <w:r>
              <w:rPr>
                <w:b/>
                <w:color w:val="000000"/>
              </w:rPr>
              <w:fldChar w:fldCharType="begin">
                <w:ffData>
                  <w:name w:val="Text1"/>
                  <w:enabled/>
                  <w:calcOnExit w:val="0"/>
                  <w:textInput/>
                </w:ffData>
              </w:fldChar>
            </w:r>
            <w:r>
              <w:rPr>
                <w:b/>
                <w:color w:val="000000"/>
              </w:rPr>
              <w:instrText xml:space="preserve"> FORMTEXT </w:instrText>
            </w:r>
            <w:r>
              <w:rPr>
                <w:b/>
                <w:color w:val="000000"/>
              </w:rPr>
            </w:r>
            <w:r>
              <w:rPr>
                <w:b/>
                <w:color w:val="000000"/>
              </w:rPr>
              <w:fldChar w:fldCharType="separate"/>
            </w:r>
            <w:r>
              <w:rPr>
                <w:b/>
                <w:noProof/>
                <w:color w:val="000000"/>
              </w:rPr>
              <w:t>483-2</w:t>
            </w:r>
            <w:r>
              <w:rPr>
                <w:b/>
                <w:color w:val="000000"/>
              </w:rPr>
              <w:fldChar w:fldCharType="end"/>
            </w:r>
          </w:p>
        </w:tc>
      </w:tr>
      <w:tr w:rsidR="00C67891" w:rsidTr="00C67891">
        <w:tblPrEx>
          <w:tblCellMar>
            <w:left w:w="70" w:type="dxa"/>
            <w:right w:w="70" w:type="dxa"/>
          </w:tblCellMar>
        </w:tblPrEx>
        <w:trPr>
          <w:trHeight w:hRule="exact" w:val="360"/>
        </w:trPr>
        <w:tc>
          <w:tcPr>
            <w:tcW w:w="2252" w:type="dxa"/>
            <w:gridSpan w:val="3"/>
          </w:tcPr>
          <w:p w:rsidR="00C67891" w:rsidRDefault="00C67891">
            <w:pPr>
              <w:pStyle w:val="Betreff"/>
              <w:tabs>
                <w:tab w:val="clear" w:pos="5800"/>
              </w:tabs>
              <w:spacing w:before="0" w:after="0"/>
              <w:rPr>
                <w:rFonts w:ascii="Arial" w:hAnsi="Arial"/>
                <w:b w:val="0"/>
                <w:sz w:val="20"/>
              </w:rPr>
            </w:pPr>
            <w:r>
              <w:rPr>
                <w:rFonts w:ascii="Arial" w:hAnsi="Arial"/>
                <w:b w:val="0"/>
                <w:sz w:val="20"/>
              </w:rPr>
              <w:t xml:space="preserve">der Gemeinde </w:t>
            </w:r>
          </w:p>
        </w:tc>
        <w:tc>
          <w:tcPr>
            <w:tcW w:w="6964" w:type="dxa"/>
            <w:gridSpan w:val="6"/>
          </w:tcPr>
          <w:p w:rsidR="00C67891" w:rsidRDefault="00C67891">
            <w:r>
              <w:rPr>
                <w:b/>
                <w:color w:val="000000"/>
              </w:rPr>
              <w:fldChar w:fldCharType="begin">
                <w:ffData>
                  <w:name w:val="Text1"/>
                  <w:enabled/>
                  <w:calcOnExit w:val="0"/>
                  <w:textInput/>
                </w:ffData>
              </w:fldChar>
            </w:r>
            <w:r>
              <w:rPr>
                <w:b/>
                <w:color w:val="000000"/>
              </w:rPr>
              <w:instrText xml:space="preserve"> FORMTEXT </w:instrText>
            </w:r>
            <w:r>
              <w:rPr>
                <w:b/>
                <w:color w:val="000000"/>
              </w:rPr>
            </w:r>
            <w:r>
              <w:rPr>
                <w:b/>
                <w:color w:val="000000"/>
              </w:rPr>
              <w:fldChar w:fldCharType="separate"/>
            </w:r>
            <w:r>
              <w:rPr>
                <w:b/>
                <w:noProof/>
                <w:color w:val="000000"/>
              </w:rPr>
              <w:t>Seldwyla</w:t>
            </w:r>
            <w:r>
              <w:rPr>
                <w:b/>
                <w:color w:val="000000"/>
              </w:rPr>
              <w:fldChar w:fldCharType="end"/>
            </w:r>
          </w:p>
        </w:tc>
      </w:tr>
      <w:tr w:rsidR="00C67891" w:rsidTr="00C67891">
        <w:tblPrEx>
          <w:tblCellMar>
            <w:left w:w="70" w:type="dxa"/>
            <w:right w:w="70" w:type="dxa"/>
          </w:tblCellMar>
        </w:tblPrEx>
        <w:trPr>
          <w:trHeight w:hRule="exact" w:val="240"/>
        </w:trPr>
        <w:tc>
          <w:tcPr>
            <w:tcW w:w="9216" w:type="dxa"/>
            <w:gridSpan w:val="9"/>
          </w:tcPr>
          <w:p w:rsidR="00C67891" w:rsidRDefault="00C67891"/>
        </w:tc>
      </w:tr>
      <w:tr w:rsidR="00C67891" w:rsidTr="00C67891">
        <w:tblPrEx>
          <w:tblCellMar>
            <w:left w:w="70" w:type="dxa"/>
            <w:right w:w="70" w:type="dxa"/>
          </w:tblCellMar>
        </w:tblPrEx>
        <w:trPr>
          <w:trHeight w:hRule="exact" w:val="240"/>
        </w:trPr>
        <w:tc>
          <w:tcPr>
            <w:tcW w:w="9216" w:type="dxa"/>
            <w:gridSpan w:val="9"/>
          </w:tcPr>
          <w:p w:rsidR="00C67891" w:rsidRDefault="00C67891">
            <w:r>
              <w:rPr>
                <w:b/>
              </w:rPr>
              <w:t>teilweise</w:t>
            </w:r>
            <w:r>
              <w:t xml:space="preserve"> aus der Pfandhaft zu entlassen:</w:t>
            </w:r>
          </w:p>
        </w:tc>
      </w:tr>
      <w:tr w:rsidR="00C67891" w:rsidTr="00C67891">
        <w:tblPrEx>
          <w:tblCellMar>
            <w:left w:w="70" w:type="dxa"/>
            <w:right w:w="70" w:type="dxa"/>
          </w:tblCellMar>
        </w:tblPrEx>
        <w:trPr>
          <w:trHeight w:hRule="exact" w:val="200"/>
        </w:trPr>
        <w:tc>
          <w:tcPr>
            <w:tcW w:w="9216" w:type="dxa"/>
            <w:gridSpan w:val="9"/>
          </w:tcPr>
          <w:p w:rsidR="00C67891" w:rsidRDefault="00C67891"/>
        </w:tc>
      </w:tr>
      <w:tr w:rsidR="00C67891" w:rsidTr="00C67891">
        <w:tblPrEx>
          <w:tblCellMar>
            <w:left w:w="70" w:type="dxa"/>
            <w:right w:w="70" w:type="dxa"/>
          </w:tblCellMar>
        </w:tblPrEx>
        <w:trPr>
          <w:trHeight w:hRule="exact" w:val="240"/>
        </w:trPr>
        <w:tc>
          <w:tcPr>
            <w:tcW w:w="993" w:type="dxa"/>
          </w:tcPr>
          <w:p w:rsidR="00C67891" w:rsidRDefault="00C67891">
            <w:r>
              <w:rPr>
                <w:color w:val="000000"/>
              </w:rPr>
              <w:fldChar w:fldCharType="begin">
                <w:ffData>
                  <w:name w:val="Text1"/>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c>
          <w:tcPr>
            <w:tcW w:w="2693" w:type="dxa"/>
            <w:gridSpan w:val="3"/>
          </w:tcPr>
          <w:p w:rsidR="00C67891" w:rsidRDefault="00C67891">
            <w:r>
              <w:t>m</w:t>
            </w:r>
            <w:r>
              <w:rPr>
                <w:vertAlign w:val="superscript"/>
              </w:rPr>
              <w:t>2</w:t>
            </w:r>
            <w:r>
              <w:t xml:space="preserve"> von Grundbuchblatt Nr.</w:t>
            </w:r>
          </w:p>
        </w:tc>
        <w:tc>
          <w:tcPr>
            <w:tcW w:w="1703" w:type="dxa"/>
            <w:gridSpan w:val="3"/>
          </w:tcPr>
          <w:p w:rsidR="00C67891" w:rsidRDefault="00C67891">
            <w:r>
              <w:rPr>
                <w:color w:val="000000"/>
              </w:rPr>
              <w:fldChar w:fldCharType="begin">
                <w:ffData>
                  <w:name w:val="Text1"/>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c>
          <w:tcPr>
            <w:tcW w:w="1324" w:type="dxa"/>
          </w:tcPr>
          <w:p w:rsidR="00C67891" w:rsidRDefault="00C67891">
            <w:r>
              <w:t>Gemeinde</w:t>
            </w:r>
          </w:p>
        </w:tc>
        <w:tc>
          <w:tcPr>
            <w:tcW w:w="2503" w:type="dxa"/>
          </w:tcPr>
          <w:p w:rsidR="00C67891" w:rsidRDefault="00C67891">
            <w:r>
              <w:rPr>
                <w:color w:val="000000"/>
              </w:rPr>
              <w:fldChar w:fldCharType="begin">
                <w:ffData>
                  <w:name w:val="Text1"/>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r>
      <w:tr w:rsidR="00C67891" w:rsidTr="00C67891">
        <w:tblPrEx>
          <w:tblCellMar>
            <w:left w:w="70" w:type="dxa"/>
            <w:right w:w="70" w:type="dxa"/>
          </w:tblCellMar>
        </w:tblPrEx>
        <w:trPr>
          <w:trHeight w:hRule="exact" w:val="240"/>
        </w:trPr>
        <w:tc>
          <w:tcPr>
            <w:tcW w:w="9216" w:type="dxa"/>
            <w:gridSpan w:val="9"/>
          </w:tcPr>
          <w:p w:rsidR="00C67891" w:rsidRDefault="00C67891"/>
        </w:tc>
      </w:tr>
      <w:tr w:rsidR="00C67891" w:rsidTr="00C67891">
        <w:tblPrEx>
          <w:tblCellMar>
            <w:left w:w="70" w:type="dxa"/>
            <w:right w:w="70" w:type="dxa"/>
          </w:tblCellMar>
        </w:tblPrEx>
        <w:trPr>
          <w:trHeight w:hRule="exact" w:val="240"/>
        </w:trPr>
        <w:tc>
          <w:tcPr>
            <w:tcW w:w="9216" w:type="dxa"/>
            <w:gridSpan w:val="9"/>
          </w:tcPr>
          <w:p w:rsidR="00C67891" w:rsidRDefault="00C67891">
            <w:r>
              <w:t>für folgende Grundpfandrechte:</w:t>
            </w:r>
          </w:p>
        </w:tc>
      </w:tr>
      <w:tr w:rsidR="00C67891" w:rsidTr="00C67891">
        <w:tblPrEx>
          <w:tblCellMar>
            <w:left w:w="70" w:type="dxa"/>
            <w:right w:w="70" w:type="dxa"/>
          </w:tblCellMar>
        </w:tblPrEx>
        <w:trPr>
          <w:trHeight w:hRule="exact" w:val="200"/>
        </w:trPr>
        <w:tc>
          <w:tcPr>
            <w:tcW w:w="9216" w:type="dxa"/>
            <w:gridSpan w:val="9"/>
          </w:tcPr>
          <w:p w:rsidR="00C67891" w:rsidRDefault="00C67891"/>
        </w:tc>
      </w:tr>
      <w:tr w:rsidR="00C67891" w:rsidTr="00C67891">
        <w:tblPrEx>
          <w:tblCellMar>
            <w:left w:w="70" w:type="dxa"/>
            <w:right w:w="70" w:type="dxa"/>
          </w:tblCellMar>
        </w:tblPrEx>
        <w:trPr>
          <w:cantSplit/>
        </w:trPr>
        <w:tc>
          <w:tcPr>
            <w:tcW w:w="1560" w:type="dxa"/>
            <w:gridSpan w:val="2"/>
          </w:tcPr>
          <w:p w:rsidR="00C67891" w:rsidRDefault="00C67891">
            <w:pPr>
              <w:rPr>
                <w:b/>
              </w:rPr>
            </w:pPr>
            <w:r>
              <w:rPr>
                <w:b/>
              </w:rPr>
              <w:t>Art</w:t>
            </w:r>
          </w:p>
        </w:tc>
        <w:tc>
          <w:tcPr>
            <w:tcW w:w="2695" w:type="dxa"/>
            <w:gridSpan w:val="3"/>
          </w:tcPr>
          <w:p w:rsidR="00C67891" w:rsidRDefault="00C67891">
            <w:pPr>
              <w:jc w:val="right"/>
              <w:rPr>
                <w:b/>
              </w:rPr>
            </w:pPr>
            <w:r>
              <w:rPr>
                <w:b/>
              </w:rPr>
              <w:t>Betrag in CHF</w:t>
            </w:r>
          </w:p>
        </w:tc>
        <w:tc>
          <w:tcPr>
            <w:tcW w:w="376" w:type="dxa"/>
          </w:tcPr>
          <w:p w:rsidR="00C67891" w:rsidRDefault="00C67891">
            <w:pPr>
              <w:rPr>
                <w:b/>
              </w:rPr>
            </w:pPr>
          </w:p>
        </w:tc>
        <w:tc>
          <w:tcPr>
            <w:tcW w:w="4585" w:type="dxa"/>
            <w:gridSpan w:val="3"/>
          </w:tcPr>
          <w:p w:rsidR="00C67891" w:rsidRDefault="00C67891">
            <w:pPr>
              <w:rPr>
                <w:b/>
              </w:rPr>
            </w:pPr>
            <w:r>
              <w:rPr>
                <w:b/>
              </w:rPr>
              <w:t>Titel-Identifikations-Nr. oder</w:t>
            </w:r>
          </w:p>
          <w:p w:rsidR="00C67891" w:rsidRDefault="00C67891">
            <w:pPr>
              <w:rPr>
                <w:b/>
              </w:rPr>
            </w:pPr>
            <w:proofErr w:type="spellStart"/>
            <w:r>
              <w:rPr>
                <w:b/>
              </w:rPr>
              <w:t>Litera</w:t>
            </w:r>
            <w:proofErr w:type="spellEnd"/>
            <w:r>
              <w:rPr>
                <w:b/>
              </w:rPr>
              <w:t>, Errichtungsdatum und Beleg</w:t>
            </w:r>
          </w:p>
        </w:tc>
      </w:tr>
      <w:tr w:rsidR="00C67891" w:rsidTr="00C67891">
        <w:tblPrEx>
          <w:tblCellMar>
            <w:left w:w="70" w:type="dxa"/>
            <w:right w:w="70" w:type="dxa"/>
          </w:tblCellMar>
        </w:tblPrEx>
        <w:trPr>
          <w:cantSplit/>
        </w:trPr>
        <w:tc>
          <w:tcPr>
            <w:tcW w:w="1560" w:type="dxa"/>
            <w:gridSpan w:val="2"/>
          </w:tcPr>
          <w:p w:rsidR="00C67891" w:rsidRDefault="00C67891">
            <w:pPr>
              <w:rPr>
                <w:color w:val="000000"/>
              </w:rPr>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PfV</w:t>
            </w:r>
            <w:r>
              <w:rPr>
                <w:color w:val="000000"/>
              </w:rPr>
              <w:fldChar w:fldCharType="end"/>
            </w:r>
          </w:p>
        </w:tc>
        <w:tc>
          <w:tcPr>
            <w:tcW w:w="2695" w:type="dxa"/>
            <w:gridSpan w:val="3"/>
          </w:tcPr>
          <w:p w:rsidR="00C67891" w:rsidRDefault="00C67891">
            <w:pPr>
              <w:jc w:val="right"/>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51'250.00</w:t>
            </w:r>
            <w:r>
              <w:rPr>
                <w:color w:val="000000"/>
              </w:rPr>
              <w:fldChar w:fldCharType="end"/>
            </w:r>
          </w:p>
        </w:tc>
        <w:tc>
          <w:tcPr>
            <w:tcW w:w="376" w:type="dxa"/>
          </w:tcPr>
          <w:p w:rsidR="00C67891" w:rsidRDefault="00C67891">
            <w:pPr>
              <w:rPr>
                <w:color w:val="000000"/>
              </w:rPr>
            </w:pPr>
          </w:p>
        </w:tc>
        <w:tc>
          <w:tcPr>
            <w:tcW w:w="4585" w:type="dxa"/>
            <w:gridSpan w:val="3"/>
          </w:tcPr>
          <w:p w:rsidR="00C67891" w:rsidRDefault="00C67891">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1. Rang, MH, vom 21.1.1983, Beleg 1983/250/0</w:t>
            </w:r>
            <w:r>
              <w:rPr>
                <w:color w:val="000000"/>
              </w:rPr>
              <w:fldChar w:fldCharType="end"/>
            </w:r>
            <w:r>
              <w:fldChar w:fldCharType="begin"/>
            </w:r>
            <w:r>
              <w:fldChar w:fldCharType="end"/>
            </w:r>
          </w:p>
        </w:tc>
      </w:tr>
      <w:tr w:rsidR="00C67891" w:rsidTr="00C67891">
        <w:tblPrEx>
          <w:tblCellMar>
            <w:left w:w="70" w:type="dxa"/>
            <w:right w:w="70" w:type="dxa"/>
          </w:tblCellMar>
        </w:tblPrEx>
        <w:trPr>
          <w:cantSplit/>
        </w:trPr>
        <w:tc>
          <w:tcPr>
            <w:tcW w:w="1560" w:type="dxa"/>
            <w:gridSpan w:val="2"/>
          </w:tcPr>
          <w:p w:rsidR="00C67891" w:rsidRDefault="00C67891">
            <w:pPr>
              <w:rPr>
                <w:color w:val="000000"/>
              </w:rPr>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c>
          <w:tcPr>
            <w:tcW w:w="2695" w:type="dxa"/>
            <w:gridSpan w:val="3"/>
          </w:tcPr>
          <w:p w:rsidR="00C67891" w:rsidRDefault="00C67891">
            <w:pPr>
              <w:jc w:val="right"/>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c>
          <w:tcPr>
            <w:tcW w:w="376" w:type="dxa"/>
          </w:tcPr>
          <w:p w:rsidR="00C67891" w:rsidRDefault="00C67891">
            <w:pPr>
              <w:rPr>
                <w:color w:val="000000"/>
              </w:rPr>
            </w:pPr>
          </w:p>
        </w:tc>
        <w:tc>
          <w:tcPr>
            <w:tcW w:w="4585" w:type="dxa"/>
            <w:gridSpan w:val="3"/>
          </w:tcPr>
          <w:p w:rsidR="00C67891" w:rsidRDefault="00C67891">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r>
              <w:fldChar w:fldCharType="begin"/>
            </w:r>
            <w:r>
              <w:fldChar w:fldCharType="end"/>
            </w:r>
          </w:p>
        </w:tc>
      </w:tr>
      <w:tr w:rsidR="00C67891" w:rsidTr="00C67891">
        <w:tblPrEx>
          <w:tblCellMar>
            <w:left w:w="70" w:type="dxa"/>
            <w:right w:w="70" w:type="dxa"/>
          </w:tblCellMar>
        </w:tblPrEx>
        <w:trPr>
          <w:trHeight w:hRule="exact" w:val="240"/>
        </w:trPr>
        <w:tc>
          <w:tcPr>
            <w:tcW w:w="9216" w:type="dxa"/>
            <w:gridSpan w:val="9"/>
          </w:tcPr>
          <w:p w:rsidR="00C67891" w:rsidRDefault="00C67891"/>
        </w:tc>
      </w:tr>
      <w:tr w:rsidR="00C67891" w:rsidTr="00C67891">
        <w:tblPrEx>
          <w:tblCellMar>
            <w:left w:w="70" w:type="dxa"/>
            <w:right w:w="70" w:type="dxa"/>
          </w:tblCellMar>
        </w:tblPrEx>
        <w:trPr>
          <w:trHeight w:hRule="exact" w:val="480"/>
        </w:trPr>
        <w:tc>
          <w:tcPr>
            <w:tcW w:w="9216" w:type="dxa"/>
            <w:gridSpan w:val="9"/>
          </w:tcPr>
          <w:p w:rsidR="00C67891" w:rsidRDefault="00C67891">
            <w:r>
              <w:t>Auf den übrigen Grundstücken bzw. Restgrundstücken bleiben die Pfandrechte unverändert bestehen.</w:t>
            </w:r>
          </w:p>
        </w:tc>
      </w:tr>
      <w:tr w:rsidR="00C67891" w:rsidTr="00C67891">
        <w:tblPrEx>
          <w:tblCellMar>
            <w:left w:w="70" w:type="dxa"/>
            <w:right w:w="70" w:type="dxa"/>
          </w:tblCellMar>
        </w:tblPrEx>
        <w:trPr>
          <w:trHeight w:hRule="exact" w:val="240"/>
        </w:trPr>
        <w:tc>
          <w:tcPr>
            <w:tcW w:w="4255" w:type="dxa"/>
            <w:gridSpan w:val="5"/>
          </w:tcPr>
          <w:p w:rsidR="00C67891" w:rsidRDefault="00C67891">
            <w:pPr>
              <w:tabs>
                <w:tab w:val="left" w:pos="2836"/>
              </w:tabs>
            </w:pPr>
            <w:r>
              <w:t xml:space="preserve">Ort/Datum: </w:t>
            </w: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c>
          <w:tcPr>
            <w:tcW w:w="4961" w:type="dxa"/>
            <w:gridSpan w:val="4"/>
          </w:tcPr>
          <w:p w:rsidR="00C67891" w:rsidRDefault="00C67891">
            <w:pPr>
              <w:tabs>
                <w:tab w:val="left" w:pos="2836"/>
              </w:tabs>
            </w:pPr>
            <w:r>
              <w:rPr>
                <w:b/>
              </w:rPr>
              <w:t xml:space="preserve">Der/Die Grundpfand-/Faustpfandgläubiger/in: </w:t>
            </w:r>
            <w:r>
              <w:rPr>
                <w:position w:val="6"/>
                <w:sz w:val="16"/>
              </w:rPr>
              <w:t>1)</w:t>
            </w:r>
          </w:p>
        </w:tc>
      </w:tr>
      <w:tr w:rsidR="00C67891" w:rsidTr="00C67891">
        <w:tblPrEx>
          <w:tblCellMar>
            <w:left w:w="70" w:type="dxa"/>
            <w:right w:w="70" w:type="dxa"/>
          </w:tblCellMar>
        </w:tblPrEx>
        <w:trPr>
          <w:trHeight w:hRule="exact" w:val="240"/>
        </w:trPr>
        <w:tc>
          <w:tcPr>
            <w:tcW w:w="4255" w:type="dxa"/>
            <w:gridSpan w:val="5"/>
          </w:tcPr>
          <w:p w:rsidR="00C67891" w:rsidRDefault="00C67891">
            <w:pPr>
              <w:tabs>
                <w:tab w:val="left" w:pos="2836"/>
              </w:tabs>
            </w:pPr>
            <w:r>
              <w:t>Bemerkungen/Beilagen:</w:t>
            </w:r>
          </w:p>
        </w:tc>
        <w:tc>
          <w:tcPr>
            <w:tcW w:w="4961" w:type="dxa"/>
            <w:gridSpan w:val="4"/>
          </w:tcPr>
          <w:p w:rsidR="00C67891" w:rsidRDefault="00C67891">
            <w:pPr>
              <w:tabs>
                <w:tab w:val="left" w:pos="2836"/>
              </w:tabs>
            </w:pPr>
            <w:r>
              <w:rPr>
                <w:sz w:val="16"/>
              </w:rPr>
              <w:t>(Name, Adresse und Unterschrift)</w:t>
            </w:r>
          </w:p>
        </w:tc>
      </w:tr>
      <w:tr w:rsidR="00C67891" w:rsidTr="00C67891">
        <w:tblPrEx>
          <w:tblCellMar>
            <w:left w:w="70" w:type="dxa"/>
            <w:right w:w="70" w:type="dxa"/>
          </w:tblCellMar>
        </w:tblPrEx>
        <w:trPr>
          <w:trHeight w:hRule="exact" w:val="1480"/>
        </w:trPr>
        <w:tc>
          <w:tcPr>
            <w:tcW w:w="4255" w:type="dxa"/>
            <w:gridSpan w:val="5"/>
          </w:tcPr>
          <w:p w:rsidR="00C67891" w:rsidRDefault="00C67891">
            <w:pPr>
              <w:tabs>
                <w:tab w:val="left" w:pos="2836"/>
              </w:tabs>
              <w:rPr>
                <w:position w:val="6"/>
              </w:rPr>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c>
          <w:tcPr>
            <w:tcW w:w="4961" w:type="dxa"/>
            <w:gridSpan w:val="4"/>
          </w:tcPr>
          <w:p w:rsidR="00C67891" w:rsidRDefault="00C67891">
            <w:pPr>
              <w:tabs>
                <w:tab w:val="left" w:pos="2836"/>
              </w:tabs>
              <w:rPr>
                <w:position w:val="6"/>
              </w:rPr>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Erbengemeinschaft Ernst Muster:</w:t>
            </w:r>
            <w:r>
              <w:rPr>
                <w:color w:val="000000"/>
              </w:rPr>
              <w:fldChar w:fldCharType="end"/>
            </w:r>
          </w:p>
        </w:tc>
      </w:tr>
      <w:tr w:rsidR="00C67891" w:rsidTr="00C67891">
        <w:tblPrEx>
          <w:tblCellMar>
            <w:left w:w="70" w:type="dxa"/>
            <w:right w:w="70" w:type="dxa"/>
          </w:tblCellMar>
        </w:tblPrEx>
        <w:trPr>
          <w:trHeight w:hRule="exact" w:val="240"/>
        </w:trPr>
        <w:tc>
          <w:tcPr>
            <w:tcW w:w="9216" w:type="dxa"/>
            <w:gridSpan w:val="9"/>
            <w:tcBorders>
              <w:top w:val="single" w:sz="6" w:space="0" w:color="auto"/>
            </w:tcBorders>
          </w:tcPr>
          <w:p w:rsidR="00C67891" w:rsidRDefault="00C67891"/>
        </w:tc>
      </w:tr>
      <w:tr w:rsidR="00C67891" w:rsidTr="00C67891">
        <w:tblPrEx>
          <w:tblCellMar>
            <w:left w:w="70" w:type="dxa"/>
            <w:right w:w="70" w:type="dxa"/>
          </w:tblCellMar>
        </w:tblPrEx>
        <w:trPr>
          <w:trHeight w:hRule="exact" w:val="240"/>
        </w:trPr>
        <w:tc>
          <w:tcPr>
            <w:tcW w:w="9216" w:type="dxa"/>
            <w:gridSpan w:val="9"/>
          </w:tcPr>
          <w:p w:rsidR="00C67891" w:rsidRDefault="00C67891">
            <w:pPr>
              <w:rPr>
                <w:b/>
              </w:rPr>
            </w:pPr>
            <w:r>
              <w:rPr>
                <w:b/>
              </w:rPr>
              <w:t xml:space="preserve">Eintragungsbewilligung </w:t>
            </w:r>
            <w:r>
              <w:rPr>
                <w:vertAlign w:val="superscript"/>
              </w:rPr>
              <w:t>2)</w:t>
            </w:r>
          </w:p>
        </w:tc>
      </w:tr>
      <w:tr w:rsidR="00C67891" w:rsidTr="00C67891">
        <w:tblPrEx>
          <w:tblCellMar>
            <w:left w:w="70" w:type="dxa"/>
            <w:right w:w="70" w:type="dxa"/>
          </w:tblCellMar>
        </w:tblPrEx>
        <w:trPr>
          <w:trHeight w:hRule="exact" w:val="200"/>
        </w:trPr>
        <w:tc>
          <w:tcPr>
            <w:tcW w:w="9216" w:type="dxa"/>
            <w:gridSpan w:val="9"/>
          </w:tcPr>
          <w:p w:rsidR="00C67891" w:rsidRDefault="00C67891"/>
        </w:tc>
      </w:tr>
      <w:tr w:rsidR="00C67891" w:rsidTr="00C67891">
        <w:tblPrEx>
          <w:tblCellMar>
            <w:left w:w="70" w:type="dxa"/>
            <w:right w:w="70" w:type="dxa"/>
          </w:tblCellMar>
        </w:tblPrEx>
        <w:trPr>
          <w:trHeight w:hRule="exact" w:val="480"/>
        </w:trPr>
        <w:tc>
          <w:tcPr>
            <w:tcW w:w="9216" w:type="dxa"/>
            <w:gridSpan w:val="9"/>
          </w:tcPr>
          <w:p w:rsidR="00C67891" w:rsidRDefault="00C67891">
            <w:r>
              <w:t>Zur beantragten Änderung wird die Bewilligung erteilt; auf die Eintragung einer leeren Pfan</w:t>
            </w:r>
            <w:r>
              <w:t>d</w:t>
            </w:r>
            <w:r>
              <w:t>stelle wird verzichtet.</w:t>
            </w:r>
          </w:p>
        </w:tc>
      </w:tr>
      <w:tr w:rsidR="00C67891" w:rsidTr="00C67891">
        <w:tblPrEx>
          <w:tblCellMar>
            <w:left w:w="70" w:type="dxa"/>
            <w:right w:w="70" w:type="dxa"/>
          </w:tblCellMar>
        </w:tblPrEx>
        <w:trPr>
          <w:trHeight w:hRule="exact" w:val="200"/>
        </w:trPr>
        <w:tc>
          <w:tcPr>
            <w:tcW w:w="9216" w:type="dxa"/>
            <w:gridSpan w:val="9"/>
          </w:tcPr>
          <w:p w:rsidR="00C67891" w:rsidRDefault="00C67891"/>
        </w:tc>
      </w:tr>
      <w:tr w:rsidR="00C67891" w:rsidTr="00C67891">
        <w:tblPrEx>
          <w:tblCellMar>
            <w:left w:w="70" w:type="dxa"/>
            <w:right w:w="70" w:type="dxa"/>
          </w:tblCellMar>
        </w:tblPrEx>
        <w:trPr>
          <w:trHeight w:hRule="exact" w:val="240"/>
        </w:trPr>
        <w:tc>
          <w:tcPr>
            <w:tcW w:w="5389" w:type="dxa"/>
            <w:gridSpan w:val="7"/>
          </w:tcPr>
          <w:p w:rsidR="00C67891" w:rsidRDefault="00C67891">
            <w:r>
              <w:t xml:space="preserve">Ort/Datum: </w:t>
            </w: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c>
          <w:tcPr>
            <w:tcW w:w="3827" w:type="dxa"/>
            <w:gridSpan w:val="2"/>
          </w:tcPr>
          <w:p w:rsidR="00C67891" w:rsidRDefault="00C67891">
            <w:r>
              <w:rPr>
                <w:b/>
              </w:rPr>
              <w:t>Der/Die Eigentümer/in:</w:t>
            </w:r>
          </w:p>
        </w:tc>
      </w:tr>
      <w:tr w:rsidR="00C67891" w:rsidTr="00C67891">
        <w:tblPrEx>
          <w:tblCellMar>
            <w:left w:w="70" w:type="dxa"/>
            <w:right w:w="70" w:type="dxa"/>
          </w:tblCellMar>
        </w:tblPrEx>
        <w:trPr>
          <w:trHeight w:hRule="exact" w:val="1800"/>
        </w:trPr>
        <w:tc>
          <w:tcPr>
            <w:tcW w:w="5389" w:type="dxa"/>
            <w:gridSpan w:val="7"/>
          </w:tcPr>
          <w:p w:rsidR="00C67891" w:rsidRDefault="00C67891"/>
          <w:p w:rsidR="00C67891" w:rsidRDefault="00C67891"/>
          <w:p w:rsidR="00C67891" w:rsidRDefault="00C67891"/>
          <w:p w:rsidR="00C67891" w:rsidRDefault="00C67891">
            <w:r>
              <w:t>Taxpunkte          _____________</w:t>
            </w:r>
          </w:p>
          <w:p w:rsidR="00C67891" w:rsidRDefault="00C67891">
            <w:pPr>
              <w:rPr>
                <w:sz w:val="16"/>
              </w:rPr>
            </w:pPr>
          </w:p>
          <w:p w:rsidR="00C67891" w:rsidRDefault="00C67891">
            <w:pPr>
              <w:rPr>
                <w:b/>
              </w:rPr>
            </w:pPr>
            <w:r>
              <w:rPr>
                <w:b/>
              </w:rPr>
              <w:t>Gebühren CHF  _____________</w:t>
            </w:r>
          </w:p>
          <w:p w:rsidR="00C67891" w:rsidRDefault="00C67891">
            <w:pPr>
              <w:rPr>
                <w:sz w:val="18"/>
              </w:rPr>
            </w:pPr>
          </w:p>
          <w:p w:rsidR="00C67891" w:rsidRDefault="00C67891">
            <w:r>
              <w:rPr>
                <w:sz w:val="18"/>
              </w:rPr>
              <w:t>verrechnet auf Beleg</w:t>
            </w:r>
          </w:p>
        </w:tc>
        <w:tc>
          <w:tcPr>
            <w:tcW w:w="3827" w:type="dxa"/>
            <w:gridSpan w:val="2"/>
          </w:tcPr>
          <w:p w:rsidR="00C67891" w:rsidRDefault="00C67891">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r>
    </w:tbl>
    <w:p w:rsidR="00C67891" w:rsidRDefault="00C67891">
      <w:pPr>
        <w:rPr>
          <w:sz w:val="10"/>
        </w:rPr>
      </w:pPr>
    </w:p>
    <w:p w:rsidR="00902C4B" w:rsidRDefault="00902C4B" w:rsidP="00902C4B">
      <w:pPr>
        <w:rPr>
          <w:szCs w:val="22"/>
        </w:rPr>
      </w:pPr>
    </w:p>
    <w:p w:rsidR="00902C4B" w:rsidRDefault="00902C4B" w:rsidP="00902C4B">
      <w:pPr>
        <w:spacing w:after="200"/>
        <w:rPr>
          <w:szCs w:val="22"/>
        </w:rPr>
      </w:pPr>
      <w:r>
        <w:rPr>
          <w:szCs w:val="22"/>
        </w:rPr>
        <w:br w:type="page"/>
      </w:r>
    </w:p>
    <w:tbl>
      <w:tblPr>
        <w:tblW w:w="0" w:type="auto"/>
        <w:tblInd w:w="54" w:type="dxa"/>
        <w:tblLayout w:type="fixed"/>
        <w:tblCellMar>
          <w:left w:w="56" w:type="dxa"/>
          <w:right w:w="56" w:type="dxa"/>
        </w:tblCellMar>
        <w:tblLook w:val="0000" w:firstRow="0" w:lastRow="0" w:firstColumn="0" w:lastColumn="0" w:noHBand="0" w:noVBand="0"/>
      </w:tblPr>
      <w:tblGrid>
        <w:gridCol w:w="2252"/>
        <w:gridCol w:w="1150"/>
        <w:gridCol w:w="704"/>
        <w:gridCol w:w="1283"/>
        <w:gridCol w:w="3827"/>
      </w:tblGrid>
      <w:tr w:rsidR="00C67891" w:rsidTr="00C67891">
        <w:trPr>
          <w:cantSplit/>
          <w:trHeight w:hRule="exact" w:val="920"/>
        </w:trPr>
        <w:tc>
          <w:tcPr>
            <w:tcW w:w="3402" w:type="dxa"/>
            <w:gridSpan w:val="2"/>
          </w:tcPr>
          <w:p w:rsidR="00C67891" w:rsidRDefault="00C67891">
            <w:pPr>
              <w:rPr>
                <w:b/>
                <w:sz w:val="28"/>
              </w:rPr>
            </w:pPr>
            <w:r>
              <w:rPr>
                <w:b/>
                <w:sz w:val="28"/>
              </w:rPr>
              <w:lastRenderedPageBreak/>
              <w:t>Löschungsbewilligung</w:t>
            </w:r>
          </w:p>
          <w:p w:rsidR="00C67891" w:rsidRDefault="00C67891">
            <w:pPr>
              <w:rPr>
                <w:b/>
              </w:rPr>
            </w:pPr>
          </w:p>
          <w:p w:rsidR="00C67891" w:rsidRDefault="00C67891">
            <w:pPr>
              <w:rPr>
                <w:b/>
                <w:sz w:val="28"/>
              </w:rPr>
            </w:pPr>
            <w:r>
              <w:rPr>
                <w:b/>
              </w:rPr>
              <w:t>an das Grundbuchamt</w:t>
            </w:r>
          </w:p>
        </w:tc>
        <w:tc>
          <w:tcPr>
            <w:tcW w:w="704" w:type="dxa"/>
          </w:tcPr>
          <w:p w:rsidR="00C67891" w:rsidRDefault="00C67891">
            <w:pPr>
              <w:rPr>
                <w:sz w:val="18"/>
              </w:rPr>
            </w:pPr>
          </w:p>
        </w:tc>
        <w:tc>
          <w:tcPr>
            <w:tcW w:w="1283" w:type="dxa"/>
          </w:tcPr>
          <w:p w:rsidR="00C67891" w:rsidRDefault="00C67891"/>
        </w:tc>
        <w:tc>
          <w:tcPr>
            <w:tcW w:w="3827" w:type="dxa"/>
          </w:tcPr>
          <w:p w:rsidR="00C67891" w:rsidRDefault="00C67891">
            <w:r>
              <w:t xml:space="preserve">Beleg Nr. </w:t>
            </w:r>
          </w:p>
          <w:p w:rsidR="00C67891" w:rsidRDefault="00C67891">
            <w:pPr>
              <w:rPr>
                <w:sz w:val="16"/>
              </w:rPr>
            </w:pPr>
          </w:p>
          <w:p w:rsidR="00C67891" w:rsidRDefault="00C67891">
            <w:r>
              <w:t>Eingang</w:t>
            </w:r>
          </w:p>
        </w:tc>
      </w:tr>
      <w:tr w:rsidR="00C67891" w:rsidTr="00C67891">
        <w:tblPrEx>
          <w:tblCellMar>
            <w:left w:w="70" w:type="dxa"/>
            <w:right w:w="70" w:type="dxa"/>
          </w:tblCellMar>
        </w:tblPrEx>
        <w:trPr>
          <w:trHeight w:hRule="exact" w:val="720"/>
        </w:trPr>
        <w:tc>
          <w:tcPr>
            <w:tcW w:w="5389" w:type="dxa"/>
            <w:gridSpan w:val="4"/>
          </w:tcPr>
          <w:p w:rsidR="00C67891" w:rsidRDefault="00C67891" w:rsidP="00C67891"/>
        </w:tc>
        <w:tc>
          <w:tcPr>
            <w:tcW w:w="3827" w:type="dxa"/>
          </w:tcPr>
          <w:p w:rsidR="00C67891" w:rsidRDefault="00C67891"/>
        </w:tc>
      </w:tr>
      <w:tr w:rsidR="00C67891" w:rsidTr="00C67891">
        <w:tblPrEx>
          <w:tblCellMar>
            <w:left w:w="70" w:type="dxa"/>
            <w:right w:w="70" w:type="dxa"/>
          </w:tblCellMar>
        </w:tblPrEx>
        <w:trPr>
          <w:trHeight w:hRule="exact" w:val="1920"/>
        </w:trPr>
        <w:tc>
          <w:tcPr>
            <w:tcW w:w="5389" w:type="dxa"/>
            <w:gridSpan w:val="4"/>
          </w:tcPr>
          <w:p w:rsidR="00C67891" w:rsidRDefault="00C67891">
            <w:pPr>
              <w:pStyle w:val="Betreff"/>
              <w:spacing w:before="0" w:after="0"/>
              <w:rPr>
                <w:rFonts w:ascii="Arial" w:hAnsi="Arial"/>
                <w:b w:val="0"/>
                <w:sz w:val="20"/>
              </w:rPr>
            </w:pPr>
            <w:r>
              <w:rPr>
                <w:rFonts w:ascii="Arial" w:hAnsi="Arial"/>
                <w:b w:val="0"/>
                <w:sz w:val="20"/>
              </w:rPr>
              <w:t xml:space="preserve">                                                                                          </w:t>
            </w:r>
            <w:r>
              <w:rPr>
                <w:rFonts w:ascii="Arial" w:hAnsi="Arial"/>
                <w:sz w:val="20"/>
              </w:rPr>
              <w:t>.</w:t>
            </w:r>
          </w:p>
          <w:p w:rsidR="00C67891" w:rsidRDefault="00C67891">
            <w:pPr>
              <w:pStyle w:val="Betreff"/>
              <w:spacing w:before="0" w:after="0"/>
              <w:rPr>
                <w:rFonts w:ascii="Arial" w:hAnsi="Arial"/>
                <w:b w:val="0"/>
                <w:sz w:val="20"/>
              </w:rPr>
            </w:pPr>
          </w:p>
          <w:p w:rsidR="00C67891" w:rsidRDefault="00C67891">
            <w:pPr>
              <w:pStyle w:val="Betreff"/>
              <w:spacing w:before="0" w:after="0"/>
              <w:rPr>
                <w:rFonts w:ascii="Arial" w:hAnsi="Arial"/>
                <w:b w:val="0"/>
                <w:sz w:val="20"/>
              </w:rPr>
            </w:pPr>
            <w:r>
              <w:rPr>
                <w:rFonts w:ascii="Arial" w:hAnsi="Arial"/>
                <w:b w:val="0"/>
                <w:sz w:val="20"/>
              </w:rPr>
              <w:t>Der/Die Unterzeichnende erteilt seine/ihre</w:t>
            </w:r>
          </w:p>
          <w:p w:rsidR="00C67891" w:rsidRDefault="00C67891">
            <w:r>
              <w:t xml:space="preserve">Einwilligung zur </w:t>
            </w:r>
            <w:r>
              <w:rPr>
                <w:b/>
              </w:rPr>
              <w:t>Löschung</w:t>
            </w:r>
            <w:r>
              <w:t xml:space="preserve"> für das ihm/ihr</w:t>
            </w:r>
          </w:p>
        </w:tc>
        <w:tc>
          <w:tcPr>
            <w:tcW w:w="3827" w:type="dxa"/>
          </w:tcPr>
          <w:p w:rsidR="00C67891" w:rsidRDefault="00C67891">
            <w:pPr>
              <w:pStyle w:val="Betreff"/>
              <w:tabs>
                <w:tab w:val="clear" w:pos="5800"/>
              </w:tabs>
              <w:spacing w:before="0" w:after="0"/>
              <w:rPr>
                <w:rFonts w:ascii="Arial" w:hAnsi="Arial"/>
                <w:b w:val="0"/>
                <w:noProof/>
                <w:color w:val="000000"/>
                <w:sz w:val="20"/>
              </w:rPr>
            </w:pPr>
            <w:r>
              <w:rPr>
                <w:rFonts w:ascii="Arial" w:hAnsi="Arial"/>
                <w:b w:val="0"/>
                <w:color w:val="000000"/>
                <w:sz w:val="20"/>
              </w:rPr>
              <w:fldChar w:fldCharType="begin">
                <w:ffData>
                  <w:name w:val="Text1"/>
                  <w:enabled/>
                  <w:calcOnExit w:val="0"/>
                  <w:textInput/>
                </w:ffData>
              </w:fldChar>
            </w:r>
            <w:r>
              <w:rPr>
                <w:rFonts w:ascii="Arial" w:hAnsi="Arial"/>
                <w:b w:val="0"/>
                <w:color w:val="000000"/>
                <w:sz w:val="20"/>
              </w:rPr>
              <w:instrText xml:space="preserve"> FORMTEXT </w:instrText>
            </w:r>
            <w:r>
              <w:rPr>
                <w:rFonts w:ascii="Arial" w:hAnsi="Arial"/>
                <w:b w:val="0"/>
                <w:color w:val="000000"/>
                <w:sz w:val="20"/>
              </w:rPr>
            </w:r>
            <w:r>
              <w:rPr>
                <w:rFonts w:ascii="Arial" w:hAnsi="Arial"/>
                <w:b w:val="0"/>
                <w:color w:val="000000"/>
                <w:sz w:val="20"/>
              </w:rPr>
              <w:fldChar w:fldCharType="separate"/>
            </w:r>
            <w:r>
              <w:rPr>
                <w:rFonts w:ascii="Arial" w:hAnsi="Arial"/>
                <w:b w:val="0"/>
                <w:noProof/>
                <w:color w:val="000000"/>
                <w:sz w:val="20"/>
              </w:rPr>
              <w:t>Kreisgrundbuchamt</w:t>
            </w:r>
          </w:p>
          <w:p w:rsidR="00C67891" w:rsidRDefault="00C67891">
            <w:pPr>
              <w:pStyle w:val="Betreff"/>
              <w:tabs>
                <w:tab w:val="clear" w:pos="5800"/>
              </w:tabs>
              <w:spacing w:before="0" w:after="0"/>
              <w:rPr>
                <w:rFonts w:ascii="Arial" w:hAnsi="Arial"/>
                <w:b w:val="0"/>
                <w:sz w:val="20"/>
              </w:rPr>
            </w:pPr>
            <w:r>
              <w:rPr>
                <w:rFonts w:ascii="Arial" w:hAnsi="Arial"/>
                <w:b w:val="0"/>
                <w:noProof/>
                <w:color w:val="000000"/>
                <w:sz w:val="20"/>
              </w:rPr>
              <w:t>Waldsee</w:t>
            </w:r>
            <w:r>
              <w:rPr>
                <w:rFonts w:ascii="Arial" w:hAnsi="Arial"/>
                <w:b w:val="0"/>
                <w:color w:val="000000"/>
                <w:sz w:val="20"/>
              </w:rPr>
              <w:fldChar w:fldCharType="end"/>
            </w:r>
          </w:p>
        </w:tc>
      </w:tr>
      <w:tr w:rsidR="00C67891" w:rsidTr="00C67891">
        <w:tblPrEx>
          <w:tblCellMar>
            <w:left w:w="70" w:type="dxa"/>
            <w:right w:w="70" w:type="dxa"/>
          </w:tblCellMar>
        </w:tblPrEx>
        <w:trPr>
          <w:trHeight w:hRule="exact" w:val="480"/>
        </w:trPr>
        <w:tc>
          <w:tcPr>
            <w:tcW w:w="2252" w:type="dxa"/>
          </w:tcPr>
          <w:p w:rsidR="00C67891" w:rsidRDefault="00C67891">
            <w:pPr>
              <w:pStyle w:val="Betreff"/>
              <w:tabs>
                <w:tab w:val="clear" w:pos="5800"/>
              </w:tabs>
              <w:spacing w:before="0" w:after="0"/>
              <w:rPr>
                <w:rFonts w:ascii="Arial" w:hAnsi="Arial"/>
                <w:b w:val="0"/>
                <w:sz w:val="20"/>
              </w:rPr>
            </w:pPr>
            <w:r>
              <w:rPr>
                <w:rFonts w:ascii="Arial" w:hAnsi="Arial"/>
                <w:b w:val="0"/>
                <w:sz w:val="20"/>
              </w:rPr>
              <w:t>auf Grundbuchblatt Nr.</w:t>
            </w:r>
          </w:p>
        </w:tc>
        <w:tc>
          <w:tcPr>
            <w:tcW w:w="6964" w:type="dxa"/>
            <w:gridSpan w:val="4"/>
          </w:tcPr>
          <w:p w:rsidR="00C67891" w:rsidRDefault="00C67891">
            <w:pPr>
              <w:pStyle w:val="Betreff"/>
              <w:tabs>
                <w:tab w:val="clear" w:pos="5800"/>
              </w:tabs>
              <w:spacing w:before="0" w:after="0"/>
              <w:rPr>
                <w:rFonts w:ascii="Arial" w:hAnsi="Arial"/>
                <w:b w:val="0"/>
                <w:sz w:val="20"/>
              </w:rPr>
            </w:pPr>
            <w:r>
              <w:rPr>
                <w:rFonts w:ascii="Arial" w:hAnsi="Arial"/>
                <w:b w:val="0"/>
                <w:color w:val="000000"/>
                <w:sz w:val="20"/>
              </w:rPr>
              <w:fldChar w:fldCharType="begin">
                <w:ffData>
                  <w:name w:val="Text1"/>
                  <w:enabled/>
                  <w:calcOnExit w:val="0"/>
                  <w:textInput/>
                </w:ffData>
              </w:fldChar>
            </w:r>
            <w:r>
              <w:rPr>
                <w:rFonts w:ascii="Arial" w:hAnsi="Arial"/>
                <w:b w:val="0"/>
                <w:color w:val="000000"/>
                <w:sz w:val="20"/>
              </w:rPr>
              <w:instrText xml:space="preserve"> FORMTEXT </w:instrText>
            </w:r>
            <w:r>
              <w:rPr>
                <w:rFonts w:ascii="Arial" w:hAnsi="Arial"/>
                <w:b w:val="0"/>
                <w:color w:val="000000"/>
                <w:sz w:val="20"/>
              </w:rPr>
            </w:r>
            <w:r>
              <w:rPr>
                <w:rFonts w:ascii="Arial" w:hAnsi="Arial"/>
                <w:b w:val="0"/>
                <w:color w:val="000000"/>
                <w:sz w:val="20"/>
              </w:rPr>
              <w:fldChar w:fldCharType="separate"/>
            </w:r>
            <w:r>
              <w:rPr>
                <w:rFonts w:ascii="Arial" w:hAnsi="Arial"/>
                <w:b w:val="0"/>
                <w:color w:val="000000"/>
                <w:sz w:val="20"/>
              </w:rPr>
              <w:t>474-3, 475-3, 482-1, 483-1, 484-1, 835-1</w:t>
            </w:r>
            <w:r>
              <w:rPr>
                <w:rFonts w:ascii="Arial" w:hAnsi="Arial"/>
                <w:b w:val="0"/>
                <w:color w:val="000000"/>
                <w:sz w:val="20"/>
              </w:rPr>
              <w:fldChar w:fldCharType="end"/>
            </w:r>
          </w:p>
        </w:tc>
      </w:tr>
      <w:tr w:rsidR="00C67891" w:rsidTr="00C67891">
        <w:tblPrEx>
          <w:tblCellMar>
            <w:left w:w="70" w:type="dxa"/>
            <w:right w:w="70" w:type="dxa"/>
          </w:tblCellMar>
        </w:tblPrEx>
        <w:trPr>
          <w:trHeight w:hRule="exact" w:val="480"/>
        </w:trPr>
        <w:tc>
          <w:tcPr>
            <w:tcW w:w="2252" w:type="dxa"/>
          </w:tcPr>
          <w:p w:rsidR="00C67891" w:rsidRDefault="00C67891">
            <w:pPr>
              <w:pStyle w:val="Betreff"/>
              <w:tabs>
                <w:tab w:val="clear" w:pos="5800"/>
              </w:tabs>
              <w:spacing w:before="0" w:after="0"/>
              <w:rPr>
                <w:rFonts w:ascii="Arial" w:hAnsi="Arial"/>
                <w:b w:val="0"/>
                <w:sz w:val="20"/>
              </w:rPr>
            </w:pPr>
            <w:r>
              <w:rPr>
                <w:rFonts w:ascii="Arial" w:hAnsi="Arial"/>
                <w:b w:val="0"/>
                <w:sz w:val="20"/>
              </w:rPr>
              <w:t xml:space="preserve">der Gemeinde </w:t>
            </w:r>
          </w:p>
        </w:tc>
        <w:tc>
          <w:tcPr>
            <w:tcW w:w="6964" w:type="dxa"/>
            <w:gridSpan w:val="4"/>
          </w:tcPr>
          <w:p w:rsidR="00C67891" w:rsidRDefault="00C67891">
            <w:pPr>
              <w:pStyle w:val="Betreff"/>
              <w:tabs>
                <w:tab w:val="clear" w:pos="5800"/>
              </w:tabs>
              <w:spacing w:before="0" w:after="0"/>
              <w:rPr>
                <w:rFonts w:ascii="Arial" w:hAnsi="Arial"/>
                <w:b w:val="0"/>
                <w:sz w:val="20"/>
              </w:rPr>
            </w:pPr>
            <w:r>
              <w:rPr>
                <w:rFonts w:ascii="Arial" w:hAnsi="Arial"/>
                <w:b w:val="0"/>
                <w:color w:val="000000"/>
                <w:sz w:val="20"/>
              </w:rPr>
              <w:fldChar w:fldCharType="begin">
                <w:ffData>
                  <w:name w:val="Text1"/>
                  <w:enabled/>
                  <w:calcOnExit w:val="0"/>
                  <w:textInput/>
                </w:ffData>
              </w:fldChar>
            </w:r>
            <w:bookmarkStart w:id="212" w:name="Text1"/>
            <w:r>
              <w:rPr>
                <w:rFonts w:ascii="Arial" w:hAnsi="Arial"/>
                <w:b w:val="0"/>
                <w:color w:val="000000"/>
                <w:sz w:val="20"/>
              </w:rPr>
              <w:instrText xml:space="preserve"> FORMTEXT </w:instrText>
            </w:r>
            <w:r>
              <w:rPr>
                <w:rFonts w:ascii="Arial" w:hAnsi="Arial"/>
                <w:b w:val="0"/>
                <w:color w:val="000000"/>
                <w:sz w:val="20"/>
              </w:rPr>
            </w:r>
            <w:r>
              <w:rPr>
                <w:rFonts w:ascii="Arial" w:hAnsi="Arial"/>
                <w:b w:val="0"/>
                <w:color w:val="000000"/>
                <w:sz w:val="20"/>
              </w:rPr>
              <w:fldChar w:fldCharType="separate"/>
            </w:r>
            <w:r>
              <w:rPr>
                <w:rFonts w:ascii="Arial" w:hAnsi="Arial"/>
                <w:b w:val="0"/>
                <w:color w:val="000000"/>
                <w:sz w:val="20"/>
              </w:rPr>
              <w:t>Seldwyla</w:t>
            </w:r>
            <w:r>
              <w:rPr>
                <w:rFonts w:ascii="Arial" w:hAnsi="Arial"/>
                <w:b w:val="0"/>
                <w:color w:val="000000"/>
                <w:sz w:val="20"/>
              </w:rPr>
              <w:fldChar w:fldCharType="end"/>
            </w:r>
            <w:bookmarkEnd w:id="212"/>
          </w:p>
        </w:tc>
      </w:tr>
      <w:tr w:rsidR="00C67891" w:rsidTr="00C67891">
        <w:tblPrEx>
          <w:tblCellMar>
            <w:left w:w="70" w:type="dxa"/>
            <w:right w:w="70" w:type="dxa"/>
          </w:tblCellMar>
        </w:tblPrEx>
        <w:trPr>
          <w:cantSplit/>
          <w:trHeight w:hRule="exact" w:val="720"/>
        </w:trPr>
        <w:tc>
          <w:tcPr>
            <w:tcW w:w="2252" w:type="dxa"/>
          </w:tcPr>
          <w:p w:rsidR="00C67891" w:rsidRDefault="00C67891">
            <w:pPr>
              <w:pStyle w:val="Betreff"/>
              <w:tabs>
                <w:tab w:val="left" w:pos="2269"/>
              </w:tabs>
              <w:spacing w:before="0" w:after="0"/>
              <w:rPr>
                <w:rFonts w:ascii="Arial" w:hAnsi="Arial"/>
                <w:b w:val="0"/>
                <w:sz w:val="20"/>
              </w:rPr>
            </w:pPr>
            <w:r>
              <w:rPr>
                <w:rFonts w:ascii="Arial" w:hAnsi="Arial"/>
                <w:b w:val="0"/>
                <w:sz w:val="20"/>
              </w:rPr>
              <w:t xml:space="preserve">im Eigentum von </w:t>
            </w:r>
          </w:p>
        </w:tc>
        <w:tc>
          <w:tcPr>
            <w:tcW w:w="6964" w:type="dxa"/>
            <w:gridSpan w:val="4"/>
          </w:tcPr>
          <w:p w:rsidR="00C67891" w:rsidRDefault="00C67891">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color w:val="000000"/>
              </w:rPr>
              <w:t>Muster Max</w:t>
            </w:r>
            <w:r>
              <w:rPr>
                <w:color w:val="000000"/>
              </w:rPr>
              <w:fldChar w:fldCharType="end"/>
            </w:r>
          </w:p>
        </w:tc>
      </w:tr>
      <w:tr w:rsidR="00C67891" w:rsidTr="00C67891">
        <w:tblPrEx>
          <w:tblCellMar>
            <w:left w:w="70" w:type="dxa"/>
            <w:right w:w="70" w:type="dxa"/>
          </w:tblCellMar>
        </w:tblPrEx>
        <w:trPr>
          <w:trHeight w:hRule="exact" w:val="200"/>
        </w:trPr>
        <w:tc>
          <w:tcPr>
            <w:tcW w:w="9216" w:type="dxa"/>
            <w:gridSpan w:val="5"/>
          </w:tcPr>
          <w:p w:rsidR="00C67891" w:rsidRDefault="00C67891"/>
        </w:tc>
      </w:tr>
      <w:tr w:rsidR="00C67891" w:rsidTr="00C67891">
        <w:tblPrEx>
          <w:tblCellMar>
            <w:left w:w="70" w:type="dxa"/>
            <w:right w:w="70" w:type="dxa"/>
          </w:tblCellMar>
        </w:tblPrEx>
        <w:trPr>
          <w:trHeight w:hRule="exact" w:val="240"/>
        </w:trPr>
        <w:tc>
          <w:tcPr>
            <w:tcW w:w="9216" w:type="dxa"/>
            <w:gridSpan w:val="5"/>
          </w:tcPr>
          <w:p w:rsidR="00C67891" w:rsidRDefault="00C67891">
            <w:pPr>
              <w:rPr>
                <w:sz w:val="16"/>
              </w:rPr>
            </w:pPr>
            <w:r>
              <w:t xml:space="preserve">zustehende Recht </w:t>
            </w:r>
            <w:r>
              <w:rPr>
                <w:sz w:val="16"/>
              </w:rPr>
              <w:t>(Art/Errichtungsdatum/Beleg)</w:t>
            </w:r>
          </w:p>
        </w:tc>
      </w:tr>
      <w:tr w:rsidR="00C67891" w:rsidTr="00C67891">
        <w:tblPrEx>
          <w:tblCellMar>
            <w:left w:w="70" w:type="dxa"/>
            <w:right w:w="70" w:type="dxa"/>
          </w:tblCellMar>
        </w:tblPrEx>
        <w:trPr>
          <w:trHeight w:hRule="exact" w:val="200"/>
        </w:trPr>
        <w:tc>
          <w:tcPr>
            <w:tcW w:w="9216" w:type="dxa"/>
            <w:gridSpan w:val="5"/>
          </w:tcPr>
          <w:p w:rsidR="00C67891" w:rsidRDefault="00C67891"/>
        </w:tc>
      </w:tr>
      <w:tr w:rsidR="00C67891" w:rsidTr="00C67891">
        <w:tblPrEx>
          <w:tblCellMar>
            <w:left w:w="70" w:type="dxa"/>
            <w:right w:w="70" w:type="dxa"/>
          </w:tblCellMar>
        </w:tblPrEx>
        <w:trPr>
          <w:trHeight w:hRule="exact" w:val="1920"/>
        </w:trPr>
        <w:tc>
          <w:tcPr>
            <w:tcW w:w="9216" w:type="dxa"/>
            <w:gridSpan w:val="5"/>
          </w:tcPr>
          <w:p w:rsidR="00C67891" w:rsidRDefault="00C67891">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color w:val="000000"/>
              </w:rPr>
              <w:t>Fr. 51'250.00 MH Grundpfandverschreibung vom 21.1.1983, 1983/159/0, zG Muster Ida</w:t>
            </w:r>
            <w:r>
              <w:rPr>
                <w:color w:val="000000"/>
              </w:rPr>
              <w:fldChar w:fldCharType="end"/>
            </w:r>
          </w:p>
        </w:tc>
      </w:tr>
      <w:tr w:rsidR="00C67891" w:rsidTr="00C67891">
        <w:tblPrEx>
          <w:tblCellMar>
            <w:left w:w="70" w:type="dxa"/>
            <w:right w:w="70" w:type="dxa"/>
          </w:tblCellMar>
        </w:tblPrEx>
        <w:trPr>
          <w:trHeight w:hRule="exact" w:val="200"/>
        </w:trPr>
        <w:tc>
          <w:tcPr>
            <w:tcW w:w="9216" w:type="dxa"/>
            <w:gridSpan w:val="5"/>
          </w:tcPr>
          <w:p w:rsidR="00C67891" w:rsidRDefault="00C67891">
            <w:pPr>
              <w:tabs>
                <w:tab w:val="left" w:pos="2836"/>
              </w:tabs>
            </w:pPr>
          </w:p>
        </w:tc>
      </w:tr>
      <w:tr w:rsidR="00C67891" w:rsidTr="00C67891">
        <w:tblPrEx>
          <w:tblCellMar>
            <w:left w:w="70" w:type="dxa"/>
            <w:right w:w="70" w:type="dxa"/>
          </w:tblCellMar>
        </w:tblPrEx>
        <w:trPr>
          <w:trHeight w:hRule="exact" w:val="520"/>
        </w:trPr>
        <w:tc>
          <w:tcPr>
            <w:tcW w:w="5389" w:type="dxa"/>
            <w:gridSpan w:val="4"/>
          </w:tcPr>
          <w:p w:rsidR="00C67891" w:rsidRDefault="00C67891">
            <w:pPr>
              <w:tabs>
                <w:tab w:val="left" w:pos="2836"/>
              </w:tabs>
            </w:pPr>
            <w:r>
              <w:t xml:space="preserve">Ort/Datum: </w:t>
            </w: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color w:val="000000"/>
              </w:rPr>
              <w:t>Seldwyla,</w:t>
            </w:r>
            <w:r>
              <w:rPr>
                <w:color w:val="000000"/>
              </w:rPr>
              <w:fldChar w:fldCharType="end"/>
            </w:r>
          </w:p>
        </w:tc>
        <w:tc>
          <w:tcPr>
            <w:tcW w:w="3827" w:type="dxa"/>
          </w:tcPr>
          <w:p w:rsidR="00C67891" w:rsidRDefault="00C67891">
            <w:pPr>
              <w:tabs>
                <w:tab w:val="left" w:pos="2836"/>
              </w:tabs>
              <w:rPr>
                <w:position w:val="6"/>
                <w:sz w:val="16"/>
              </w:rPr>
            </w:pPr>
            <w:r>
              <w:rPr>
                <w:b/>
              </w:rPr>
              <w:t xml:space="preserve">Der/Die Berechtigte: </w:t>
            </w:r>
            <w:r>
              <w:rPr>
                <w:position w:val="6"/>
                <w:sz w:val="16"/>
              </w:rPr>
              <w:t>1)</w:t>
            </w:r>
          </w:p>
          <w:p w:rsidR="00C67891" w:rsidRDefault="00C67891">
            <w:pPr>
              <w:tabs>
                <w:tab w:val="left" w:pos="2836"/>
              </w:tabs>
            </w:pPr>
            <w:r>
              <w:rPr>
                <w:sz w:val="16"/>
              </w:rPr>
              <w:t>(Name, Adresse und Unterschrift)</w:t>
            </w:r>
          </w:p>
        </w:tc>
      </w:tr>
      <w:tr w:rsidR="00C67891" w:rsidTr="00C67891">
        <w:tblPrEx>
          <w:tblCellMar>
            <w:left w:w="70" w:type="dxa"/>
            <w:right w:w="70" w:type="dxa"/>
          </w:tblCellMar>
        </w:tblPrEx>
        <w:trPr>
          <w:trHeight w:hRule="exact" w:val="1680"/>
        </w:trPr>
        <w:tc>
          <w:tcPr>
            <w:tcW w:w="5389" w:type="dxa"/>
            <w:gridSpan w:val="4"/>
            <w:tcBorders>
              <w:bottom w:val="single" w:sz="6" w:space="0" w:color="auto"/>
            </w:tcBorders>
          </w:tcPr>
          <w:p w:rsidR="00C67891" w:rsidRDefault="00C67891">
            <w:pPr>
              <w:tabs>
                <w:tab w:val="left" w:pos="2836"/>
              </w:tabs>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color w:val="000000"/>
              </w:rPr>
              <w:t xml:space="preserve">den </w:t>
            </w:r>
            <w:r>
              <w:rPr>
                <w:color w:val="000000"/>
              </w:rPr>
              <w:fldChar w:fldCharType="end"/>
            </w:r>
          </w:p>
        </w:tc>
        <w:tc>
          <w:tcPr>
            <w:tcW w:w="3827" w:type="dxa"/>
            <w:tcBorders>
              <w:bottom w:val="single" w:sz="6" w:space="0" w:color="auto"/>
            </w:tcBorders>
          </w:tcPr>
          <w:p w:rsidR="00C67891" w:rsidRDefault="00C67891">
            <w:pPr>
              <w:tabs>
                <w:tab w:val="left" w:pos="2836"/>
              </w:tabs>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color w:val="000000"/>
              </w:rPr>
              <w:t>Ida Muster, Kuhweid, Seldwyla:</w:t>
            </w:r>
            <w:r>
              <w:rPr>
                <w:color w:val="000000"/>
              </w:rPr>
              <w:fldChar w:fldCharType="end"/>
            </w:r>
          </w:p>
        </w:tc>
      </w:tr>
      <w:tr w:rsidR="00C67891" w:rsidTr="00C67891">
        <w:tblPrEx>
          <w:tblCellMar>
            <w:left w:w="70" w:type="dxa"/>
            <w:right w:w="70" w:type="dxa"/>
          </w:tblCellMar>
        </w:tblPrEx>
        <w:trPr>
          <w:trHeight w:hRule="exact" w:val="240"/>
        </w:trPr>
        <w:tc>
          <w:tcPr>
            <w:tcW w:w="9216" w:type="dxa"/>
            <w:gridSpan w:val="5"/>
          </w:tcPr>
          <w:p w:rsidR="00C67891" w:rsidRDefault="00C67891">
            <w:pPr>
              <w:tabs>
                <w:tab w:val="left" w:pos="2836"/>
              </w:tabs>
            </w:pPr>
          </w:p>
        </w:tc>
      </w:tr>
      <w:tr w:rsidR="00C67891" w:rsidTr="00C67891">
        <w:tblPrEx>
          <w:tblCellMar>
            <w:left w:w="70" w:type="dxa"/>
            <w:right w:w="70" w:type="dxa"/>
          </w:tblCellMar>
        </w:tblPrEx>
        <w:trPr>
          <w:trHeight w:hRule="exact" w:val="240"/>
        </w:trPr>
        <w:tc>
          <w:tcPr>
            <w:tcW w:w="9216" w:type="dxa"/>
            <w:gridSpan w:val="5"/>
          </w:tcPr>
          <w:p w:rsidR="00C67891" w:rsidRDefault="00C67891">
            <w:pPr>
              <w:rPr>
                <w:b/>
              </w:rPr>
            </w:pPr>
            <w:r>
              <w:rPr>
                <w:b/>
              </w:rPr>
              <w:t xml:space="preserve">Erklärung des Eigentümers/der Eigentümerin </w:t>
            </w:r>
            <w:r>
              <w:rPr>
                <w:sz w:val="18"/>
              </w:rPr>
              <w:t>(nur bei Löschung von Grundpfandrechten)</w:t>
            </w:r>
          </w:p>
        </w:tc>
      </w:tr>
      <w:tr w:rsidR="00C67891" w:rsidTr="00C67891">
        <w:tblPrEx>
          <w:tblCellMar>
            <w:left w:w="70" w:type="dxa"/>
            <w:right w:w="70" w:type="dxa"/>
          </w:tblCellMar>
        </w:tblPrEx>
        <w:trPr>
          <w:trHeight w:hRule="exact" w:val="240"/>
        </w:trPr>
        <w:tc>
          <w:tcPr>
            <w:tcW w:w="9216" w:type="dxa"/>
            <w:gridSpan w:val="5"/>
          </w:tcPr>
          <w:p w:rsidR="00C67891" w:rsidRDefault="00C67891"/>
        </w:tc>
      </w:tr>
      <w:tr w:rsidR="00C67891" w:rsidTr="00C67891">
        <w:tblPrEx>
          <w:tblCellMar>
            <w:left w:w="70" w:type="dxa"/>
            <w:right w:w="70" w:type="dxa"/>
          </w:tblCellMar>
        </w:tblPrEx>
        <w:trPr>
          <w:trHeight w:hRule="exact" w:val="480"/>
        </w:trPr>
        <w:tc>
          <w:tcPr>
            <w:tcW w:w="9216" w:type="dxa"/>
            <w:gridSpan w:val="5"/>
          </w:tcPr>
          <w:p w:rsidR="00C67891" w:rsidRDefault="00C67891">
            <w:r>
              <w:t xml:space="preserve">Zur beantragten Löschung wird die Einwilligung erteilt; auf die Eintragung einer leeren Pfandstelle wird verzichtet. </w:t>
            </w:r>
          </w:p>
        </w:tc>
      </w:tr>
      <w:tr w:rsidR="00C67891" w:rsidTr="00C67891">
        <w:tblPrEx>
          <w:tblCellMar>
            <w:left w:w="70" w:type="dxa"/>
            <w:right w:w="70" w:type="dxa"/>
          </w:tblCellMar>
        </w:tblPrEx>
        <w:trPr>
          <w:trHeight w:hRule="exact" w:val="240"/>
        </w:trPr>
        <w:tc>
          <w:tcPr>
            <w:tcW w:w="9216" w:type="dxa"/>
            <w:gridSpan w:val="5"/>
          </w:tcPr>
          <w:p w:rsidR="00C67891" w:rsidRDefault="00C67891"/>
        </w:tc>
      </w:tr>
      <w:tr w:rsidR="00C67891" w:rsidTr="00C67891">
        <w:tblPrEx>
          <w:tblCellMar>
            <w:left w:w="70" w:type="dxa"/>
            <w:right w:w="70" w:type="dxa"/>
          </w:tblCellMar>
        </w:tblPrEx>
        <w:trPr>
          <w:trHeight w:hRule="exact" w:val="240"/>
        </w:trPr>
        <w:tc>
          <w:tcPr>
            <w:tcW w:w="5389" w:type="dxa"/>
            <w:gridSpan w:val="4"/>
          </w:tcPr>
          <w:p w:rsidR="00C67891" w:rsidRDefault="00C67891">
            <w:r>
              <w:t xml:space="preserve">Ort/Datum: </w:t>
            </w: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color w:val="000000"/>
              </w:rPr>
              <w:t> </w:t>
            </w:r>
            <w:r>
              <w:rPr>
                <w:color w:val="000000"/>
              </w:rPr>
              <w:t> </w:t>
            </w:r>
            <w:r>
              <w:rPr>
                <w:color w:val="000000"/>
              </w:rPr>
              <w:t> </w:t>
            </w:r>
            <w:r>
              <w:rPr>
                <w:color w:val="000000"/>
              </w:rPr>
              <w:t> </w:t>
            </w:r>
            <w:r>
              <w:rPr>
                <w:color w:val="000000"/>
              </w:rPr>
              <w:t> </w:t>
            </w:r>
            <w:r>
              <w:rPr>
                <w:color w:val="000000"/>
              </w:rPr>
              <w:fldChar w:fldCharType="end"/>
            </w:r>
          </w:p>
        </w:tc>
        <w:tc>
          <w:tcPr>
            <w:tcW w:w="3827" w:type="dxa"/>
          </w:tcPr>
          <w:p w:rsidR="00C67891" w:rsidRDefault="00C67891">
            <w:r>
              <w:rPr>
                <w:b/>
              </w:rPr>
              <w:t>Der/Die Eigentümer/in:</w:t>
            </w:r>
          </w:p>
        </w:tc>
      </w:tr>
    </w:tbl>
    <w:p w:rsidR="00C67891" w:rsidRDefault="00C67891">
      <w:pPr>
        <w:rPr>
          <w:sz w:val="10"/>
        </w:rPr>
      </w:pPr>
    </w:p>
    <w:p w:rsidR="00902C4B" w:rsidRDefault="00902C4B" w:rsidP="00902C4B">
      <w:pPr>
        <w:rPr>
          <w:szCs w:val="22"/>
        </w:rPr>
      </w:pPr>
    </w:p>
    <w:p w:rsidR="00902C4B" w:rsidRDefault="00902C4B" w:rsidP="00902C4B">
      <w:pPr>
        <w:spacing w:after="200"/>
        <w:rPr>
          <w:szCs w:val="22"/>
        </w:rPr>
      </w:pPr>
      <w:r>
        <w:rPr>
          <w:szCs w:val="22"/>
        </w:rPr>
        <w:br w:type="page"/>
      </w:r>
    </w:p>
    <w:tbl>
      <w:tblPr>
        <w:tblW w:w="0" w:type="auto"/>
        <w:tblInd w:w="54" w:type="dxa"/>
        <w:tblLayout w:type="fixed"/>
        <w:tblCellMar>
          <w:left w:w="56" w:type="dxa"/>
          <w:right w:w="56" w:type="dxa"/>
        </w:tblCellMar>
        <w:tblLook w:val="0000" w:firstRow="0" w:lastRow="0" w:firstColumn="0" w:lastColumn="0" w:noHBand="0" w:noVBand="0"/>
      </w:tblPr>
      <w:tblGrid>
        <w:gridCol w:w="2252"/>
        <w:gridCol w:w="1150"/>
        <w:gridCol w:w="704"/>
        <w:gridCol w:w="1283"/>
        <w:gridCol w:w="3827"/>
      </w:tblGrid>
      <w:tr w:rsidR="00C67891" w:rsidTr="00C67891">
        <w:trPr>
          <w:cantSplit/>
          <w:trHeight w:hRule="exact" w:val="920"/>
        </w:trPr>
        <w:tc>
          <w:tcPr>
            <w:tcW w:w="3402" w:type="dxa"/>
            <w:gridSpan w:val="2"/>
          </w:tcPr>
          <w:p w:rsidR="00C67891" w:rsidRDefault="00C67891">
            <w:pPr>
              <w:rPr>
                <w:b/>
                <w:sz w:val="28"/>
              </w:rPr>
            </w:pPr>
            <w:r>
              <w:rPr>
                <w:b/>
                <w:sz w:val="28"/>
              </w:rPr>
              <w:lastRenderedPageBreak/>
              <w:t>Löschungsbewilligung</w:t>
            </w:r>
          </w:p>
          <w:p w:rsidR="00C67891" w:rsidRDefault="00C67891">
            <w:pPr>
              <w:rPr>
                <w:b/>
              </w:rPr>
            </w:pPr>
          </w:p>
          <w:p w:rsidR="00C67891" w:rsidRDefault="00C67891">
            <w:pPr>
              <w:rPr>
                <w:b/>
                <w:sz w:val="28"/>
              </w:rPr>
            </w:pPr>
            <w:r>
              <w:rPr>
                <w:b/>
              </w:rPr>
              <w:t>an das Grundbuchamt</w:t>
            </w:r>
          </w:p>
        </w:tc>
        <w:tc>
          <w:tcPr>
            <w:tcW w:w="704" w:type="dxa"/>
          </w:tcPr>
          <w:p w:rsidR="00C67891" w:rsidRDefault="00C67891">
            <w:pPr>
              <w:rPr>
                <w:sz w:val="18"/>
              </w:rPr>
            </w:pPr>
          </w:p>
        </w:tc>
        <w:tc>
          <w:tcPr>
            <w:tcW w:w="1283" w:type="dxa"/>
          </w:tcPr>
          <w:p w:rsidR="00C67891" w:rsidRDefault="00C67891"/>
        </w:tc>
        <w:tc>
          <w:tcPr>
            <w:tcW w:w="3827" w:type="dxa"/>
          </w:tcPr>
          <w:p w:rsidR="00C67891" w:rsidRDefault="00C67891">
            <w:r>
              <w:t xml:space="preserve">Beleg Nr. </w:t>
            </w:r>
          </w:p>
          <w:p w:rsidR="00C67891" w:rsidRDefault="00C67891">
            <w:pPr>
              <w:rPr>
                <w:sz w:val="16"/>
              </w:rPr>
            </w:pPr>
          </w:p>
          <w:p w:rsidR="00C67891" w:rsidRDefault="00C67891">
            <w:r>
              <w:t>Eingang</w:t>
            </w:r>
          </w:p>
        </w:tc>
      </w:tr>
      <w:tr w:rsidR="00C67891" w:rsidTr="00C67891">
        <w:tblPrEx>
          <w:tblCellMar>
            <w:left w:w="70" w:type="dxa"/>
            <w:right w:w="70" w:type="dxa"/>
          </w:tblCellMar>
        </w:tblPrEx>
        <w:trPr>
          <w:trHeight w:hRule="exact" w:val="720"/>
        </w:trPr>
        <w:tc>
          <w:tcPr>
            <w:tcW w:w="5389" w:type="dxa"/>
            <w:gridSpan w:val="4"/>
          </w:tcPr>
          <w:p w:rsidR="00C67891" w:rsidRDefault="00C67891"/>
        </w:tc>
        <w:tc>
          <w:tcPr>
            <w:tcW w:w="3827" w:type="dxa"/>
          </w:tcPr>
          <w:p w:rsidR="00C67891" w:rsidRDefault="00C67891"/>
        </w:tc>
      </w:tr>
      <w:tr w:rsidR="00C67891" w:rsidTr="00C67891">
        <w:tblPrEx>
          <w:tblCellMar>
            <w:left w:w="70" w:type="dxa"/>
            <w:right w:w="70" w:type="dxa"/>
          </w:tblCellMar>
        </w:tblPrEx>
        <w:trPr>
          <w:trHeight w:hRule="exact" w:val="1920"/>
        </w:trPr>
        <w:tc>
          <w:tcPr>
            <w:tcW w:w="5389" w:type="dxa"/>
            <w:gridSpan w:val="4"/>
          </w:tcPr>
          <w:p w:rsidR="00C67891" w:rsidRDefault="00C67891">
            <w:pPr>
              <w:pStyle w:val="Betreff"/>
              <w:spacing w:before="0" w:after="0"/>
              <w:rPr>
                <w:rFonts w:ascii="Arial" w:hAnsi="Arial"/>
                <w:b w:val="0"/>
                <w:sz w:val="20"/>
              </w:rPr>
            </w:pPr>
            <w:r>
              <w:rPr>
                <w:rFonts w:ascii="Arial" w:hAnsi="Arial"/>
                <w:b w:val="0"/>
                <w:sz w:val="20"/>
              </w:rPr>
              <w:t xml:space="preserve">                                                                                          </w:t>
            </w:r>
            <w:r>
              <w:rPr>
                <w:rFonts w:ascii="Arial" w:hAnsi="Arial"/>
                <w:sz w:val="20"/>
              </w:rPr>
              <w:t>.</w:t>
            </w:r>
          </w:p>
          <w:p w:rsidR="00C67891" w:rsidRDefault="00C67891">
            <w:pPr>
              <w:pStyle w:val="Betreff"/>
              <w:spacing w:before="0" w:after="0"/>
              <w:rPr>
                <w:rFonts w:ascii="Arial" w:hAnsi="Arial"/>
                <w:b w:val="0"/>
                <w:sz w:val="20"/>
              </w:rPr>
            </w:pPr>
          </w:p>
          <w:p w:rsidR="00C67891" w:rsidRDefault="00C67891">
            <w:pPr>
              <w:pStyle w:val="Betreff"/>
              <w:spacing w:before="0" w:after="0"/>
              <w:rPr>
                <w:rFonts w:ascii="Arial" w:hAnsi="Arial"/>
                <w:b w:val="0"/>
                <w:sz w:val="20"/>
              </w:rPr>
            </w:pPr>
          </w:p>
          <w:p w:rsidR="00C67891" w:rsidRDefault="00C67891">
            <w:pPr>
              <w:pStyle w:val="Betreff"/>
              <w:spacing w:before="0" w:after="0"/>
              <w:rPr>
                <w:rFonts w:ascii="Arial" w:hAnsi="Arial"/>
                <w:b w:val="0"/>
                <w:sz w:val="20"/>
              </w:rPr>
            </w:pPr>
          </w:p>
          <w:p w:rsidR="00C67891" w:rsidRDefault="00C67891">
            <w:pPr>
              <w:pStyle w:val="Betreff"/>
              <w:spacing w:before="0" w:after="0"/>
              <w:rPr>
                <w:rFonts w:ascii="Arial" w:hAnsi="Arial"/>
                <w:b w:val="0"/>
                <w:sz w:val="20"/>
              </w:rPr>
            </w:pPr>
          </w:p>
          <w:p w:rsidR="00C67891" w:rsidRDefault="00C67891">
            <w:pPr>
              <w:pStyle w:val="Betreff"/>
              <w:spacing w:before="0" w:after="0"/>
              <w:rPr>
                <w:rFonts w:ascii="Arial" w:hAnsi="Arial"/>
                <w:b w:val="0"/>
                <w:sz w:val="20"/>
              </w:rPr>
            </w:pPr>
            <w:r>
              <w:rPr>
                <w:rFonts w:ascii="Arial" w:hAnsi="Arial"/>
                <w:b w:val="0"/>
                <w:sz w:val="20"/>
              </w:rPr>
              <w:t>Der/Die Unterzeichnende erteilt seine/ihre</w:t>
            </w:r>
          </w:p>
          <w:p w:rsidR="00C67891" w:rsidRDefault="00C67891">
            <w:r>
              <w:t xml:space="preserve">Einwilligung zur </w:t>
            </w:r>
            <w:r>
              <w:rPr>
                <w:b/>
              </w:rPr>
              <w:t>Löschung</w:t>
            </w:r>
            <w:r>
              <w:t xml:space="preserve"> für das ihm/ihr</w:t>
            </w:r>
          </w:p>
        </w:tc>
        <w:tc>
          <w:tcPr>
            <w:tcW w:w="3827" w:type="dxa"/>
          </w:tcPr>
          <w:p w:rsidR="00C67891" w:rsidRDefault="00C67891">
            <w:pPr>
              <w:pStyle w:val="Betreff"/>
              <w:tabs>
                <w:tab w:val="clear" w:pos="5800"/>
              </w:tabs>
              <w:spacing w:before="0" w:after="0"/>
              <w:rPr>
                <w:rFonts w:ascii="Arial" w:hAnsi="Arial"/>
                <w:b w:val="0"/>
                <w:noProof/>
                <w:color w:val="000000"/>
                <w:sz w:val="20"/>
              </w:rPr>
            </w:pPr>
            <w:r>
              <w:rPr>
                <w:rFonts w:ascii="Arial" w:hAnsi="Arial"/>
                <w:b w:val="0"/>
                <w:color w:val="000000"/>
                <w:sz w:val="20"/>
              </w:rPr>
              <w:fldChar w:fldCharType="begin">
                <w:ffData>
                  <w:name w:val="Text1"/>
                  <w:enabled/>
                  <w:calcOnExit w:val="0"/>
                  <w:textInput/>
                </w:ffData>
              </w:fldChar>
            </w:r>
            <w:r>
              <w:rPr>
                <w:rFonts w:ascii="Arial" w:hAnsi="Arial"/>
                <w:b w:val="0"/>
                <w:color w:val="000000"/>
                <w:sz w:val="20"/>
              </w:rPr>
              <w:instrText xml:space="preserve"> FORMTEXT </w:instrText>
            </w:r>
            <w:r>
              <w:rPr>
                <w:rFonts w:ascii="Arial" w:hAnsi="Arial"/>
                <w:b w:val="0"/>
                <w:color w:val="000000"/>
                <w:sz w:val="20"/>
              </w:rPr>
            </w:r>
            <w:r>
              <w:rPr>
                <w:rFonts w:ascii="Arial" w:hAnsi="Arial"/>
                <w:b w:val="0"/>
                <w:color w:val="000000"/>
                <w:sz w:val="20"/>
              </w:rPr>
              <w:fldChar w:fldCharType="separate"/>
            </w:r>
            <w:r>
              <w:rPr>
                <w:rFonts w:ascii="Arial" w:hAnsi="Arial"/>
                <w:b w:val="0"/>
                <w:noProof/>
                <w:color w:val="000000"/>
                <w:sz w:val="20"/>
              </w:rPr>
              <w:t>Kreisgrundbuchamt</w:t>
            </w:r>
          </w:p>
          <w:p w:rsidR="00C67891" w:rsidRDefault="00C67891">
            <w:pPr>
              <w:pStyle w:val="Betreff"/>
              <w:tabs>
                <w:tab w:val="clear" w:pos="5800"/>
              </w:tabs>
              <w:spacing w:before="0" w:after="0"/>
              <w:rPr>
                <w:rFonts w:ascii="Arial" w:hAnsi="Arial"/>
                <w:b w:val="0"/>
                <w:sz w:val="20"/>
              </w:rPr>
            </w:pPr>
            <w:r>
              <w:rPr>
                <w:rFonts w:ascii="Arial" w:hAnsi="Arial"/>
                <w:b w:val="0"/>
                <w:noProof/>
                <w:color w:val="000000"/>
                <w:sz w:val="20"/>
              </w:rPr>
              <w:t>Waldsee</w:t>
            </w:r>
            <w:r>
              <w:rPr>
                <w:rFonts w:ascii="Arial" w:hAnsi="Arial"/>
                <w:b w:val="0"/>
                <w:color w:val="000000"/>
                <w:sz w:val="20"/>
              </w:rPr>
              <w:fldChar w:fldCharType="end"/>
            </w:r>
          </w:p>
        </w:tc>
      </w:tr>
      <w:tr w:rsidR="00C67891" w:rsidTr="00C67891">
        <w:tblPrEx>
          <w:tblCellMar>
            <w:left w:w="70" w:type="dxa"/>
            <w:right w:w="70" w:type="dxa"/>
          </w:tblCellMar>
        </w:tblPrEx>
        <w:trPr>
          <w:trHeight w:hRule="exact" w:val="480"/>
        </w:trPr>
        <w:tc>
          <w:tcPr>
            <w:tcW w:w="2252" w:type="dxa"/>
          </w:tcPr>
          <w:p w:rsidR="00C67891" w:rsidRDefault="00C67891">
            <w:pPr>
              <w:pStyle w:val="Betreff"/>
              <w:tabs>
                <w:tab w:val="clear" w:pos="5800"/>
              </w:tabs>
              <w:spacing w:before="0" w:after="0"/>
              <w:rPr>
                <w:rFonts w:ascii="Arial" w:hAnsi="Arial"/>
                <w:b w:val="0"/>
                <w:sz w:val="20"/>
              </w:rPr>
            </w:pPr>
            <w:r>
              <w:rPr>
                <w:rFonts w:ascii="Arial" w:hAnsi="Arial"/>
                <w:b w:val="0"/>
                <w:sz w:val="20"/>
              </w:rPr>
              <w:t>auf Grundbuchblatt Nr.</w:t>
            </w:r>
          </w:p>
        </w:tc>
        <w:tc>
          <w:tcPr>
            <w:tcW w:w="6964" w:type="dxa"/>
            <w:gridSpan w:val="4"/>
          </w:tcPr>
          <w:p w:rsidR="00C67891" w:rsidRDefault="00C67891">
            <w:pPr>
              <w:pStyle w:val="Betreff"/>
              <w:tabs>
                <w:tab w:val="clear" w:pos="5800"/>
              </w:tabs>
              <w:spacing w:before="0" w:after="0"/>
              <w:rPr>
                <w:rFonts w:ascii="Arial" w:hAnsi="Arial"/>
                <w:b w:val="0"/>
                <w:sz w:val="20"/>
              </w:rPr>
            </w:pPr>
            <w:r>
              <w:rPr>
                <w:rFonts w:ascii="Arial" w:hAnsi="Arial"/>
                <w:b w:val="0"/>
                <w:color w:val="000000"/>
                <w:sz w:val="20"/>
              </w:rPr>
              <w:fldChar w:fldCharType="begin">
                <w:ffData>
                  <w:name w:val="Text1"/>
                  <w:enabled/>
                  <w:calcOnExit w:val="0"/>
                  <w:textInput/>
                </w:ffData>
              </w:fldChar>
            </w:r>
            <w:r>
              <w:rPr>
                <w:rFonts w:ascii="Arial" w:hAnsi="Arial"/>
                <w:b w:val="0"/>
                <w:color w:val="000000"/>
                <w:sz w:val="20"/>
              </w:rPr>
              <w:instrText xml:space="preserve"> FORMTEXT </w:instrText>
            </w:r>
            <w:r>
              <w:rPr>
                <w:rFonts w:ascii="Arial" w:hAnsi="Arial"/>
                <w:b w:val="0"/>
                <w:color w:val="000000"/>
                <w:sz w:val="20"/>
              </w:rPr>
            </w:r>
            <w:r>
              <w:rPr>
                <w:rFonts w:ascii="Arial" w:hAnsi="Arial"/>
                <w:b w:val="0"/>
                <w:color w:val="000000"/>
                <w:sz w:val="20"/>
              </w:rPr>
              <w:fldChar w:fldCharType="separate"/>
            </w:r>
            <w:r>
              <w:rPr>
                <w:rFonts w:ascii="Arial" w:hAnsi="Arial"/>
                <w:b w:val="0"/>
                <w:color w:val="000000"/>
                <w:sz w:val="20"/>
              </w:rPr>
              <w:t>483-2</w:t>
            </w:r>
            <w:r>
              <w:rPr>
                <w:rFonts w:ascii="Arial" w:hAnsi="Arial"/>
                <w:b w:val="0"/>
                <w:color w:val="000000"/>
                <w:sz w:val="20"/>
              </w:rPr>
              <w:fldChar w:fldCharType="end"/>
            </w:r>
          </w:p>
        </w:tc>
      </w:tr>
      <w:tr w:rsidR="00C67891" w:rsidTr="00C67891">
        <w:tblPrEx>
          <w:tblCellMar>
            <w:left w:w="70" w:type="dxa"/>
            <w:right w:w="70" w:type="dxa"/>
          </w:tblCellMar>
        </w:tblPrEx>
        <w:trPr>
          <w:trHeight w:hRule="exact" w:val="480"/>
        </w:trPr>
        <w:tc>
          <w:tcPr>
            <w:tcW w:w="2252" w:type="dxa"/>
          </w:tcPr>
          <w:p w:rsidR="00C67891" w:rsidRDefault="00C67891">
            <w:pPr>
              <w:pStyle w:val="Betreff"/>
              <w:tabs>
                <w:tab w:val="clear" w:pos="5800"/>
              </w:tabs>
              <w:spacing w:before="0" w:after="0"/>
              <w:rPr>
                <w:rFonts w:ascii="Arial" w:hAnsi="Arial"/>
                <w:b w:val="0"/>
                <w:sz w:val="20"/>
              </w:rPr>
            </w:pPr>
            <w:r>
              <w:rPr>
                <w:rFonts w:ascii="Arial" w:hAnsi="Arial"/>
                <w:b w:val="0"/>
                <w:sz w:val="20"/>
              </w:rPr>
              <w:t xml:space="preserve">der Gemeinde </w:t>
            </w:r>
          </w:p>
        </w:tc>
        <w:tc>
          <w:tcPr>
            <w:tcW w:w="6964" w:type="dxa"/>
            <w:gridSpan w:val="4"/>
          </w:tcPr>
          <w:p w:rsidR="00C67891" w:rsidRDefault="00C67891">
            <w:pPr>
              <w:pStyle w:val="Betreff"/>
              <w:tabs>
                <w:tab w:val="clear" w:pos="5800"/>
              </w:tabs>
              <w:spacing w:before="0" w:after="0"/>
              <w:rPr>
                <w:rFonts w:ascii="Arial" w:hAnsi="Arial"/>
                <w:b w:val="0"/>
                <w:sz w:val="20"/>
              </w:rPr>
            </w:pPr>
            <w:r>
              <w:rPr>
                <w:rFonts w:ascii="Arial" w:hAnsi="Arial"/>
                <w:b w:val="0"/>
                <w:color w:val="000000"/>
                <w:sz w:val="20"/>
              </w:rPr>
              <w:fldChar w:fldCharType="begin">
                <w:ffData>
                  <w:name w:val="Text1"/>
                  <w:enabled/>
                  <w:calcOnExit w:val="0"/>
                  <w:textInput/>
                </w:ffData>
              </w:fldChar>
            </w:r>
            <w:r>
              <w:rPr>
                <w:rFonts w:ascii="Arial" w:hAnsi="Arial"/>
                <w:b w:val="0"/>
                <w:color w:val="000000"/>
                <w:sz w:val="20"/>
              </w:rPr>
              <w:instrText xml:space="preserve"> FORMTEXT </w:instrText>
            </w:r>
            <w:r>
              <w:rPr>
                <w:rFonts w:ascii="Arial" w:hAnsi="Arial"/>
                <w:b w:val="0"/>
                <w:color w:val="000000"/>
                <w:sz w:val="20"/>
              </w:rPr>
            </w:r>
            <w:r>
              <w:rPr>
                <w:rFonts w:ascii="Arial" w:hAnsi="Arial"/>
                <w:b w:val="0"/>
                <w:color w:val="000000"/>
                <w:sz w:val="20"/>
              </w:rPr>
              <w:fldChar w:fldCharType="separate"/>
            </w:r>
            <w:r>
              <w:rPr>
                <w:rFonts w:ascii="Arial" w:hAnsi="Arial"/>
                <w:b w:val="0"/>
                <w:color w:val="000000"/>
                <w:sz w:val="20"/>
              </w:rPr>
              <w:t>Seldwyla</w:t>
            </w:r>
            <w:r>
              <w:rPr>
                <w:rFonts w:ascii="Arial" w:hAnsi="Arial"/>
                <w:b w:val="0"/>
                <w:color w:val="000000"/>
                <w:sz w:val="20"/>
              </w:rPr>
              <w:fldChar w:fldCharType="end"/>
            </w:r>
          </w:p>
        </w:tc>
      </w:tr>
      <w:tr w:rsidR="00C67891" w:rsidTr="00C67891">
        <w:tblPrEx>
          <w:tblCellMar>
            <w:left w:w="70" w:type="dxa"/>
            <w:right w:w="70" w:type="dxa"/>
          </w:tblCellMar>
        </w:tblPrEx>
        <w:trPr>
          <w:cantSplit/>
          <w:trHeight w:hRule="exact" w:val="720"/>
        </w:trPr>
        <w:tc>
          <w:tcPr>
            <w:tcW w:w="2252" w:type="dxa"/>
          </w:tcPr>
          <w:p w:rsidR="00C67891" w:rsidRDefault="00C67891">
            <w:pPr>
              <w:pStyle w:val="Betreff"/>
              <w:tabs>
                <w:tab w:val="left" w:pos="2269"/>
              </w:tabs>
              <w:spacing w:before="0" w:after="0"/>
              <w:rPr>
                <w:rFonts w:ascii="Arial" w:hAnsi="Arial"/>
                <w:b w:val="0"/>
                <w:sz w:val="20"/>
              </w:rPr>
            </w:pPr>
            <w:r>
              <w:rPr>
                <w:rFonts w:ascii="Arial" w:hAnsi="Arial"/>
                <w:b w:val="0"/>
                <w:sz w:val="20"/>
              </w:rPr>
              <w:t xml:space="preserve">im Eigentum von </w:t>
            </w:r>
          </w:p>
        </w:tc>
        <w:tc>
          <w:tcPr>
            <w:tcW w:w="6964" w:type="dxa"/>
            <w:gridSpan w:val="4"/>
          </w:tcPr>
          <w:p w:rsidR="00C67891" w:rsidRDefault="00C67891">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color w:val="000000"/>
              </w:rPr>
              <w:t>Muster Max</w:t>
            </w:r>
            <w:r>
              <w:rPr>
                <w:color w:val="000000"/>
              </w:rPr>
              <w:fldChar w:fldCharType="end"/>
            </w:r>
          </w:p>
        </w:tc>
      </w:tr>
      <w:tr w:rsidR="00C67891" w:rsidTr="00C67891">
        <w:tblPrEx>
          <w:tblCellMar>
            <w:left w:w="70" w:type="dxa"/>
            <w:right w:w="70" w:type="dxa"/>
          </w:tblCellMar>
        </w:tblPrEx>
        <w:trPr>
          <w:trHeight w:hRule="exact" w:val="200"/>
        </w:trPr>
        <w:tc>
          <w:tcPr>
            <w:tcW w:w="9216" w:type="dxa"/>
            <w:gridSpan w:val="5"/>
          </w:tcPr>
          <w:p w:rsidR="00C67891" w:rsidRDefault="00C67891"/>
        </w:tc>
      </w:tr>
      <w:tr w:rsidR="00C67891" w:rsidTr="00C67891">
        <w:tblPrEx>
          <w:tblCellMar>
            <w:left w:w="70" w:type="dxa"/>
            <w:right w:w="70" w:type="dxa"/>
          </w:tblCellMar>
        </w:tblPrEx>
        <w:trPr>
          <w:trHeight w:hRule="exact" w:val="240"/>
        </w:trPr>
        <w:tc>
          <w:tcPr>
            <w:tcW w:w="9216" w:type="dxa"/>
            <w:gridSpan w:val="5"/>
          </w:tcPr>
          <w:p w:rsidR="00C67891" w:rsidRDefault="00C67891">
            <w:pPr>
              <w:rPr>
                <w:sz w:val="16"/>
              </w:rPr>
            </w:pPr>
            <w:r>
              <w:t xml:space="preserve">zustehende Recht </w:t>
            </w:r>
            <w:r>
              <w:rPr>
                <w:sz w:val="16"/>
              </w:rPr>
              <w:t>(Art/Errichtungsdatum/Beleg)</w:t>
            </w:r>
          </w:p>
        </w:tc>
      </w:tr>
      <w:tr w:rsidR="00C67891" w:rsidTr="00C67891">
        <w:tblPrEx>
          <w:tblCellMar>
            <w:left w:w="70" w:type="dxa"/>
            <w:right w:w="70" w:type="dxa"/>
          </w:tblCellMar>
        </w:tblPrEx>
        <w:trPr>
          <w:trHeight w:hRule="exact" w:val="200"/>
        </w:trPr>
        <w:tc>
          <w:tcPr>
            <w:tcW w:w="9216" w:type="dxa"/>
            <w:gridSpan w:val="5"/>
          </w:tcPr>
          <w:p w:rsidR="00C67891" w:rsidRDefault="00C67891"/>
        </w:tc>
      </w:tr>
      <w:tr w:rsidR="00C67891" w:rsidTr="00C67891">
        <w:tblPrEx>
          <w:tblCellMar>
            <w:left w:w="70" w:type="dxa"/>
            <w:right w:w="70" w:type="dxa"/>
          </w:tblCellMar>
        </w:tblPrEx>
        <w:trPr>
          <w:trHeight w:hRule="exact" w:val="1920"/>
        </w:trPr>
        <w:tc>
          <w:tcPr>
            <w:tcW w:w="9216" w:type="dxa"/>
            <w:gridSpan w:val="5"/>
          </w:tcPr>
          <w:p w:rsidR="00C67891" w:rsidRDefault="00C67891">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color w:val="000000"/>
              </w:rPr>
              <w:t>V.E. Grundpfandrecht für Gewinnanspruch zG Muster Heinz, 23.12.1962 (31.03.1994, 1994/831/0)</w:t>
            </w:r>
            <w:r>
              <w:rPr>
                <w:color w:val="000000"/>
              </w:rPr>
              <w:fldChar w:fldCharType="end"/>
            </w:r>
          </w:p>
        </w:tc>
      </w:tr>
      <w:tr w:rsidR="00C67891" w:rsidTr="00C67891">
        <w:tblPrEx>
          <w:tblCellMar>
            <w:left w:w="70" w:type="dxa"/>
            <w:right w:w="70" w:type="dxa"/>
          </w:tblCellMar>
        </w:tblPrEx>
        <w:trPr>
          <w:trHeight w:hRule="exact" w:val="200"/>
        </w:trPr>
        <w:tc>
          <w:tcPr>
            <w:tcW w:w="9216" w:type="dxa"/>
            <w:gridSpan w:val="5"/>
          </w:tcPr>
          <w:p w:rsidR="00C67891" w:rsidRDefault="00C67891">
            <w:pPr>
              <w:tabs>
                <w:tab w:val="left" w:pos="2836"/>
              </w:tabs>
            </w:pPr>
          </w:p>
        </w:tc>
      </w:tr>
      <w:tr w:rsidR="00C67891" w:rsidTr="00C67891">
        <w:tblPrEx>
          <w:tblCellMar>
            <w:left w:w="70" w:type="dxa"/>
            <w:right w:w="70" w:type="dxa"/>
          </w:tblCellMar>
        </w:tblPrEx>
        <w:trPr>
          <w:trHeight w:hRule="exact" w:val="520"/>
        </w:trPr>
        <w:tc>
          <w:tcPr>
            <w:tcW w:w="5389" w:type="dxa"/>
            <w:gridSpan w:val="4"/>
          </w:tcPr>
          <w:p w:rsidR="00C67891" w:rsidRDefault="00C67891">
            <w:pPr>
              <w:tabs>
                <w:tab w:val="left" w:pos="2836"/>
              </w:tabs>
            </w:pPr>
            <w:r>
              <w:t xml:space="preserve">Ort/Datum: </w:t>
            </w: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color w:val="000000"/>
              </w:rPr>
              <w:t>Seldwyla,</w:t>
            </w:r>
            <w:r>
              <w:rPr>
                <w:color w:val="000000"/>
              </w:rPr>
              <w:fldChar w:fldCharType="end"/>
            </w:r>
          </w:p>
        </w:tc>
        <w:tc>
          <w:tcPr>
            <w:tcW w:w="3827" w:type="dxa"/>
          </w:tcPr>
          <w:p w:rsidR="00C67891" w:rsidRDefault="00C67891">
            <w:pPr>
              <w:tabs>
                <w:tab w:val="left" w:pos="2836"/>
              </w:tabs>
              <w:rPr>
                <w:position w:val="6"/>
                <w:sz w:val="16"/>
              </w:rPr>
            </w:pPr>
            <w:r>
              <w:rPr>
                <w:b/>
              </w:rPr>
              <w:t xml:space="preserve">Der/Die Berechtigte: </w:t>
            </w:r>
            <w:r>
              <w:rPr>
                <w:position w:val="6"/>
                <w:sz w:val="16"/>
              </w:rPr>
              <w:t>1)</w:t>
            </w:r>
          </w:p>
          <w:p w:rsidR="00C67891" w:rsidRDefault="00C67891">
            <w:pPr>
              <w:tabs>
                <w:tab w:val="left" w:pos="2836"/>
              </w:tabs>
            </w:pPr>
            <w:r>
              <w:rPr>
                <w:sz w:val="16"/>
              </w:rPr>
              <w:t>(Name, Adresse und Unterschrift)</w:t>
            </w:r>
          </w:p>
        </w:tc>
      </w:tr>
      <w:tr w:rsidR="00C67891" w:rsidTr="00C67891">
        <w:tblPrEx>
          <w:tblCellMar>
            <w:left w:w="70" w:type="dxa"/>
            <w:right w:w="70" w:type="dxa"/>
          </w:tblCellMar>
        </w:tblPrEx>
        <w:trPr>
          <w:trHeight w:hRule="exact" w:val="1680"/>
        </w:trPr>
        <w:tc>
          <w:tcPr>
            <w:tcW w:w="5389" w:type="dxa"/>
            <w:gridSpan w:val="4"/>
            <w:tcBorders>
              <w:bottom w:val="single" w:sz="6" w:space="0" w:color="auto"/>
            </w:tcBorders>
          </w:tcPr>
          <w:p w:rsidR="00C67891" w:rsidRDefault="00C67891">
            <w:pPr>
              <w:tabs>
                <w:tab w:val="left" w:pos="2836"/>
              </w:tabs>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color w:val="000000"/>
              </w:rPr>
              <w:t xml:space="preserve">den </w:t>
            </w:r>
            <w:r>
              <w:rPr>
                <w:color w:val="000000"/>
              </w:rPr>
              <w:fldChar w:fldCharType="end"/>
            </w:r>
          </w:p>
        </w:tc>
        <w:tc>
          <w:tcPr>
            <w:tcW w:w="3827" w:type="dxa"/>
            <w:tcBorders>
              <w:bottom w:val="single" w:sz="6" w:space="0" w:color="auto"/>
            </w:tcBorders>
          </w:tcPr>
          <w:p w:rsidR="00C67891" w:rsidRDefault="00C67891">
            <w:pPr>
              <w:tabs>
                <w:tab w:val="left" w:pos="2836"/>
              </w:tabs>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color w:val="000000"/>
              </w:rPr>
              <w:t>Heinz Muster, Kuhweid 999, Sel</w:t>
            </w:r>
            <w:r>
              <w:rPr>
                <w:color w:val="000000"/>
              </w:rPr>
              <w:t>d</w:t>
            </w:r>
            <w:r>
              <w:rPr>
                <w:color w:val="000000"/>
              </w:rPr>
              <w:t>wyla:</w:t>
            </w:r>
            <w:r>
              <w:rPr>
                <w:color w:val="000000"/>
              </w:rPr>
              <w:fldChar w:fldCharType="end"/>
            </w:r>
          </w:p>
        </w:tc>
      </w:tr>
      <w:tr w:rsidR="00C67891" w:rsidTr="00C67891">
        <w:tblPrEx>
          <w:tblCellMar>
            <w:left w:w="70" w:type="dxa"/>
            <w:right w:w="70" w:type="dxa"/>
          </w:tblCellMar>
        </w:tblPrEx>
        <w:trPr>
          <w:trHeight w:hRule="exact" w:val="240"/>
        </w:trPr>
        <w:tc>
          <w:tcPr>
            <w:tcW w:w="9216" w:type="dxa"/>
            <w:gridSpan w:val="5"/>
          </w:tcPr>
          <w:p w:rsidR="00C67891" w:rsidRDefault="00C67891">
            <w:pPr>
              <w:tabs>
                <w:tab w:val="left" w:pos="2836"/>
              </w:tabs>
            </w:pPr>
          </w:p>
        </w:tc>
      </w:tr>
      <w:tr w:rsidR="00C67891" w:rsidTr="00C67891">
        <w:tblPrEx>
          <w:tblCellMar>
            <w:left w:w="70" w:type="dxa"/>
            <w:right w:w="70" w:type="dxa"/>
          </w:tblCellMar>
        </w:tblPrEx>
        <w:trPr>
          <w:trHeight w:hRule="exact" w:val="240"/>
        </w:trPr>
        <w:tc>
          <w:tcPr>
            <w:tcW w:w="9216" w:type="dxa"/>
            <w:gridSpan w:val="5"/>
          </w:tcPr>
          <w:p w:rsidR="00C67891" w:rsidRDefault="00C67891">
            <w:pPr>
              <w:rPr>
                <w:b/>
              </w:rPr>
            </w:pPr>
            <w:r>
              <w:rPr>
                <w:b/>
              </w:rPr>
              <w:t xml:space="preserve">Erklärung des Eigentümers/der Eigentümerin </w:t>
            </w:r>
            <w:r>
              <w:rPr>
                <w:sz w:val="18"/>
              </w:rPr>
              <w:t>(nur bei Löschung von Grundpfandrechten)</w:t>
            </w:r>
          </w:p>
        </w:tc>
      </w:tr>
      <w:tr w:rsidR="00C67891" w:rsidTr="00C67891">
        <w:tblPrEx>
          <w:tblCellMar>
            <w:left w:w="70" w:type="dxa"/>
            <w:right w:w="70" w:type="dxa"/>
          </w:tblCellMar>
        </w:tblPrEx>
        <w:trPr>
          <w:trHeight w:hRule="exact" w:val="240"/>
        </w:trPr>
        <w:tc>
          <w:tcPr>
            <w:tcW w:w="9216" w:type="dxa"/>
            <w:gridSpan w:val="5"/>
          </w:tcPr>
          <w:p w:rsidR="00C67891" w:rsidRDefault="00C67891"/>
        </w:tc>
      </w:tr>
      <w:tr w:rsidR="00C67891" w:rsidTr="00C67891">
        <w:tblPrEx>
          <w:tblCellMar>
            <w:left w:w="70" w:type="dxa"/>
            <w:right w:w="70" w:type="dxa"/>
          </w:tblCellMar>
        </w:tblPrEx>
        <w:trPr>
          <w:trHeight w:hRule="exact" w:val="480"/>
        </w:trPr>
        <w:tc>
          <w:tcPr>
            <w:tcW w:w="9216" w:type="dxa"/>
            <w:gridSpan w:val="5"/>
          </w:tcPr>
          <w:p w:rsidR="00C67891" w:rsidRDefault="00C67891">
            <w:r>
              <w:t xml:space="preserve">Zur beantragten Löschung wird die Einwilligung erteilt; auf die Eintragung einer leeren Pfandstelle wird verzichtet. </w:t>
            </w:r>
          </w:p>
        </w:tc>
      </w:tr>
      <w:tr w:rsidR="00C67891" w:rsidTr="00C67891">
        <w:tblPrEx>
          <w:tblCellMar>
            <w:left w:w="70" w:type="dxa"/>
            <w:right w:w="70" w:type="dxa"/>
          </w:tblCellMar>
        </w:tblPrEx>
        <w:trPr>
          <w:trHeight w:hRule="exact" w:val="240"/>
        </w:trPr>
        <w:tc>
          <w:tcPr>
            <w:tcW w:w="9216" w:type="dxa"/>
            <w:gridSpan w:val="5"/>
          </w:tcPr>
          <w:p w:rsidR="00C67891" w:rsidRDefault="00C67891"/>
        </w:tc>
      </w:tr>
      <w:tr w:rsidR="00C67891" w:rsidTr="00C67891">
        <w:tblPrEx>
          <w:tblCellMar>
            <w:left w:w="70" w:type="dxa"/>
            <w:right w:w="70" w:type="dxa"/>
          </w:tblCellMar>
        </w:tblPrEx>
        <w:trPr>
          <w:trHeight w:hRule="exact" w:val="240"/>
        </w:trPr>
        <w:tc>
          <w:tcPr>
            <w:tcW w:w="5389" w:type="dxa"/>
            <w:gridSpan w:val="4"/>
          </w:tcPr>
          <w:p w:rsidR="00C67891" w:rsidRDefault="00C67891">
            <w:r>
              <w:t xml:space="preserve">Ort/Datum: </w:t>
            </w: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color w:val="000000"/>
              </w:rPr>
              <w:t> </w:t>
            </w:r>
            <w:r>
              <w:rPr>
                <w:color w:val="000000"/>
              </w:rPr>
              <w:t> </w:t>
            </w:r>
            <w:r>
              <w:rPr>
                <w:color w:val="000000"/>
              </w:rPr>
              <w:t> </w:t>
            </w:r>
            <w:r>
              <w:rPr>
                <w:color w:val="000000"/>
              </w:rPr>
              <w:t> </w:t>
            </w:r>
            <w:r>
              <w:rPr>
                <w:color w:val="000000"/>
              </w:rPr>
              <w:t> </w:t>
            </w:r>
            <w:r>
              <w:rPr>
                <w:color w:val="000000"/>
              </w:rPr>
              <w:fldChar w:fldCharType="end"/>
            </w:r>
          </w:p>
        </w:tc>
        <w:tc>
          <w:tcPr>
            <w:tcW w:w="3827" w:type="dxa"/>
          </w:tcPr>
          <w:p w:rsidR="00C67891" w:rsidRDefault="00C67891">
            <w:r>
              <w:rPr>
                <w:b/>
              </w:rPr>
              <w:t>Der/Die Eigentümer/in:</w:t>
            </w:r>
          </w:p>
        </w:tc>
      </w:tr>
    </w:tbl>
    <w:p w:rsidR="00C67891" w:rsidRDefault="00C67891">
      <w:pPr>
        <w:rPr>
          <w:sz w:val="10"/>
        </w:rPr>
      </w:pPr>
    </w:p>
    <w:p w:rsidR="00902C4B" w:rsidRDefault="00902C4B" w:rsidP="00902C4B">
      <w:pPr>
        <w:rPr>
          <w:szCs w:val="22"/>
        </w:rPr>
      </w:pPr>
    </w:p>
    <w:p w:rsidR="00902C4B" w:rsidRDefault="00902C4B" w:rsidP="00902C4B">
      <w:pPr>
        <w:spacing w:after="200"/>
        <w:rPr>
          <w:szCs w:val="22"/>
        </w:rPr>
      </w:pPr>
      <w:r>
        <w:rPr>
          <w:szCs w:val="22"/>
        </w:rPr>
        <w:br w:type="page"/>
      </w:r>
    </w:p>
    <w:tbl>
      <w:tblPr>
        <w:tblW w:w="0" w:type="auto"/>
        <w:tblInd w:w="54" w:type="dxa"/>
        <w:tblLayout w:type="fixed"/>
        <w:tblCellMar>
          <w:left w:w="56" w:type="dxa"/>
          <w:right w:w="56" w:type="dxa"/>
        </w:tblCellMar>
        <w:tblLook w:val="0000" w:firstRow="0" w:lastRow="0" w:firstColumn="0" w:lastColumn="0" w:noHBand="0" w:noVBand="0"/>
      </w:tblPr>
      <w:tblGrid>
        <w:gridCol w:w="2252"/>
        <w:gridCol w:w="1150"/>
        <w:gridCol w:w="704"/>
        <w:gridCol w:w="1283"/>
        <w:gridCol w:w="3827"/>
      </w:tblGrid>
      <w:tr w:rsidR="00C67891" w:rsidTr="00C67891">
        <w:trPr>
          <w:cantSplit/>
          <w:trHeight w:hRule="exact" w:val="920"/>
        </w:trPr>
        <w:tc>
          <w:tcPr>
            <w:tcW w:w="3402" w:type="dxa"/>
            <w:gridSpan w:val="2"/>
          </w:tcPr>
          <w:p w:rsidR="00C67891" w:rsidRDefault="00C67891">
            <w:pPr>
              <w:rPr>
                <w:b/>
                <w:sz w:val="28"/>
              </w:rPr>
            </w:pPr>
            <w:r>
              <w:rPr>
                <w:b/>
                <w:sz w:val="28"/>
              </w:rPr>
              <w:lastRenderedPageBreak/>
              <w:t>Löschungsbewilligung</w:t>
            </w:r>
          </w:p>
          <w:p w:rsidR="00C67891" w:rsidRDefault="00C67891">
            <w:pPr>
              <w:rPr>
                <w:b/>
              </w:rPr>
            </w:pPr>
          </w:p>
          <w:p w:rsidR="00C67891" w:rsidRDefault="00C67891">
            <w:pPr>
              <w:rPr>
                <w:b/>
                <w:sz w:val="28"/>
              </w:rPr>
            </w:pPr>
            <w:r>
              <w:rPr>
                <w:b/>
              </w:rPr>
              <w:t>an das Grundbuchamt</w:t>
            </w:r>
          </w:p>
        </w:tc>
        <w:tc>
          <w:tcPr>
            <w:tcW w:w="704" w:type="dxa"/>
          </w:tcPr>
          <w:p w:rsidR="00C67891" w:rsidRDefault="00C67891">
            <w:pPr>
              <w:rPr>
                <w:sz w:val="18"/>
              </w:rPr>
            </w:pPr>
          </w:p>
        </w:tc>
        <w:tc>
          <w:tcPr>
            <w:tcW w:w="1283" w:type="dxa"/>
          </w:tcPr>
          <w:p w:rsidR="00C67891" w:rsidRDefault="00C67891"/>
        </w:tc>
        <w:tc>
          <w:tcPr>
            <w:tcW w:w="3827" w:type="dxa"/>
          </w:tcPr>
          <w:p w:rsidR="00C67891" w:rsidRDefault="00C67891">
            <w:r>
              <w:t xml:space="preserve">Beleg Nr. </w:t>
            </w:r>
          </w:p>
          <w:p w:rsidR="00C67891" w:rsidRDefault="00C67891">
            <w:pPr>
              <w:rPr>
                <w:sz w:val="16"/>
              </w:rPr>
            </w:pPr>
          </w:p>
          <w:p w:rsidR="00C67891" w:rsidRDefault="00C67891">
            <w:r>
              <w:t>Eingang</w:t>
            </w:r>
          </w:p>
        </w:tc>
      </w:tr>
      <w:tr w:rsidR="00C67891" w:rsidTr="00C67891">
        <w:tblPrEx>
          <w:tblCellMar>
            <w:left w:w="70" w:type="dxa"/>
            <w:right w:w="70" w:type="dxa"/>
          </w:tblCellMar>
        </w:tblPrEx>
        <w:trPr>
          <w:trHeight w:hRule="exact" w:val="720"/>
        </w:trPr>
        <w:tc>
          <w:tcPr>
            <w:tcW w:w="5389" w:type="dxa"/>
            <w:gridSpan w:val="4"/>
          </w:tcPr>
          <w:p w:rsidR="00C67891" w:rsidRDefault="00C67891"/>
        </w:tc>
        <w:tc>
          <w:tcPr>
            <w:tcW w:w="3827" w:type="dxa"/>
          </w:tcPr>
          <w:p w:rsidR="00C67891" w:rsidRDefault="00C67891"/>
        </w:tc>
      </w:tr>
      <w:tr w:rsidR="00C67891" w:rsidTr="00C67891">
        <w:tblPrEx>
          <w:tblCellMar>
            <w:left w:w="70" w:type="dxa"/>
            <w:right w:w="70" w:type="dxa"/>
          </w:tblCellMar>
        </w:tblPrEx>
        <w:trPr>
          <w:trHeight w:hRule="exact" w:val="1920"/>
        </w:trPr>
        <w:tc>
          <w:tcPr>
            <w:tcW w:w="5389" w:type="dxa"/>
            <w:gridSpan w:val="4"/>
          </w:tcPr>
          <w:p w:rsidR="00C67891" w:rsidRDefault="00C67891">
            <w:pPr>
              <w:pStyle w:val="Betreff"/>
              <w:spacing w:before="0" w:after="0"/>
              <w:rPr>
                <w:rFonts w:ascii="Arial" w:hAnsi="Arial"/>
                <w:b w:val="0"/>
                <w:sz w:val="20"/>
              </w:rPr>
            </w:pPr>
            <w:r>
              <w:rPr>
                <w:rFonts w:ascii="Arial" w:hAnsi="Arial"/>
                <w:b w:val="0"/>
                <w:sz w:val="20"/>
              </w:rPr>
              <w:t xml:space="preserve">                                                                                          </w:t>
            </w:r>
            <w:r>
              <w:rPr>
                <w:rFonts w:ascii="Arial" w:hAnsi="Arial"/>
                <w:sz w:val="20"/>
              </w:rPr>
              <w:t>.</w:t>
            </w:r>
          </w:p>
          <w:p w:rsidR="00C67891" w:rsidRDefault="00C67891">
            <w:pPr>
              <w:pStyle w:val="Betreff"/>
              <w:spacing w:before="0" w:after="0"/>
              <w:rPr>
                <w:rFonts w:ascii="Arial" w:hAnsi="Arial"/>
                <w:b w:val="0"/>
                <w:sz w:val="20"/>
              </w:rPr>
            </w:pPr>
          </w:p>
          <w:p w:rsidR="00C67891" w:rsidRDefault="00C67891">
            <w:pPr>
              <w:pStyle w:val="Betreff"/>
              <w:spacing w:before="0" w:after="0"/>
              <w:rPr>
                <w:rFonts w:ascii="Arial" w:hAnsi="Arial"/>
                <w:b w:val="0"/>
                <w:sz w:val="20"/>
              </w:rPr>
            </w:pPr>
          </w:p>
          <w:p w:rsidR="00C67891" w:rsidRDefault="00C67891">
            <w:pPr>
              <w:pStyle w:val="Betreff"/>
              <w:spacing w:before="0" w:after="0"/>
              <w:rPr>
                <w:rFonts w:ascii="Arial" w:hAnsi="Arial"/>
                <w:b w:val="0"/>
                <w:sz w:val="20"/>
              </w:rPr>
            </w:pPr>
          </w:p>
          <w:p w:rsidR="00C67891" w:rsidRDefault="00C67891">
            <w:pPr>
              <w:pStyle w:val="Betreff"/>
              <w:spacing w:before="0" w:after="0"/>
              <w:rPr>
                <w:rFonts w:ascii="Arial" w:hAnsi="Arial"/>
                <w:b w:val="0"/>
                <w:sz w:val="20"/>
              </w:rPr>
            </w:pPr>
          </w:p>
          <w:p w:rsidR="00C67891" w:rsidRDefault="00C67891">
            <w:pPr>
              <w:pStyle w:val="Betreff"/>
              <w:spacing w:before="0" w:after="0"/>
              <w:rPr>
                <w:rFonts w:ascii="Arial" w:hAnsi="Arial"/>
                <w:b w:val="0"/>
                <w:sz w:val="20"/>
              </w:rPr>
            </w:pPr>
            <w:r>
              <w:rPr>
                <w:rFonts w:ascii="Arial" w:hAnsi="Arial"/>
                <w:b w:val="0"/>
                <w:sz w:val="20"/>
              </w:rPr>
              <w:t>Der/Die Unterzeichnende erteilt seine/ihre</w:t>
            </w:r>
          </w:p>
          <w:p w:rsidR="00C67891" w:rsidRDefault="00C67891">
            <w:r>
              <w:t xml:space="preserve">Einwilligung zur </w:t>
            </w:r>
            <w:r>
              <w:rPr>
                <w:b/>
              </w:rPr>
              <w:t>Löschung</w:t>
            </w:r>
            <w:r>
              <w:t xml:space="preserve"> für das ihm/ihr</w:t>
            </w:r>
          </w:p>
        </w:tc>
        <w:tc>
          <w:tcPr>
            <w:tcW w:w="3827" w:type="dxa"/>
          </w:tcPr>
          <w:p w:rsidR="00C67891" w:rsidRDefault="00C67891">
            <w:pPr>
              <w:pStyle w:val="Betreff"/>
              <w:tabs>
                <w:tab w:val="clear" w:pos="5800"/>
              </w:tabs>
              <w:spacing w:before="0" w:after="0"/>
              <w:rPr>
                <w:rFonts w:ascii="Arial" w:hAnsi="Arial"/>
                <w:b w:val="0"/>
                <w:noProof/>
                <w:color w:val="000000"/>
                <w:sz w:val="20"/>
              </w:rPr>
            </w:pPr>
            <w:r>
              <w:rPr>
                <w:rFonts w:ascii="Arial" w:hAnsi="Arial"/>
                <w:b w:val="0"/>
                <w:color w:val="000000"/>
                <w:sz w:val="20"/>
              </w:rPr>
              <w:fldChar w:fldCharType="begin">
                <w:ffData>
                  <w:name w:val="Text1"/>
                  <w:enabled/>
                  <w:calcOnExit w:val="0"/>
                  <w:textInput/>
                </w:ffData>
              </w:fldChar>
            </w:r>
            <w:r>
              <w:rPr>
                <w:rFonts w:ascii="Arial" w:hAnsi="Arial"/>
                <w:b w:val="0"/>
                <w:color w:val="000000"/>
                <w:sz w:val="20"/>
              </w:rPr>
              <w:instrText xml:space="preserve"> FORMTEXT </w:instrText>
            </w:r>
            <w:r>
              <w:rPr>
                <w:rFonts w:ascii="Arial" w:hAnsi="Arial"/>
                <w:b w:val="0"/>
                <w:color w:val="000000"/>
                <w:sz w:val="20"/>
              </w:rPr>
            </w:r>
            <w:r>
              <w:rPr>
                <w:rFonts w:ascii="Arial" w:hAnsi="Arial"/>
                <w:b w:val="0"/>
                <w:color w:val="000000"/>
                <w:sz w:val="20"/>
              </w:rPr>
              <w:fldChar w:fldCharType="separate"/>
            </w:r>
            <w:r>
              <w:rPr>
                <w:rFonts w:ascii="Arial" w:hAnsi="Arial"/>
                <w:b w:val="0"/>
                <w:noProof/>
                <w:color w:val="000000"/>
                <w:sz w:val="20"/>
              </w:rPr>
              <w:t>Kreisgrundbuchamt</w:t>
            </w:r>
          </w:p>
          <w:p w:rsidR="00C67891" w:rsidRDefault="00C67891">
            <w:pPr>
              <w:pStyle w:val="Betreff"/>
              <w:tabs>
                <w:tab w:val="clear" w:pos="5800"/>
              </w:tabs>
              <w:spacing w:before="0" w:after="0"/>
              <w:rPr>
                <w:rFonts w:ascii="Arial" w:hAnsi="Arial"/>
                <w:b w:val="0"/>
                <w:sz w:val="20"/>
              </w:rPr>
            </w:pPr>
            <w:r>
              <w:rPr>
                <w:rFonts w:ascii="Arial" w:hAnsi="Arial"/>
                <w:b w:val="0"/>
                <w:noProof/>
                <w:color w:val="000000"/>
                <w:sz w:val="20"/>
              </w:rPr>
              <w:t>Waldsee</w:t>
            </w:r>
            <w:r>
              <w:rPr>
                <w:rFonts w:ascii="Arial" w:hAnsi="Arial"/>
                <w:b w:val="0"/>
                <w:color w:val="000000"/>
                <w:sz w:val="20"/>
              </w:rPr>
              <w:fldChar w:fldCharType="end"/>
            </w:r>
          </w:p>
        </w:tc>
      </w:tr>
      <w:tr w:rsidR="00C67891" w:rsidTr="00C67891">
        <w:tblPrEx>
          <w:tblCellMar>
            <w:left w:w="70" w:type="dxa"/>
            <w:right w:w="70" w:type="dxa"/>
          </w:tblCellMar>
        </w:tblPrEx>
        <w:trPr>
          <w:trHeight w:hRule="exact" w:val="480"/>
        </w:trPr>
        <w:tc>
          <w:tcPr>
            <w:tcW w:w="2252" w:type="dxa"/>
          </w:tcPr>
          <w:p w:rsidR="00C67891" w:rsidRDefault="00C67891">
            <w:pPr>
              <w:pStyle w:val="Betreff"/>
              <w:tabs>
                <w:tab w:val="clear" w:pos="5800"/>
              </w:tabs>
              <w:spacing w:before="0" w:after="0"/>
              <w:rPr>
                <w:rFonts w:ascii="Arial" w:hAnsi="Arial"/>
                <w:b w:val="0"/>
                <w:sz w:val="20"/>
              </w:rPr>
            </w:pPr>
            <w:r>
              <w:rPr>
                <w:rFonts w:ascii="Arial" w:hAnsi="Arial"/>
                <w:b w:val="0"/>
                <w:sz w:val="20"/>
              </w:rPr>
              <w:t>auf Grundbuchblatt Nr.</w:t>
            </w:r>
          </w:p>
        </w:tc>
        <w:tc>
          <w:tcPr>
            <w:tcW w:w="6964" w:type="dxa"/>
            <w:gridSpan w:val="4"/>
          </w:tcPr>
          <w:p w:rsidR="00C67891" w:rsidRDefault="00C67891">
            <w:pPr>
              <w:pStyle w:val="Betreff"/>
              <w:tabs>
                <w:tab w:val="clear" w:pos="5800"/>
              </w:tabs>
              <w:spacing w:before="0" w:after="0"/>
              <w:rPr>
                <w:rFonts w:ascii="Arial" w:hAnsi="Arial"/>
                <w:b w:val="0"/>
                <w:sz w:val="20"/>
              </w:rPr>
            </w:pPr>
            <w:r>
              <w:rPr>
                <w:rFonts w:ascii="Arial" w:hAnsi="Arial"/>
                <w:b w:val="0"/>
                <w:color w:val="000000"/>
                <w:sz w:val="20"/>
              </w:rPr>
              <w:fldChar w:fldCharType="begin">
                <w:ffData>
                  <w:name w:val="Text1"/>
                  <w:enabled/>
                  <w:calcOnExit w:val="0"/>
                  <w:textInput/>
                </w:ffData>
              </w:fldChar>
            </w:r>
            <w:r>
              <w:rPr>
                <w:rFonts w:ascii="Arial" w:hAnsi="Arial"/>
                <w:b w:val="0"/>
                <w:color w:val="000000"/>
                <w:sz w:val="20"/>
              </w:rPr>
              <w:instrText xml:space="preserve"> FORMTEXT </w:instrText>
            </w:r>
            <w:r>
              <w:rPr>
                <w:rFonts w:ascii="Arial" w:hAnsi="Arial"/>
                <w:b w:val="0"/>
                <w:color w:val="000000"/>
                <w:sz w:val="20"/>
              </w:rPr>
            </w:r>
            <w:r>
              <w:rPr>
                <w:rFonts w:ascii="Arial" w:hAnsi="Arial"/>
                <w:b w:val="0"/>
                <w:color w:val="000000"/>
                <w:sz w:val="20"/>
              </w:rPr>
              <w:fldChar w:fldCharType="separate"/>
            </w:r>
            <w:r>
              <w:rPr>
                <w:rFonts w:ascii="Arial" w:hAnsi="Arial"/>
                <w:b w:val="0"/>
                <w:color w:val="000000"/>
                <w:sz w:val="20"/>
              </w:rPr>
              <w:t>483</w:t>
            </w:r>
            <w:r>
              <w:rPr>
                <w:rFonts w:ascii="Arial" w:hAnsi="Arial"/>
                <w:b w:val="0"/>
                <w:color w:val="000000"/>
                <w:sz w:val="20"/>
              </w:rPr>
              <w:fldChar w:fldCharType="end"/>
            </w:r>
          </w:p>
        </w:tc>
      </w:tr>
      <w:tr w:rsidR="00C67891" w:rsidTr="00C67891">
        <w:tblPrEx>
          <w:tblCellMar>
            <w:left w:w="70" w:type="dxa"/>
            <w:right w:w="70" w:type="dxa"/>
          </w:tblCellMar>
        </w:tblPrEx>
        <w:trPr>
          <w:trHeight w:hRule="exact" w:val="480"/>
        </w:trPr>
        <w:tc>
          <w:tcPr>
            <w:tcW w:w="2252" w:type="dxa"/>
          </w:tcPr>
          <w:p w:rsidR="00C67891" w:rsidRDefault="00C67891">
            <w:pPr>
              <w:pStyle w:val="Betreff"/>
              <w:tabs>
                <w:tab w:val="clear" w:pos="5800"/>
              </w:tabs>
              <w:spacing w:before="0" w:after="0"/>
              <w:rPr>
                <w:rFonts w:ascii="Arial" w:hAnsi="Arial"/>
                <w:b w:val="0"/>
                <w:sz w:val="20"/>
              </w:rPr>
            </w:pPr>
            <w:r>
              <w:rPr>
                <w:rFonts w:ascii="Arial" w:hAnsi="Arial"/>
                <w:b w:val="0"/>
                <w:sz w:val="20"/>
              </w:rPr>
              <w:t xml:space="preserve">der Gemeinde </w:t>
            </w:r>
          </w:p>
        </w:tc>
        <w:tc>
          <w:tcPr>
            <w:tcW w:w="6964" w:type="dxa"/>
            <w:gridSpan w:val="4"/>
          </w:tcPr>
          <w:p w:rsidR="00C67891" w:rsidRDefault="00C67891">
            <w:pPr>
              <w:pStyle w:val="Betreff"/>
              <w:tabs>
                <w:tab w:val="clear" w:pos="5800"/>
              </w:tabs>
              <w:spacing w:before="0" w:after="0"/>
              <w:rPr>
                <w:rFonts w:ascii="Arial" w:hAnsi="Arial"/>
                <w:b w:val="0"/>
                <w:sz w:val="20"/>
              </w:rPr>
            </w:pPr>
            <w:r>
              <w:rPr>
                <w:rFonts w:ascii="Arial" w:hAnsi="Arial"/>
                <w:b w:val="0"/>
                <w:color w:val="000000"/>
                <w:sz w:val="20"/>
              </w:rPr>
              <w:fldChar w:fldCharType="begin">
                <w:ffData>
                  <w:name w:val="Text1"/>
                  <w:enabled/>
                  <w:calcOnExit w:val="0"/>
                  <w:textInput/>
                </w:ffData>
              </w:fldChar>
            </w:r>
            <w:r>
              <w:rPr>
                <w:rFonts w:ascii="Arial" w:hAnsi="Arial"/>
                <w:b w:val="0"/>
                <w:color w:val="000000"/>
                <w:sz w:val="20"/>
              </w:rPr>
              <w:instrText xml:space="preserve"> FORMTEXT </w:instrText>
            </w:r>
            <w:r>
              <w:rPr>
                <w:rFonts w:ascii="Arial" w:hAnsi="Arial"/>
                <w:b w:val="0"/>
                <w:color w:val="000000"/>
                <w:sz w:val="20"/>
              </w:rPr>
            </w:r>
            <w:r>
              <w:rPr>
                <w:rFonts w:ascii="Arial" w:hAnsi="Arial"/>
                <w:b w:val="0"/>
                <w:color w:val="000000"/>
                <w:sz w:val="20"/>
              </w:rPr>
              <w:fldChar w:fldCharType="separate"/>
            </w:r>
            <w:r>
              <w:rPr>
                <w:rFonts w:ascii="Arial" w:hAnsi="Arial"/>
                <w:b w:val="0"/>
                <w:color w:val="000000"/>
                <w:sz w:val="20"/>
              </w:rPr>
              <w:t>Seldwyla</w:t>
            </w:r>
            <w:r>
              <w:rPr>
                <w:rFonts w:ascii="Arial" w:hAnsi="Arial"/>
                <w:b w:val="0"/>
                <w:color w:val="000000"/>
                <w:sz w:val="20"/>
              </w:rPr>
              <w:fldChar w:fldCharType="end"/>
            </w:r>
          </w:p>
        </w:tc>
      </w:tr>
      <w:tr w:rsidR="00C67891" w:rsidTr="00C67891">
        <w:tblPrEx>
          <w:tblCellMar>
            <w:left w:w="70" w:type="dxa"/>
            <w:right w:w="70" w:type="dxa"/>
          </w:tblCellMar>
        </w:tblPrEx>
        <w:trPr>
          <w:cantSplit/>
          <w:trHeight w:hRule="exact" w:val="720"/>
        </w:trPr>
        <w:tc>
          <w:tcPr>
            <w:tcW w:w="2252" w:type="dxa"/>
          </w:tcPr>
          <w:p w:rsidR="00C67891" w:rsidRDefault="00C67891">
            <w:pPr>
              <w:pStyle w:val="Betreff"/>
              <w:tabs>
                <w:tab w:val="left" w:pos="2269"/>
              </w:tabs>
              <w:spacing w:before="0" w:after="0"/>
              <w:rPr>
                <w:rFonts w:ascii="Arial" w:hAnsi="Arial"/>
                <w:b w:val="0"/>
                <w:sz w:val="20"/>
              </w:rPr>
            </w:pPr>
            <w:r>
              <w:rPr>
                <w:rFonts w:ascii="Arial" w:hAnsi="Arial"/>
                <w:b w:val="0"/>
                <w:sz w:val="20"/>
              </w:rPr>
              <w:t xml:space="preserve">im Eigentum von </w:t>
            </w:r>
          </w:p>
        </w:tc>
        <w:tc>
          <w:tcPr>
            <w:tcW w:w="6964" w:type="dxa"/>
            <w:gridSpan w:val="4"/>
          </w:tcPr>
          <w:p w:rsidR="00C67891" w:rsidRDefault="00C67891">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color w:val="000000"/>
              </w:rPr>
              <w:t>Muster Max</w:t>
            </w:r>
            <w:r>
              <w:rPr>
                <w:color w:val="000000"/>
              </w:rPr>
              <w:fldChar w:fldCharType="end"/>
            </w:r>
          </w:p>
        </w:tc>
      </w:tr>
      <w:tr w:rsidR="00C67891" w:rsidTr="00C67891">
        <w:tblPrEx>
          <w:tblCellMar>
            <w:left w:w="70" w:type="dxa"/>
            <w:right w:w="70" w:type="dxa"/>
          </w:tblCellMar>
        </w:tblPrEx>
        <w:trPr>
          <w:trHeight w:hRule="exact" w:val="200"/>
        </w:trPr>
        <w:tc>
          <w:tcPr>
            <w:tcW w:w="9216" w:type="dxa"/>
            <w:gridSpan w:val="5"/>
          </w:tcPr>
          <w:p w:rsidR="00C67891" w:rsidRDefault="00C67891"/>
        </w:tc>
      </w:tr>
      <w:tr w:rsidR="00C67891" w:rsidTr="00C67891">
        <w:tblPrEx>
          <w:tblCellMar>
            <w:left w:w="70" w:type="dxa"/>
            <w:right w:w="70" w:type="dxa"/>
          </w:tblCellMar>
        </w:tblPrEx>
        <w:trPr>
          <w:trHeight w:hRule="exact" w:val="240"/>
        </w:trPr>
        <w:tc>
          <w:tcPr>
            <w:tcW w:w="9216" w:type="dxa"/>
            <w:gridSpan w:val="5"/>
          </w:tcPr>
          <w:p w:rsidR="00C67891" w:rsidRDefault="00C67891">
            <w:pPr>
              <w:rPr>
                <w:sz w:val="16"/>
              </w:rPr>
            </w:pPr>
            <w:r>
              <w:t xml:space="preserve">zustehende Recht </w:t>
            </w:r>
            <w:r>
              <w:rPr>
                <w:sz w:val="16"/>
              </w:rPr>
              <w:t>(Art/Errichtungsdatum/Beleg)</w:t>
            </w:r>
          </w:p>
        </w:tc>
      </w:tr>
      <w:tr w:rsidR="00C67891" w:rsidTr="00C67891">
        <w:tblPrEx>
          <w:tblCellMar>
            <w:left w:w="70" w:type="dxa"/>
            <w:right w:w="70" w:type="dxa"/>
          </w:tblCellMar>
        </w:tblPrEx>
        <w:trPr>
          <w:trHeight w:hRule="exact" w:val="200"/>
        </w:trPr>
        <w:tc>
          <w:tcPr>
            <w:tcW w:w="9216" w:type="dxa"/>
            <w:gridSpan w:val="5"/>
          </w:tcPr>
          <w:p w:rsidR="00C67891" w:rsidRDefault="00C67891"/>
        </w:tc>
      </w:tr>
      <w:tr w:rsidR="00C67891" w:rsidTr="00C67891">
        <w:tblPrEx>
          <w:tblCellMar>
            <w:left w:w="70" w:type="dxa"/>
            <w:right w:w="70" w:type="dxa"/>
          </w:tblCellMar>
        </w:tblPrEx>
        <w:trPr>
          <w:trHeight w:hRule="exact" w:val="1920"/>
        </w:trPr>
        <w:tc>
          <w:tcPr>
            <w:tcW w:w="9216" w:type="dxa"/>
            <w:gridSpan w:val="5"/>
          </w:tcPr>
          <w:p w:rsidR="00C67891" w:rsidRDefault="00C67891">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color w:val="000000"/>
              </w:rPr>
              <w:t>Rückerstattungspflicht gemäss IBG bis 15.01.2023 (Eintrag 29.04.1998, 1998/1136/0)</w:t>
            </w:r>
            <w:r>
              <w:rPr>
                <w:color w:val="000000"/>
              </w:rPr>
              <w:fldChar w:fldCharType="end"/>
            </w:r>
          </w:p>
        </w:tc>
      </w:tr>
      <w:tr w:rsidR="00C67891" w:rsidTr="00C67891">
        <w:tblPrEx>
          <w:tblCellMar>
            <w:left w:w="70" w:type="dxa"/>
            <w:right w:w="70" w:type="dxa"/>
          </w:tblCellMar>
        </w:tblPrEx>
        <w:trPr>
          <w:trHeight w:hRule="exact" w:val="200"/>
        </w:trPr>
        <w:tc>
          <w:tcPr>
            <w:tcW w:w="9216" w:type="dxa"/>
            <w:gridSpan w:val="5"/>
          </w:tcPr>
          <w:p w:rsidR="00C67891" w:rsidRDefault="00C67891">
            <w:pPr>
              <w:tabs>
                <w:tab w:val="left" w:pos="2836"/>
              </w:tabs>
            </w:pPr>
          </w:p>
        </w:tc>
      </w:tr>
      <w:tr w:rsidR="00C67891" w:rsidTr="00C67891">
        <w:tblPrEx>
          <w:tblCellMar>
            <w:left w:w="70" w:type="dxa"/>
            <w:right w:w="70" w:type="dxa"/>
          </w:tblCellMar>
        </w:tblPrEx>
        <w:trPr>
          <w:trHeight w:hRule="exact" w:val="520"/>
        </w:trPr>
        <w:tc>
          <w:tcPr>
            <w:tcW w:w="5389" w:type="dxa"/>
            <w:gridSpan w:val="4"/>
          </w:tcPr>
          <w:p w:rsidR="00C67891" w:rsidRDefault="00C67891">
            <w:pPr>
              <w:tabs>
                <w:tab w:val="left" w:pos="2836"/>
              </w:tabs>
            </w:pPr>
            <w:r>
              <w:t xml:space="preserve">Ort/Datum: </w:t>
            </w: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color w:val="000000"/>
              </w:rPr>
              <w:t> </w:t>
            </w:r>
            <w:r>
              <w:rPr>
                <w:color w:val="000000"/>
              </w:rPr>
              <w:t> </w:t>
            </w:r>
            <w:r>
              <w:rPr>
                <w:color w:val="000000"/>
              </w:rPr>
              <w:t> </w:t>
            </w:r>
            <w:r>
              <w:rPr>
                <w:color w:val="000000"/>
              </w:rPr>
              <w:t> </w:t>
            </w:r>
            <w:r>
              <w:rPr>
                <w:color w:val="000000"/>
              </w:rPr>
              <w:t> </w:t>
            </w:r>
            <w:r>
              <w:rPr>
                <w:color w:val="000000"/>
              </w:rPr>
              <w:fldChar w:fldCharType="end"/>
            </w:r>
          </w:p>
        </w:tc>
        <w:tc>
          <w:tcPr>
            <w:tcW w:w="3827" w:type="dxa"/>
          </w:tcPr>
          <w:p w:rsidR="00C67891" w:rsidRDefault="00C67891">
            <w:pPr>
              <w:tabs>
                <w:tab w:val="left" w:pos="2836"/>
              </w:tabs>
              <w:rPr>
                <w:position w:val="6"/>
                <w:sz w:val="16"/>
              </w:rPr>
            </w:pPr>
            <w:r>
              <w:rPr>
                <w:b/>
              </w:rPr>
              <w:t xml:space="preserve">Der/Die Berechtigte: </w:t>
            </w:r>
            <w:r>
              <w:rPr>
                <w:position w:val="6"/>
                <w:sz w:val="16"/>
              </w:rPr>
              <w:t>1)</w:t>
            </w:r>
          </w:p>
          <w:p w:rsidR="00C67891" w:rsidRDefault="00C67891">
            <w:pPr>
              <w:tabs>
                <w:tab w:val="left" w:pos="2836"/>
              </w:tabs>
            </w:pPr>
            <w:r>
              <w:rPr>
                <w:sz w:val="16"/>
              </w:rPr>
              <w:t>(Name, Adresse und Unterschrift)</w:t>
            </w:r>
          </w:p>
        </w:tc>
      </w:tr>
      <w:tr w:rsidR="00C67891" w:rsidTr="00C67891">
        <w:tblPrEx>
          <w:tblCellMar>
            <w:left w:w="70" w:type="dxa"/>
            <w:right w:w="70" w:type="dxa"/>
          </w:tblCellMar>
        </w:tblPrEx>
        <w:trPr>
          <w:trHeight w:hRule="exact" w:val="1680"/>
        </w:trPr>
        <w:tc>
          <w:tcPr>
            <w:tcW w:w="5389" w:type="dxa"/>
            <w:gridSpan w:val="4"/>
            <w:tcBorders>
              <w:bottom w:val="single" w:sz="6" w:space="0" w:color="auto"/>
            </w:tcBorders>
          </w:tcPr>
          <w:p w:rsidR="00C67891" w:rsidRDefault="00C67891">
            <w:pPr>
              <w:tabs>
                <w:tab w:val="left" w:pos="2836"/>
              </w:tabs>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color w:val="000000"/>
              </w:rPr>
              <w:t> </w:t>
            </w:r>
            <w:r>
              <w:rPr>
                <w:color w:val="000000"/>
              </w:rPr>
              <w:t> </w:t>
            </w:r>
            <w:r>
              <w:rPr>
                <w:color w:val="000000"/>
              </w:rPr>
              <w:t> </w:t>
            </w:r>
            <w:r>
              <w:rPr>
                <w:color w:val="000000"/>
              </w:rPr>
              <w:t> </w:t>
            </w:r>
            <w:r>
              <w:rPr>
                <w:color w:val="000000"/>
              </w:rPr>
              <w:t> </w:t>
            </w:r>
            <w:r>
              <w:rPr>
                <w:color w:val="000000"/>
              </w:rPr>
              <w:fldChar w:fldCharType="end"/>
            </w:r>
          </w:p>
        </w:tc>
        <w:tc>
          <w:tcPr>
            <w:tcW w:w="3827" w:type="dxa"/>
            <w:tcBorders>
              <w:bottom w:val="single" w:sz="6" w:space="0" w:color="auto"/>
            </w:tcBorders>
          </w:tcPr>
          <w:p w:rsidR="00C67891" w:rsidRDefault="00C67891">
            <w:pPr>
              <w:tabs>
                <w:tab w:val="left" w:pos="2836"/>
              </w:tabs>
              <w:rPr>
                <w:color w:val="000000"/>
              </w:rPr>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color w:val="000000"/>
              </w:rPr>
              <w:t>Amt für Landwirtschaft Kt. Bern</w:t>
            </w:r>
          </w:p>
          <w:p w:rsidR="00C67891" w:rsidRDefault="00C67891">
            <w:pPr>
              <w:tabs>
                <w:tab w:val="left" w:pos="2836"/>
              </w:tabs>
              <w:rPr>
                <w:color w:val="000000"/>
              </w:rPr>
            </w:pPr>
            <w:r>
              <w:rPr>
                <w:color w:val="000000"/>
              </w:rPr>
              <w:t>ASP</w:t>
            </w:r>
          </w:p>
          <w:p w:rsidR="00C67891" w:rsidRDefault="00C67891">
            <w:pPr>
              <w:tabs>
                <w:tab w:val="left" w:pos="2836"/>
              </w:tabs>
              <w:rPr>
                <w:color w:val="000000"/>
              </w:rPr>
            </w:pPr>
            <w:r>
              <w:rPr>
                <w:color w:val="000000"/>
              </w:rPr>
              <w:t>Schwand</w:t>
            </w:r>
          </w:p>
          <w:p w:rsidR="00C67891" w:rsidRDefault="00C67891">
            <w:pPr>
              <w:tabs>
                <w:tab w:val="left" w:pos="2836"/>
              </w:tabs>
            </w:pPr>
            <w:r>
              <w:rPr>
                <w:color w:val="000000"/>
              </w:rPr>
              <w:t>3110 Münsingen</w:t>
            </w:r>
            <w:r>
              <w:rPr>
                <w:color w:val="000000"/>
              </w:rPr>
              <w:fldChar w:fldCharType="end"/>
            </w:r>
          </w:p>
        </w:tc>
      </w:tr>
      <w:tr w:rsidR="00C67891" w:rsidTr="00C67891">
        <w:tblPrEx>
          <w:tblCellMar>
            <w:left w:w="70" w:type="dxa"/>
            <w:right w:w="70" w:type="dxa"/>
          </w:tblCellMar>
        </w:tblPrEx>
        <w:trPr>
          <w:trHeight w:hRule="exact" w:val="240"/>
        </w:trPr>
        <w:tc>
          <w:tcPr>
            <w:tcW w:w="9216" w:type="dxa"/>
            <w:gridSpan w:val="5"/>
          </w:tcPr>
          <w:p w:rsidR="00C67891" w:rsidRDefault="00C67891">
            <w:pPr>
              <w:tabs>
                <w:tab w:val="left" w:pos="2836"/>
              </w:tabs>
            </w:pPr>
          </w:p>
        </w:tc>
      </w:tr>
      <w:tr w:rsidR="00C67891" w:rsidTr="00C67891">
        <w:tblPrEx>
          <w:tblCellMar>
            <w:left w:w="70" w:type="dxa"/>
            <w:right w:w="70" w:type="dxa"/>
          </w:tblCellMar>
        </w:tblPrEx>
        <w:trPr>
          <w:trHeight w:hRule="exact" w:val="240"/>
        </w:trPr>
        <w:tc>
          <w:tcPr>
            <w:tcW w:w="9216" w:type="dxa"/>
            <w:gridSpan w:val="5"/>
          </w:tcPr>
          <w:p w:rsidR="00C67891" w:rsidRDefault="00C67891">
            <w:pPr>
              <w:rPr>
                <w:b/>
              </w:rPr>
            </w:pPr>
            <w:r>
              <w:rPr>
                <w:b/>
              </w:rPr>
              <w:t xml:space="preserve">Erklärung des Eigentümers/der Eigentümerin </w:t>
            </w:r>
            <w:r>
              <w:rPr>
                <w:sz w:val="18"/>
              </w:rPr>
              <w:t>(nur bei Löschung von Grundpfandrechten)</w:t>
            </w:r>
          </w:p>
        </w:tc>
      </w:tr>
      <w:tr w:rsidR="00C67891" w:rsidTr="00C67891">
        <w:tblPrEx>
          <w:tblCellMar>
            <w:left w:w="70" w:type="dxa"/>
            <w:right w:w="70" w:type="dxa"/>
          </w:tblCellMar>
        </w:tblPrEx>
        <w:trPr>
          <w:trHeight w:hRule="exact" w:val="240"/>
        </w:trPr>
        <w:tc>
          <w:tcPr>
            <w:tcW w:w="9216" w:type="dxa"/>
            <w:gridSpan w:val="5"/>
          </w:tcPr>
          <w:p w:rsidR="00C67891" w:rsidRDefault="00C67891"/>
        </w:tc>
      </w:tr>
      <w:tr w:rsidR="00C67891" w:rsidTr="00C67891">
        <w:tblPrEx>
          <w:tblCellMar>
            <w:left w:w="70" w:type="dxa"/>
            <w:right w:w="70" w:type="dxa"/>
          </w:tblCellMar>
        </w:tblPrEx>
        <w:trPr>
          <w:trHeight w:hRule="exact" w:val="480"/>
        </w:trPr>
        <w:tc>
          <w:tcPr>
            <w:tcW w:w="9216" w:type="dxa"/>
            <w:gridSpan w:val="5"/>
          </w:tcPr>
          <w:p w:rsidR="00C67891" w:rsidRDefault="00C67891">
            <w:r>
              <w:t xml:space="preserve">Zur beantragten Löschung wird die Einwilligung erteilt; auf die Eintragung einer leeren Pfandstelle wird verzichtet. </w:t>
            </w:r>
          </w:p>
        </w:tc>
      </w:tr>
      <w:tr w:rsidR="00C67891" w:rsidTr="00C67891">
        <w:tblPrEx>
          <w:tblCellMar>
            <w:left w:w="70" w:type="dxa"/>
            <w:right w:w="70" w:type="dxa"/>
          </w:tblCellMar>
        </w:tblPrEx>
        <w:trPr>
          <w:trHeight w:hRule="exact" w:val="240"/>
        </w:trPr>
        <w:tc>
          <w:tcPr>
            <w:tcW w:w="9216" w:type="dxa"/>
            <w:gridSpan w:val="5"/>
          </w:tcPr>
          <w:p w:rsidR="00C67891" w:rsidRDefault="00C67891"/>
        </w:tc>
      </w:tr>
      <w:tr w:rsidR="00C67891" w:rsidTr="00C67891">
        <w:tblPrEx>
          <w:tblCellMar>
            <w:left w:w="70" w:type="dxa"/>
            <w:right w:w="70" w:type="dxa"/>
          </w:tblCellMar>
        </w:tblPrEx>
        <w:trPr>
          <w:trHeight w:hRule="exact" w:val="240"/>
        </w:trPr>
        <w:tc>
          <w:tcPr>
            <w:tcW w:w="5389" w:type="dxa"/>
            <w:gridSpan w:val="4"/>
          </w:tcPr>
          <w:p w:rsidR="00C67891" w:rsidRDefault="00C67891">
            <w:r>
              <w:t xml:space="preserve">Ort/Datum: </w:t>
            </w: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color w:val="000000"/>
              </w:rPr>
              <w:t> </w:t>
            </w:r>
            <w:r>
              <w:rPr>
                <w:color w:val="000000"/>
              </w:rPr>
              <w:t> </w:t>
            </w:r>
            <w:r>
              <w:rPr>
                <w:color w:val="000000"/>
              </w:rPr>
              <w:t> </w:t>
            </w:r>
            <w:r>
              <w:rPr>
                <w:color w:val="000000"/>
              </w:rPr>
              <w:t> </w:t>
            </w:r>
            <w:r>
              <w:rPr>
                <w:color w:val="000000"/>
              </w:rPr>
              <w:t> </w:t>
            </w:r>
            <w:r>
              <w:rPr>
                <w:color w:val="000000"/>
              </w:rPr>
              <w:fldChar w:fldCharType="end"/>
            </w:r>
          </w:p>
        </w:tc>
        <w:tc>
          <w:tcPr>
            <w:tcW w:w="3827" w:type="dxa"/>
          </w:tcPr>
          <w:p w:rsidR="00C67891" w:rsidRDefault="00C67891">
            <w:r>
              <w:rPr>
                <w:b/>
              </w:rPr>
              <w:t>Der/Die Eigentümer/in:</w:t>
            </w:r>
          </w:p>
        </w:tc>
      </w:tr>
    </w:tbl>
    <w:p w:rsidR="00C67891" w:rsidRDefault="00C67891">
      <w:pPr>
        <w:rPr>
          <w:sz w:val="10"/>
        </w:rPr>
      </w:pPr>
    </w:p>
    <w:p w:rsidR="00902C4B" w:rsidRDefault="00902C4B" w:rsidP="00902C4B">
      <w:pPr>
        <w:rPr>
          <w:szCs w:val="22"/>
        </w:rPr>
      </w:pPr>
    </w:p>
    <w:p w:rsidR="00902C4B" w:rsidRDefault="00902C4B" w:rsidP="00902C4B">
      <w:pPr>
        <w:spacing w:after="200"/>
        <w:rPr>
          <w:szCs w:val="22"/>
        </w:rPr>
      </w:pPr>
      <w:r>
        <w:rPr>
          <w:szCs w:val="22"/>
        </w:rPr>
        <w:br w:type="page"/>
      </w:r>
    </w:p>
    <w:tbl>
      <w:tblPr>
        <w:tblW w:w="0" w:type="auto"/>
        <w:tblInd w:w="54" w:type="dxa"/>
        <w:tblLayout w:type="fixed"/>
        <w:tblCellMar>
          <w:left w:w="56" w:type="dxa"/>
          <w:right w:w="56" w:type="dxa"/>
        </w:tblCellMar>
        <w:tblLook w:val="0000" w:firstRow="0" w:lastRow="0" w:firstColumn="0" w:lastColumn="0" w:noHBand="0" w:noVBand="0"/>
      </w:tblPr>
      <w:tblGrid>
        <w:gridCol w:w="2252"/>
        <w:gridCol w:w="1150"/>
        <w:gridCol w:w="704"/>
        <w:gridCol w:w="1283"/>
        <w:gridCol w:w="3827"/>
      </w:tblGrid>
      <w:tr w:rsidR="00C67891" w:rsidTr="00C67891">
        <w:trPr>
          <w:cantSplit/>
          <w:trHeight w:hRule="exact" w:val="920"/>
        </w:trPr>
        <w:tc>
          <w:tcPr>
            <w:tcW w:w="3402" w:type="dxa"/>
            <w:gridSpan w:val="2"/>
          </w:tcPr>
          <w:p w:rsidR="00C67891" w:rsidRDefault="00C67891">
            <w:pPr>
              <w:rPr>
                <w:b/>
                <w:sz w:val="28"/>
              </w:rPr>
            </w:pPr>
            <w:r>
              <w:rPr>
                <w:b/>
                <w:sz w:val="28"/>
              </w:rPr>
              <w:lastRenderedPageBreak/>
              <w:t>Löschungsbewilligung</w:t>
            </w:r>
          </w:p>
          <w:p w:rsidR="00C67891" w:rsidRDefault="00C67891">
            <w:pPr>
              <w:rPr>
                <w:b/>
              </w:rPr>
            </w:pPr>
          </w:p>
          <w:p w:rsidR="00C67891" w:rsidRDefault="00C67891">
            <w:pPr>
              <w:rPr>
                <w:b/>
                <w:sz w:val="28"/>
              </w:rPr>
            </w:pPr>
            <w:r>
              <w:rPr>
                <w:b/>
              </w:rPr>
              <w:t>an das Grundbuchamt</w:t>
            </w:r>
          </w:p>
        </w:tc>
        <w:tc>
          <w:tcPr>
            <w:tcW w:w="704" w:type="dxa"/>
          </w:tcPr>
          <w:p w:rsidR="00C67891" w:rsidRDefault="00C67891">
            <w:pPr>
              <w:rPr>
                <w:sz w:val="18"/>
              </w:rPr>
            </w:pPr>
          </w:p>
        </w:tc>
        <w:tc>
          <w:tcPr>
            <w:tcW w:w="1283" w:type="dxa"/>
          </w:tcPr>
          <w:p w:rsidR="00C67891" w:rsidRDefault="00C67891"/>
        </w:tc>
        <w:tc>
          <w:tcPr>
            <w:tcW w:w="3827" w:type="dxa"/>
          </w:tcPr>
          <w:p w:rsidR="00C67891" w:rsidRDefault="00C67891">
            <w:r>
              <w:t xml:space="preserve">Beleg Nr. </w:t>
            </w:r>
          </w:p>
          <w:p w:rsidR="00C67891" w:rsidRDefault="00C67891">
            <w:pPr>
              <w:rPr>
                <w:sz w:val="16"/>
              </w:rPr>
            </w:pPr>
          </w:p>
          <w:p w:rsidR="00C67891" w:rsidRDefault="00C67891">
            <w:r>
              <w:t>Eingang</w:t>
            </w:r>
          </w:p>
        </w:tc>
      </w:tr>
      <w:tr w:rsidR="00C67891" w:rsidTr="00C67891">
        <w:tblPrEx>
          <w:tblCellMar>
            <w:left w:w="70" w:type="dxa"/>
            <w:right w:w="70" w:type="dxa"/>
          </w:tblCellMar>
        </w:tblPrEx>
        <w:trPr>
          <w:trHeight w:hRule="exact" w:val="720"/>
        </w:trPr>
        <w:tc>
          <w:tcPr>
            <w:tcW w:w="5389" w:type="dxa"/>
            <w:gridSpan w:val="4"/>
          </w:tcPr>
          <w:p w:rsidR="00C67891" w:rsidRDefault="00C67891"/>
        </w:tc>
        <w:tc>
          <w:tcPr>
            <w:tcW w:w="3827" w:type="dxa"/>
          </w:tcPr>
          <w:p w:rsidR="00C67891" w:rsidRDefault="00C67891"/>
        </w:tc>
      </w:tr>
      <w:tr w:rsidR="00C67891" w:rsidTr="00C67891">
        <w:tblPrEx>
          <w:tblCellMar>
            <w:left w:w="70" w:type="dxa"/>
            <w:right w:w="70" w:type="dxa"/>
          </w:tblCellMar>
        </w:tblPrEx>
        <w:trPr>
          <w:trHeight w:hRule="exact" w:val="1920"/>
        </w:trPr>
        <w:tc>
          <w:tcPr>
            <w:tcW w:w="5389" w:type="dxa"/>
            <w:gridSpan w:val="4"/>
          </w:tcPr>
          <w:p w:rsidR="00C67891" w:rsidRDefault="00C67891">
            <w:pPr>
              <w:pStyle w:val="Betreff"/>
              <w:spacing w:before="0" w:after="0"/>
              <w:rPr>
                <w:rFonts w:ascii="Arial" w:hAnsi="Arial"/>
                <w:b w:val="0"/>
                <w:sz w:val="20"/>
              </w:rPr>
            </w:pPr>
            <w:r>
              <w:rPr>
                <w:rFonts w:ascii="Arial" w:hAnsi="Arial"/>
                <w:b w:val="0"/>
                <w:sz w:val="20"/>
              </w:rPr>
              <w:t xml:space="preserve">                                                                                          </w:t>
            </w:r>
            <w:r>
              <w:rPr>
                <w:rFonts w:ascii="Arial" w:hAnsi="Arial"/>
                <w:sz w:val="20"/>
              </w:rPr>
              <w:t>.</w:t>
            </w:r>
          </w:p>
          <w:p w:rsidR="00C67891" w:rsidRDefault="00C67891">
            <w:pPr>
              <w:pStyle w:val="Betreff"/>
              <w:spacing w:before="0" w:after="0"/>
              <w:rPr>
                <w:rFonts w:ascii="Arial" w:hAnsi="Arial"/>
                <w:b w:val="0"/>
                <w:sz w:val="20"/>
              </w:rPr>
            </w:pPr>
          </w:p>
          <w:p w:rsidR="00C67891" w:rsidRDefault="00C67891">
            <w:pPr>
              <w:pStyle w:val="Betreff"/>
              <w:spacing w:before="0" w:after="0"/>
              <w:rPr>
                <w:rFonts w:ascii="Arial" w:hAnsi="Arial"/>
                <w:b w:val="0"/>
                <w:sz w:val="20"/>
              </w:rPr>
            </w:pPr>
          </w:p>
          <w:p w:rsidR="00C67891" w:rsidRDefault="00C67891">
            <w:pPr>
              <w:pStyle w:val="Betreff"/>
              <w:spacing w:before="0" w:after="0"/>
              <w:rPr>
                <w:rFonts w:ascii="Arial" w:hAnsi="Arial"/>
                <w:b w:val="0"/>
                <w:sz w:val="20"/>
              </w:rPr>
            </w:pPr>
          </w:p>
          <w:p w:rsidR="00C67891" w:rsidRDefault="00C67891">
            <w:pPr>
              <w:pStyle w:val="Betreff"/>
              <w:spacing w:before="0" w:after="0"/>
              <w:rPr>
                <w:rFonts w:ascii="Arial" w:hAnsi="Arial"/>
                <w:b w:val="0"/>
                <w:sz w:val="20"/>
              </w:rPr>
            </w:pPr>
          </w:p>
          <w:p w:rsidR="00C67891" w:rsidRDefault="00C67891">
            <w:pPr>
              <w:pStyle w:val="Betreff"/>
              <w:spacing w:before="0" w:after="0"/>
              <w:rPr>
                <w:rFonts w:ascii="Arial" w:hAnsi="Arial"/>
                <w:b w:val="0"/>
                <w:sz w:val="20"/>
              </w:rPr>
            </w:pPr>
            <w:r>
              <w:rPr>
                <w:rFonts w:ascii="Arial" w:hAnsi="Arial"/>
                <w:b w:val="0"/>
                <w:sz w:val="20"/>
              </w:rPr>
              <w:t>Der/Die Unterzeichnende erteilt seine/ihre</w:t>
            </w:r>
          </w:p>
          <w:p w:rsidR="00C67891" w:rsidRDefault="00C67891">
            <w:r>
              <w:t xml:space="preserve">Einwilligung zur </w:t>
            </w:r>
            <w:r>
              <w:rPr>
                <w:b/>
              </w:rPr>
              <w:t>Löschung</w:t>
            </w:r>
            <w:r>
              <w:t xml:space="preserve"> für das ihm/ihr</w:t>
            </w:r>
          </w:p>
        </w:tc>
        <w:tc>
          <w:tcPr>
            <w:tcW w:w="3827" w:type="dxa"/>
          </w:tcPr>
          <w:p w:rsidR="00C67891" w:rsidRDefault="00C67891">
            <w:pPr>
              <w:pStyle w:val="Betreff"/>
              <w:tabs>
                <w:tab w:val="clear" w:pos="5800"/>
              </w:tabs>
              <w:spacing w:before="0" w:after="0"/>
              <w:rPr>
                <w:rFonts w:ascii="Arial" w:hAnsi="Arial"/>
                <w:b w:val="0"/>
                <w:noProof/>
                <w:color w:val="000000"/>
                <w:sz w:val="20"/>
              </w:rPr>
            </w:pPr>
            <w:r>
              <w:rPr>
                <w:rFonts w:ascii="Arial" w:hAnsi="Arial"/>
                <w:b w:val="0"/>
                <w:color w:val="000000"/>
                <w:sz w:val="20"/>
              </w:rPr>
              <w:fldChar w:fldCharType="begin">
                <w:ffData>
                  <w:name w:val="Text1"/>
                  <w:enabled/>
                  <w:calcOnExit w:val="0"/>
                  <w:textInput/>
                </w:ffData>
              </w:fldChar>
            </w:r>
            <w:r>
              <w:rPr>
                <w:rFonts w:ascii="Arial" w:hAnsi="Arial"/>
                <w:b w:val="0"/>
                <w:color w:val="000000"/>
                <w:sz w:val="20"/>
              </w:rPr>
              <w:instrText xml:space="preserve"> FORMTEXT </w:instrText>
            </w:r>
            <w:r>
              <w:rPr>
                <w:rFonts w:ascii="Arial" w:hAnsi="Arial"/>
                <w:b w:val="0"/>
                <w:color w:val="000000"/>
                <w:sz w:val="20"/>
              </w:rPr>
            </w:r>
            <w:r>
              <w:rPr>
                <w:rFonts w:ascii="Arial" w:hAnsi="Arial"/>
                <w:b w:val="0"/>
                <w:color w:val="000000"/>
                <w:sz w:val="20"/>
              </w:rPr>
              <w:fldChar w:fldCharType="separate"/>
            </w:r>
            <w:r>
              <w:rPr>
                <w:rFonts w:ascii="Arial" w:hAnsi="Arial"/>
                <w:b w:val="0"/>
                <w:noProof/>
                <w:color w:val="000000"/>
                <w:sz w:val="20"/>
              </w:rPr>
              <w:t>Kreisgrundbuchamt</w:t>
            </w:r>
          </w:p>
          <w:p w:rsidR="00C67891" w:rsidRDefault="00C67891">
            <w:pPr>
              <w:pStyle w:val="Betreff"/>
              <w:tabs>
                <w:tab w:val="clear" w:pos="5800"/>
              </w:tabs>
              <w:spacing w:before="0" w:after="0"/>
              <w:rPr>
                <w:rFonts w:ascii="Arial" w:hAnsi="Arial"/>
                <w:b w:val="0"/>
                <w:sz w:val="20"/>
              </w:rPr>
            </w:pPr>
            <w:r>
              <w:rPr>
                <w:rFonts w:ascii="Arial" w:hAnsi="Arial"/>
                <w:b w:val="0"/>
                <w:noProof/>
                <w:color w:val="000000"/>
                <w:sz w:val="20"/>
              </w:rPr>
              <w:t>Waldsee</w:t>
            </w:r>
            <w:r>
              <w:rPr>
                <w:rFonts w:ascii="Arial" w:hAnsi="Arial"/>
                <w:b w:val="0"/>
                <w:color w:val="000000"/>
                <w:sz w:val="20"/>
              </w:rPr>
              <w:fldChar w:fldCharType="end"/>
            </w:r>
          </w:p>
        </w:tc>
      </w:tr>
      <w:tr w:rsidR="00C67891" w:rsidTr="00C67891">
        <w:tblPrEx>
          <w:tblCellMar>
            <w:left w:w="70" w:type="dxa"/>
            <w:right w:w="70" w:type="dxa"/>
          </w:tblCellMar>
        </w:tblPrEx>
        <w:trPr>
          <w:trHeight w:hRule="exact" w:val="480"/>
        </w:trPr>
        <w:tc>
          <w:tcPr>
            <w:tcW w:w="2252" w:type="dxa"/>
          </w:tcPr>
          <w:p w:rsidR="00C67891" w:rsidRDefault="00C67891">
            <w:pPr>
              <w:pStyle w:val="Betreff"/>
              <w:tabs>
                <w:tab w:val="clear" w:pos="5800"/>
              </w:tabs>
              <w:spacing w:before="0" w:after="0"/>
              <w:rPr>
                <w:rFonts w:ascii="Arial" w:hAnsi="Arial"/>
                <w:b w:val="0"/>
                <w:sz w:val="20"/>
              </w:rPr>
            </w:pPr>
            <w:r>
              <w:rPr>
                <w:rFonts w:ascii="Arial" w:hAnsi="Arial"/>
                <w:b w:val="0"/>
                <w:sz w:val="20"/>
              </w:rPr>
              <w:t>auf Grundbuchblatt Nr.</w:t>
            </w:r>
          </w:p>
        </w:tc>
        <w:tc>
          <w:tcPr>
            <w:tcW w:w="6964" w:type="dxa"/>
            <w:gridSpan w:val="4"/>
          </w:tcPr>
          <w:p w:rsidR="00C67891" w:rsidRDefault="00C67891">
            <w:pPr>
              <w:pStyle w:val="Betreff"/>
              <w:tabs>
                <w:tab w:val="clear" w:pos="5800"/>
              </w:tabs>
              <w:spacing w:before="0" w:after="0"/>
              <w:rPr>
                <w:rFonts w:ascii="Arial" w:hAnsi="Arial"/>
                <w:b w:val="0"/>
                <w:sz w:val="20"/>
              </w:rPr>
            </w:pPr>
            <w:r>
              <w:rPr>
                <w:rFonts w:ascii="Arial" w:hAnsi="Arial"/>
                <w:b w:val="0"/>
                <w:color w:val="000000"/>
                <w:sz w:val="20"/>
              </w:rPr>
              <w:fldChar w:fldCharType="begin">
                <w:ffData>
                  <w:name w:val="Text1"/>
                  <w:enabled/>
                  <w:calcOnExit w:val="0"/>
                  <w:textInput/>
                </w:ffData>
              </w:fldChar>
            </w:r>
            <w:r>
              <w:rPr>
                <w:rFonts w:ascii="Arial" w:hAnsi="Arial"/>
                <w:b w:val="0"/>
                <w:color w:val="000000"/>
                <w:sz w:val="20"/>
              </w:rPr>
              <w:instrText xml:space="preserve"> FORMTEXT </w:instrText>
            </w:r>
            <w:r>
              <w:rPr>
                <w:rFonts w:ascii="Arial" w:hAnsi="Arial"/>
                <w:b w:val="0"/>
                <w:color w:val="000000"/>
                <w:sz w:val="20"/>
              </w:rPr>
            </w:r>
            <w:r>
              <w:rPr>
                <w:rFonts w:ascii="Arial" w:hAnsi="Arial"/>
                <w:b w:val="0"/>
                <w:color w:val="000000"/>
                <w:sz w:val="20"/>
              </w:rPr>
              <w:fldChar w:fldCharType="separate"/>
            </w:r>
            <w:r>
              <w:rPr>
                <w:rFonts w:ascii="Arial" w:hAnsi="Arial"/>
                <w:b w:val="0"/>
                <w:color w:val="000000"/>
                <w:sz w:val="20"/>
              </w:rPr>
              <w:t>483</w:t>
            </w:r>
            <w:r>
              <w:rPr>
                <w:rFonts w:ascii="Arial" w:hAnsi="Arial"/>
                <w:b w:val="0"/>
                <w:color w:val="000000"/>
                <w:sz w:val="20"/>
              </w:rPr>
              <w:fldChar w:fldCharType="end"/>
            </w:r>
          </w:p>
        </w:tc>
      </w:tr>
      <w:tr w:rsidR="00C67891" w:rsidTr="00C67891">
        <w:tblPrEx>
          <w:tblCellMar>
            <w:left w:w="70" w:type="dxa"/>
            <w:right w:w="70" w:type="dxa"/>
          </w:tblCellMar>
        </w:tblPrEx>
        <w:trPr>
          <w:trHeight w:hRule="exact" w:val="480"/>
        </w:trPr>
        <w:tc>
          <w:tcPr>
            <w:tcW w:w="2252" w:type="dxa"/>
          </w:tcPr>
          <w:p w:rsidR="00C67891" w:rsidRDefault="00C67891">
            <w:pPr>
              <w:pStyle w:val="Betreff"/>
              <w:tabs>
                <w:tab w:val="clear" w:pos="5800"/>
              </w:tabs>
              <w:spacing w:before="0" w:after="0"/>
              <w:rPr>
                <w:rFonts w:ascii="Arial" w:hAnsi="Arial"/>
                <w:b w:val="0"/>
                <w:sz w:val="20"/>
              </w:rPr>
            </w:pPr>
            <w:r>
              <w:rPr>
                <w:rFonts w:ascii="Arial" w:hAnsi="Arial"/>
                <w:b w:val="0"/>
                <w:sz w:val="20"/>
              </w:rPr>
              <w:t xml:space="preserve">der Gemeinde </w:t>
            </w:r>
          </w:p>
        </w:tc>
        <w:tc>
          <w:tcPr>
            <w:tcW w:w="6964" w:type="dxa"/>
            <w:gridSpan w:val="4"/>
          </w:tcPr>
          <w:p w:rsidR="00C67891" w:rsidRDefault="00C67891">
            <w:pPr>
              <w:pStyle w:val="Betreff"/>
              <w:tabs>
                <w:tab w:val="clear" w:pos="5800"/>
              </w:tabs>
              <w:spacing w:before="0" w:after="0"/>
              <w:rPr>
                <w:rFonts w:ascii="Arial" w:hAnsi="Arial"/>
                <w:b w:val="0"/>
                <w:sz w:val="20"/>
              </w:rPr>
            </w:pPr>
            <w:r>
              <w:rPr>
                <w:rFonts w:ascii="Arial" w:hAnsi="Arial"/>
                <w:b w:val="0"/>
                <w:color w:val="000000"/>
                <w:sz w:val="20"/>
              </w:rPr>
              <w:fldChar w:fldCharType="begin">
                <w:ffData>
                  <w:name w:val="Text1"/>
                  <w:enabled/>
                  <w:calcOnExit w:val="0"/>
                  <w:textInput/>
                </w:ffData>
              </w:fldChar>
            </w:r>
            <w:r>
              <w:rPr>
                <w:rFonts w:ascii="Arial" w:hAnsi="Arial"/>
                <w:b w:val="0"/>
                <w:color w:val="000000"/>
                <w:sz w:val="20"/>
              </w:rPr>
              <w:instrText xml:space="preserve"> FORMTEXT </w:instrText>
            </w:r>
            <w:r>
              <w:rPr>
                <w:rFonts w:ascii="Arial" w:hAnsi="Arial"/>
                <w:b w:val="0"/>
                <w:color w:val="000000"/>
                <w:sz w:val="20"/>
              </w:rPr>
            </w:r>
            <w:r>
              <w:rPr>
                <w:rFonts w:ascii="Arial" w:hAnsi="Arial"/>
                <w:b w:val="0"/>
                <w:color w:val="000000"/>
                <w:sz w:val="20"/>
              </w:rPr>
              <w:fldChar w:fldCharType="separate"/>
            </w:r>
            <w:r>
              <w:rPr>
                <w:rFonts w:ascii="Arial" w:hAnsi="Arial"/>
                <w:b w:val="0"/>
                <w:color w:val="000000"/>
                <w:sz w:val="20"/>
              </w:rPr>
              <w:t>Seldwyla</w:t>
            </w:r>
            <w:r>
              <w:rPr>
                <w:rFonts w:ascii="Arial" w:hAnsi="Arial"/>
                <w:b w:val="0"/>
                <w:color w:val="000000"/>
                <w:sz w:val="20"/>
              </w:rPr>
              <w:fldChar w:fldCharType="end"/>
            </w:r>
          </w:p>
        </w:tc>
      </w:tr>
      <w:tr w:rsidR="00C67891" w:rsidTr="00C67891">
        <w:tblPrEx>
          <w:tblCellMar>
            <w:left w:w="70" w:type="dxa"/>
            <w:right w:w="70" w:type="dxa"/>
          </w:tblCellMar>
        </w:tblPrEx>
        <w:trPr>
          <w:cantSplit/>
          <w:trHeight w:hRule="exact" w:val="720"/>
        </w:trPr>
        <w:tc>
          <w:tcPr>
            <w:tcW w:w="2252" w:type="dxa"/>
          </w:tcPr>
          <w:p w:rsidR="00C67891" w:rsidRDefault="00C67891">
            <w:pPr>
              <w:pStyle w:val="Betreff"/>
              <w:tabs>
                <w:tab w:val="left" w:pos="2269"/>
              </w:tabs>
              <w:spacing w:before="0" w:after="0"/>
              <w:rPr>
                <w:rFonts w:ascii="Arial" w:hAnsi="Arial"/>
                <w:b w:val="0"/>
                <w:sz w:val="20"/>
              </w:rPr>
            </w:pPr>
            <w:r>
              <w:rPr>
                <w:rFonts w:ascii="Arial" w:hAnsi="Arial"/>
                <w:b w:val="0"/>
                <w:sz w:val="20"/>
              </w:rPr>
              <w:t xml:space="preserve">im Eigentum von </w:t>
            </w:r>
          </w:p>
        </w:tc>
        <w:tc>
          <w:tcPr>
            <w:tcW w:w="6964" w:type="dxa"/>
            <w:gridSpan w:val="4"/>
          </w:tcPr>
          <w:p w:rsidR="00C67891" w:rsidRDefault="00C67891">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color w:val="000000"/>
              </w:rPr>
              <w:t>Muster Max</w:t>
            </w:r>
            <w:r>
              <w:rPr>
                <w:color w:val="000000"/>
              </w:rPr>
              <w:fldChar w:fldCharType="end"/>
            </w:r>
          </w:p>
        </w:tc>
      </w:tr>
      <w:tr w:rsidR="00C67891" w:rsidTr="00C67891">
        <w:tblPrEx>
          <w:tblCellMar>
            <w:left w:w="70" w:type="dxa"/>
            <w:right w:w="70" w:type="dxa"/>
          </w:tblCellMar>
        </w:tblPrEx>
        <w:trPr>
          <w:trHeight w:hRule="exact" w:val="200"/>
        </w:trPr>
        <w:tc>
          <w:tcPr>
            <w:tcW w:w="9216" w:type="dxa"/>
            <w:gridSpan w:val="5"/>
          </w:tcPr>
          <w:p w:rsidR="00C67891" w:rsidRDefault="00C67891"/>
        </w:tc>
      </w:tr>
      <w:tr w:rsidR="00C67891" w:rsidTr="00C67891">
        <w:tblPrEx>
          <w:tblCellMar>
            <w:left w:w="70" w:type="dxa"/>
            <w:right w:w="70" w:type="dxa"/>
          </w:tblCellMar>
        </w:tblPrEx>
        <w:trPr>
          <w:trHeight w:hRule="exact" w:val="240"/>
        </w:trPr>
        <w:tc>
          <w:tcPr>
            <w:tcW w:w="9216" w:type="dxa"/>
            <w:gridSpan w:val="5"/>
          </w:tcPr>
          <w:p w:rsidR="00C67891" w:rsidRDefault="00C67891">
            <w:pPr>
              <w:rPr>
                <w:sz w:val="16"/>
              </w:rPr>
            </w:pPr>
            <w:r>
              <w:t xml:space="preserve">zustehende Recht </w:t>
            </w:r>
            <w:r>
              <w:rPr>
                <w:sz w:val="16"/>
              </w:rPr>
              <w:t>(Art/Errichtungsdatum/Beleg)</w:t>
            </w:r>
          </w:p>
        </w:tc>
      </w:tr>
      <w:tr w:rsidR="00C67891" w:rsidTr="00C67891">
        <w:tblPrEx>
          <w:tblCellMar>
            <w:left w:w="70" w:type="dxa"/>
            <w:right w:w="70" w:type="dxa"/>
          </w:tblCellMar>
        </w:tblPrEx>
        <w:trPr>
          <w:trHeight w:hRule="exact" w:val="200"/>
        </w:trPr>
        <w:tc>
          <w:tcPr>
            <w:tcW w:w="9216" w:type="dxa"/>
            <w:gridSpan w:val="5"/>
          </w:tcPr>
          <w:p w:rsidR="00C67891" w:rsidRDefault="00C67891"/>
        </w:tc>
      </w:tr>
      <w:tr w:rsidR="00C67891" w:rsidTr="00C67891">
        <w:tblPrEx>
          <w:tblCellMar>
            <w:left w:w="70" w:type="dxa"/>
            <w:right w:w="70" w:type="dxa"/>
          </w:tblCellMar>
        </w:tblPrEx>
        <w:trPr>
          <w:trHeight w:hRule="exact" w:val="1920"/>
        </w:trPr>
        <w:tc>
          <w:tcPr>
            <w:tcW w:w="9216" w:type="dxa"/>
            <w:gridSpan w:val="5"/>
          </w:tcPr>
          <w:p w:rsidR="00C67891" w:rsidRDefault="00C67891">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color w:val="000000"/>
              </w:rPr>
              <w:t>Landwirtschaftlicher Hochbau Nr. 11707, Gebäuderationalisierungen; Bewilligungspflicht für Handänderungen bis 31.12.2019 (6.3.1998, Beleg 1998/587/0)</w:t>
            </w:r>
            <w:r>
              <w:rPr>
                <w:color w:val="000000"/>
              </w:rPr>
              <w:fldChar w:fldCharType="end"/>
            </w:r>
          </w:p>
        </w:tc>
      </w:tr>
      <w:tr w:rsidR="00C67891" w:rsidTr="00C67891">
        <w:tblPrEx>
          <w:tblCellMar>
            <w:left w:w="70" w:type="dxa"/>
            <w:right w:w="70" w:type="dxa"/>
          </w:tblCellMar>
        </w:tblPrEx>
        <w:trPr>
          <w:trHeight w:hRule="exact" w:val="200"/>
        </w:trPr>
        <w:tc>
          <w:tcPr>
            <w:tcW w:w="9216" w:type="dxa"/>
            <w:gridSpan w:val="5"/>
          </w:tcPr>
          <w:p w:rsidR="00C67891" w:rsidRDefault="00C67891">
            <w:pPr>
              <w:tabs>
                <w:tab w:val="left" w:pos="2836"/>
              </w:tabs>
            </w:pPr>
          </w:p>
        </w:tc>
      </w:tr>
      <w:tr w:rsidR="00C67891" w:rsidTr="00C67891">
        <w:tblPrEx>
          <w:tblCellMar>
            <w:left w:w="70" w:type="dxa"/>
            <w:right w:w="70" w:type="dxa"/>
          </w:tblCellMar>
        </w:tblPrEx>
        <w:trPr>
          <w:trHeight w:hRule="exact" w:val="520"/>
        </w:trPr>
        <w:tc>
          <w:tcPr>
            <w:tcW w:w="5389" w:type="dxa"/>
            <w:gridSpan w:val="4"/>
          </w:tcPr>
          <w:p w:rsidR="00C67891" w:rsidRDefault="00C67891">
            <w:pPr>
              <w:tabs>
                <w:tab w:val="left" w:pos="2836"/>
              </w:tabs>
            </w:pPr>
            <w:r>
              <w:t xml:space="preserve">Ort/Datum: </w:t>
            </w: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color w:val="000000"/>
              </w:rPr>
              <w:t> </w:t>
            </w:r>
            <w:r>
              <w:rPr>
                <w:color w:val="000000"/>
              </w:rPr>
              <w:t> </w:t>
            </w:r>
            <w:r>
              <w:rPr>
                <w:color w:val="000000"/>
              </w:rPr>
              <w:t> </w:t>
            </w:r>
            <w:r>
              <w:rPr>
                <w:color w:val="000000"/>
              </w:rPr>
              <w:t> </w:t>
            </w:r>
            <w:r>
              <w:rPr>
                <w:color w:val="000000"/>
              </w:rPr>
              <w:t> </w:t>
            </w:r>
            <w:r>
              <w:rPr>
                <w:color w:val="000000"/>
              </w:rPr>
              <w:fldChar w:fldCharType="end"/>
            </w:r>
          </w:p>
        </w:tc>
        <w:tc>
          <w:tcPr>
            <w:tcW w:w="3827" w:type="dxa"/>
          </w:tcPr>
          <w:p w:rsidR="00C67891" w:rsidRDefault="00C67891">
            <w:pPr>
              <w:tabs>
                <w:tab w:val="left" w:pos="2836"/>
              </w:tabs>
              <w:rPr>
                <w:position w:val="6"/>
                <w:sz w:val="16"/>
              </w:rPr>
            </w:pPr>
            <w:r>
              <w:rPr>
                <w:b/>
              </w:rPr>
              <w:t xml:space="preserve">Der/Die Berechtigte: </w:t>
            </w:r>
            <w:r>
              <w:rPr>
                <w:position w:val="6"/>
                <w:sz w:val="16"/>
              </w:rPr>
              <w:t>1)</w:t>
            </w:r>
          </w:p>
          <w:p w:rsidR="00C67891" w:rsidRDefault="00C67891">
            <w:pPr>
              <w:tabs>
                <w:tab w:val="left" w:pos="2836"/>
              </w:tabs>
            </w:pPr>
            <w:r>
              <w:rPr>
                <w:sz w:val="16"/>
              </w:rPr>
              <w:t>(Name, Adresse und Unterschrift)</w:t>
            </w:r>
          </w:p>
        </w:tc>
      </w:tr>
      <w:tr w:rsidR="00C67891" w:rsidTr="00C67891">
        <w:tblPrEx>
          <w:tblCellMar>
            <w:left w:w="70" w:type="dxa"/>
            <w:right w:w="70" w:type="dxa"/>
          </w:tblCellMar>
        </w:tblPrEx>
        <w:trPr>
          <w:trHeight w:hRule="exact" w:val="1680"/>
        </w:trPr>
        <w:tc>
          <w:tcPr>
            <w:tcW w:w="5389" w:type="dxa"/>
            <w:gridSpan w:val="4"/>
            <w:tcBorders>
              <w:bottom w:val="single" w:sz="6" w:space="0" w:color="auto"/>
            </w:tcBorders>
          </w:tcPr>
          <w:p w:rsidR="00C67891" w:rsidRDefault="00C67891">
            <w:pPr>
              <w:tabs>
                <w:tab w:val="left" w:pos="2836"/>
              </w:tabs>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color w:val="000000"/>
              </w:rPr>
              <w:t> </w:t>
            </w:r>
            <w:r>
              <w:rPr>
                <w:color w:val="000000"/>
              </w:rPr>
              <w:t> </w:t>
            </w:r>
            <w:r>
              <w:rPr>
                <w:color w:val="000000"/>
              </w:rPr>
              <w:t> </w:t>
            </w:r>
            <w:r>
              <w:rPr>
                <w:color w:val="000000"/>
              </w:rPr>
              <w:t> </w:t>
            </w:r>
            <w:r>
              <w:rPr>
                <w:color w:val="000000"/>
              </w:rPr>
              <w:t> </w:t>
            </w:r>
            <w:r>
              <w:rPr>
                <w:color w:val="000000"/>
              </w:rPr>
              <w:fldChar w:fldCharType="end"/>
            </w:r>
          </w:p>
        </w:tc>
        <w:tc>
          <w:tcPr>
            <w:tcW w:w="3827" w:type="dxa"/>
            <w:tcBorders>
              <w:bottom w:val="single" w:sz="6" w:space="0" w:color="auto"/>
            </w:tcBorders>
          </w:tcPr>
          <w:p w:rsidR="00C67891" w:rsidRDefault="00C67891">
            <w:pPr>
              <w:tabs>
                <w:tab w:val="left" w:pos="2836"/>
              </w:tabs>
              <w:rPr>
                <w:color w:val="000000"/>
              </w:rPr>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color w:val="000000"/>
              </w:rPr>
              <w:t>Amt für Landwirtschaft Kt. Bern</w:t>
            </w:r>
          </w:p>
          <w:p w:rsidR="00C67891" w:rsidRDefault="00C67891">
            <w:pPr>
              <w:tabs>
                <w:tab w:val="left" w:pos="2836"/>
              </w:tabs>
              <w:rPr>
                <w:color w:val="000000"/>
              </w:rPr>
            </w:pPr>
            <w:r>
              <w:rPr>
                <w:color w:val="000000"/>
              </w:rPr>
              <w:t>Strukturverbesserungen</w:t>
            </w:r>
          </w:p>
          <w:p w:rsidR="00C67891" w:rsidRDefault="00C67891">
            <w:pPr>
              <w:tabs>
                <w:tab w:val="left" w:pos="2836"/>
              </w:tabs>
              <w:rPr>
                <w:color w:val="000000"/>
              </w:rPr>
            </w:pPr>
            <w:r>
              <w:rPr>
                <w:color w:val="000000"/>
              </w:rPr>
              <w:t>Schwand</w:t>
            </w:r>
          </w:p>
          <w:p w:rsidR="00C67891" w:rsidRDefault="00C67891">
            <w:pPr>
              <w:tabs>
                <w:tab w:val="left" w:pos="2836"/>
              </w:tabs>
            </w:pPr>
            <w:r>
              <w:rPr>
                <w:color w:val="000000"/>
              </w:rPr>
              <w:t>3110 Münsingen:</w:t>
            </w:r>
            <w:r>
              <w:rPr>
                <w:color w:val="000000"/>
              </w:rPr>
              <w:fldChar w:fldCharType="end"/>
            </w:r>
          </w:p>
        </w:tc>
      </w:tr>
      <w:tr w:rsidR="00C67891" w:rsidTr="00C67891">
        <w:tblPrEx>
          <w:tblCellMar>
            <w:left w:w="70" w:type="dxa"/>
            <w:right w:w="70" w:type="dxa"/>
          </w:tblCellMar>
        </w:tblPrEx>
        <w:trPr>
          <w:trHeight w:hRule="exact" w:val="240"/>
        </w:trPr>
        <w:tc>
          <w:tcPr>
            <w:tcW w:w="9216" w:type="dxa"/>
            <w:gridSpan w:val="5"/>
          </w:tcPr>
          <w:p w:rsidR="00C67891" w:rsidRDefault="00C67891">
            <w:pPr>
              <w:tabs>
                <w:tab w:val="left" w:pos="2836"/>
              </w:tabs>
            </w:pPr>
          </w:p>
        </w:tc>
      </w:tr>
      <w:tr w:rsidR="00C67891" w:rsidTr="00C67891">
        <w:tblPrEx>
          <w:tblCellMar>
            <w:left w:w="70" w:type="dxa"/>
            <w:right w:w="70" w:type="dxa"/>
          </w:tblCellMar>
        </w:tblPrEx>
        <w:trPr>
          <w:trHeight w:hRule="exact" w:val="240"/>
        </w:trPr>
        <w:tc>
          <w:tcPr>
            <w:tcW w:w="9216" w:type="dxa"/>
            <w:gridSpan w:val="5"/>
          </w:tcPr>
          <w:p w:rsidR="00C67891" w:rsidRDefault="00C67891">
            <w:pPr>
              <w:rPr>
                <w:b/>
              </w:rPr>
            </w:pPr>
            <w:r>
              <w:rPr>
                <w:b/>
              </w:rPr>
              <w:t xml:space="preserve">Erklärung des Eigentümers/der Eigentümerin </w:t>
            </w:r>
            <w:r>
              <w:rPr>
                <w:sz w:val="18"/>
              </w:rPr>
              <w:t>(nur bei Löschung von Grundpfandrechten)</w:t>
            </w:r>
          </w:p>
        </w:tc>
      </w:tr>
      <w:tr w:rsidR="00C67891" w:rsidTr="00C67891">
        <w:tblPrEx>
          <w:tblCellMar>
            <w:left w:w="70" w:type="dxa"/>
            <w:right w:w="70" w:type="dxa"/>
          </w:tblCellMar>
        </w:tblPrEx>
        <w:trPr>
          <w:trHeight w:hRule="exact" w:val="240"/>
        </w:trPr>
        <w:tc>
          <w:tcPr>
            <w:tcW w:w="9216" w:type="dxa"/>
            <w:gridSpan w:val="5"/>
          </w:tcPr>
          <w:p w:rsidR="00C67891" w:rsidRDefault="00C67891"/>
        </w:tc>
      </w:tr>
      <w:tr w:rsidR="00C67891" w:rsidTr="00C67891">
        <w:tblPrEx>
          <w:tblCellMar>
            <w:left w:w="70" w:type="dxa"/>
            <w:right w:w="70" w:type="dxa"/>
          </w:tblCellMar>
        </w:tblPrEx>
        <w:trPr>
          <w:trHeight w:hRule="exact" w:val="480"/>
        </w:trPr>
        <w:tc>
          <w:tcPr>
            <w:tcW w:w="9216" w:type="dxa"/>
            <w:gridSpan w:val="5"/>
          </w:tcPr>
          <w:p w:rsidR="00C67891" w:rsidRDefault="00C67891">
            <w:r>
              <w:t xml:space="preserve">Zur beantragten Löschung wird die Einwilligung erteilt; auf die Eintragung einer leeren Pfandstelle wird verzichtet. </w:t>
            </w:r>
          </w:p>
        </w:tc>
      </w:tr>
      <w:tr w:rsidR="00C67891" w:rsidTr="00C67891">
        <w:tblPrEx>
          <w:tblCellMar>
            <w:left w:w="70" w:type="dxa"/>
            <w:right w:w="70" w:type="dxa"/>
          </w:tblCellMar>
        </w:tblPrEx>
        <w:trPr>
          <w:trHeight w:hRule="exact" w:val="240"/>
        </w:trPr>
        <w:tc>
          <w:tcPr>
            <w:tcW w:w="9216" w:type="dxa"/>
            <w:gridSpan w:val="5"/>
          </w:tcPr>
          <w:p w:rsidR="00C67891" w:rsidRDefault="00C67891"/>
        </w:tc>
      </w:tr>
      <w:tr w:rsidR="00C67891" w:rsidTr="00C67891">
        <w:tblPrEx>
          <w:tblCellMar>
            <w:left w:w="70" w:type="dxa"/>
            <w:right w:w="70" w:type="dxa"/>
          </w:tblCellMar>
        </w:tblPrEx>
        <w:trPr>
          <w:trHeight w:hRule="exact" w:val="240"/>
        </w:trPr>
        <w:tc>
          <w:tcPr>
            <w:tcW w:w="5389" w:type="dxa"/>
            <w:gridSpan w:val="4"/>
          </w:tcPr>
          <w:p w:rsidR="00C67891" w:rsidRDefault="00C67891">
            <w:r>
              <w:t xml:space="preserve">Ort/Datum: </w:t>
            </w: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color w:val="000000"/>
              </w:rPr>
              <w:t> </w:t>
            </w:r>
            <w:r>
              <w:rPr>
                <w:color w:val="000000"/>
              </w:rPr>
              <w:t> </w:t>
            </w:r>
            <w:r>
              <w:rPr>
                <w:color w:val="000000"/>
              </w:rPr>
              <w:t> </w:t>
            </w:r>
            <w:r>
              <w:rPr>
                <w:color w:val="000000"/>
              </w:rPr>
              <w:t> </w:t>
            </w:r>
            <w:r>
              <w:rPr>
                <w:color w:val="000000"/>
              </w:rPr>
              <w:t> </w:t>
            </w:r>
            <w:r>
              <w:rPr>
                <w:color w:val="000000"/>
              </w:rPr>
              <w:fldChar w:fldCharType="end"/>
            </w:r>
          </w:p>
        </w:tc>
        <w:tc>
          <w:tcPr>
            <w:tcW w:w="3827" w:type="dxa"/>
          </w:tcPr>
          <w:p w:rsidR="00C67891" w:rsidRDefault="00C67891">
            <w:r>
              <w:rPr>
                <w:b/>
              </w:rPr>
              <w:t>Der/Die Eigentümer/in:</w:t>
            </w:r>
          </w:p>
        </w:tc>
      </w:tr>
    </w:tbl>
    <w:p w:rsidR="00C67891" w:rsidRDefault="00C67891">
      <w:pPr>
        <w:rPr>
          <w:sz w:val="10"/>
        </w:rPr>
      </w:pPr>
    </w:p>
    <w:p w:rsidR="00902C4B" w:rsidRDefault="00902C4B" w:rsidP="00902C4B">
      <w:pPr>
        <w:rPr>
          <w:szCs w:val="22"/>
        </w:rPr>
      </w:pPr>
    </w:p>
    <w:p w:rsidR="00902C4B" w:rsidRDefault="00902C4B" w:rsidP="00902C4B">
      <w:pPr>
        <w:spacing w:after="200"/>
        <w:rPr>
          <w:szCs w:val="22"/>
        </w:rPr>
      </w:pPr>
      <w:r>
        <w:rPr>
          <w:szCs w:val="22"/>
        </w:rPr>
        <w:br w:type="page"/>
      </w:r>
    </w:p>
    <w:tbl>
      <w:tblPr>
        <w:tblW w:w="0" w:type="auto"/>
        <w:tblInd w:w="54" w:type="dxa"/>
        <w:tblLayout w:type="fixed"/>
        <w:tblCellMar>
          <w:left w:w="56" w:type="dxa"/>
          <w:right w:w="56" w:type="dxa"/>
        </w:tblCellMar>
        <w:tblLook w:val="0000" w:firstRow="0" w:lastRow="0" w:firstColumn="0" w:lastColumn="0" w:noHBand="0" w:noVBand="0"/>
      </w:tblPr>
      <w:tblGrid>
        <w:gridCol w:w="993"/>
        <w:gridCol w:w="567"/>
        <w:gridCol w:w="692"/>
        <w:gridCol w:w="1434"/>
        <w:gridCol w:w="569"/>
        <w:gridCol w:w="376"/>
        <w:gridCol w:w="758"/>
        <w:gridCol w:w="1324"/>
        <w:gridCol w:w="2503"/>
      </w:tblGrid>
      <w:tr w:rsidR="00C67891" w:rsidTr="00C67891">
        <w:trPr>
          <w:cantSplit/>
          <w:trHeight w:hRule="exact" w:val="907"/>
        </w:trPr>
        <w:tc>
          <w:tcPr>
            <w:tcW w:w="4255" w:type="dxa"/>
            <w:gridSpan w:val="5"/>
          </w:tcPr>
          <w:p w:rsidR="00C67891" w:rsidRDefault="00C67891">
            <w:pPr>
              <w:rPr>
                <w:b/>
                <w:sz w:val="28"/>
              </w:rPr>
            </w:pPr>
            <w:r>
              <w:rPr>
                <w:b/>
                <w:sz w:val="28"/>
              </w:rPr>
              <w:lastRenderedPageBreak/>
              <w:t>Pfandentlassungsbewilligung</w:t>
            </w:r>
          </w:p>
          <w:p w:rsidR="00C67891" w:rsidRDefault="00C67891">
            <w:pPr>
              <w:rPr>
                <w:b/>
              </w:rPr>
            </w:pPr>
          </w:p>
          <w:p w:rsidR="00C67891" w:rsidRDefault="00C67891">
            <w:pPr>
              <w:rPr>
                <w:b/>
                <w:sz w:val="18"/>
              </w:rPr>
            </w:pPr>
            <w:r>
              <w:rPr>
                <w:b/>
              </w:rPr>
              <w:t>an das Grundbuchamt</w:t>
            </w:r>
          </w:p>
        </w:tc>
        <w:tc>
          <w:tcPr>
            <w:tcW w:w="1134" w:type="dxa"/>
            <w:gridSpan w:val="2"/>
          </w:tcPr>
          <w:p w:rsidR="00C67891" w:rsidRDefault="00C67891"/>
        </w:tc>
        <w:tc>
          <w:tcPr>
            <w:tcW w:w="3827" w:type="dxa"/>
            <w:gridSpan w:val="2"/>
          </w:tcPr>
          <w:p w:rsidR="00C67891" w:rsidRDefault="00C67891">
            <w:r>
              <w:t xml:space="preserve">Beleg Nr. </w:t>
            </w:r>
          </w:p>
          <w:p w:rsidR="00C67891" w:rsidRDefault="00C67891">
            <w:pPr>
              <w:rPr>
                <w:sz w:val="16"/>
              </w:rPr>
            </w:pPr>
          </w:p>
          <w:p w:rsidR="00C67891" w:rsidRDefault="00C67891">
            <w:r>
              <w:t>Eingang</w:t>
            </w:r>
          </w:p>
        </w:tc>
      </w:tr>
      <w:tr w:rsidR="00C67891" w:rsidTr="00C67891">
        <w:tblPrEx>
          <w:tblCellMar>
            <w:left w:w="70" w:type="dxa"/>
            <w:right w:w="70" w:type="dxa"/>
          </w:tblCellMar>
        </w:tblPrEx>
        <w:trPr>
          <w:trHeight w:hRule="exact" w:val="240"/>
        </w:trPr>
        <w:tc>
          <w:tcPr>
            <w:tcW w:w="9216" w:type="dxa"/>
            <w:gridSpan w:val="9"/>
          </w:tcPr>
          <w:p w:rsidR="00C67891" w:rsidRDefault="00C67891">
            <w:pPr>
              <w:pStyle w:val="Betreff"/>
              <w:spacing w:before="0" w:after="0"/>
              <w:rPr>
                <w:rFonts w:ascii="Arial" w:hAnsi="Arial"/>
                <w:b w:val="0"/>
                <w:sz w:val="20"/>
              </w:rPr>
            </w:pPr>
          </w:p>
        </w:tc>
      </w:tr>
      <w:tr w:rsidR="00C67891" w:rsidTr="00C67891">
        <w:tblPrEx>
          <w:tblCellMar>
            <w:left w:w="70" w:type="dxa"/>
            <w:right w:w="70" w:type="dxa"/>
          </w:tblCellMar>
        </w:tblPrEx>
        <w:trPr>
          <w:trHeight w:hRule="exact" w:val="240"/>
        </w:trPr>
        <w:tc>
          <w:tcPr>
            <w:tcW w:w="9216" w:type="dxa"/>
            <w:gridSpan w:val="9"/>
          </w:tcPr>
          <w:p w:rsidR="00C67891" w:rsidRDefault="00C67891">
            <w:pPr>
              <w:pStyle w:val="Betreff"/>
              <w:spacing w:before="0" w:after="0"/>
              <w:rPr>
                <w:rFonts w:ascii="Arial" w:hAnsi="Arial"/>
                <w:b w:val="0"/>
                <w:sz w:val="20"/>
              </w:rPr>
            </w:pPr>
          </w:p>
        </w:tc>
      </w:tr>
      <w:tr w:rsidR="00C67891" w:rsidTr="00C67891">
        <w:tblPrEx>
          <w:tblCellMar>
            <w:left w:w="70" w:type="dxa"/>
            <w:right w:w="70" w:type="dxa"/>
          </w:tblCellMar>
        </w:tblPrEx>
        <w:trPr>
          <w:trHeight w:hRule="exact" w:val="400"/>
        </w:trPr>
        <w:tc>
          <w:tcPr>
            <w:tcW w:w="9216" w:type="dxa"/>
            <w:gridSpan w:val="9"/>
          </w:tcPr>
          <w:p w:rsidR="00C67891" w:rsidRDefault="00C67891">
            <w:pPr>
              <w:pStyle w:val="Betreff"/>
              <w:spacing w:before="0" w:after="0"/>
              <w:rPr>
                <w:rFonts w:ascii="Arial" w:hAnsi="Arial"/>
                <w:b w:val="0"/>
                <w:sz w:val="20"/>
              </w:rPr>
            </w:pPr>
            <w:r>
              <w:rPr>
                <w:rFonts w:ascii="Arial" w:hAnsi="Arial"/>
                <w:b w:val="0"/>
                <w:sz w:val="20"/>
              </w:rPr>
              <w:t>Der/Die Unterzeichnende erteilt seine/ihre Einwilligung, folgende Grundstücke</w:t>
            </w:r>
          </w:p>
        </w:tc>
      </w:tr>
      <w:tr w:rsidR="00C67891" w:rsidTr="00C67891">
        <w:tblPrEx>
          <w:tblCellMar>
            <w:left w:w="70" w:type="dxa"/>
            <w:right w:w="70" w:type="dxa"/>
          </w:tblCellMar>
        </w:tblPrEx>
        <w:trPr>
          <w:cantSplit/>
          <w:trHeight w:hRule="exact" w:val="720"/>
        </w:trPr>
        <w:tc>
          <w:tcPr>
            <w:tcW w:w="2252" w:type="dxa"/>
            <w:gridSpan w:val="3"/>
          </w:tcPr>
          <w:p w:rsidR="00C67891" w:rsidRDefault="00C67891">
            <w:pPr>
              <w:pStyle w:val="Betreff"/>
              <w:tabs>
                <w:tab w:val="left" w:pos="2269"/>
              </w:tabs>
              <w:spacing w:before="0" w:after="0"/>
              <w:rPr>
                <w:rFonts w:ascii="Arial" w:hAnsi="Arial"/>
                <w:b w:val="0"/>
                <w:sz w:val="20"/>
              </w:rPr>
            </w:pPr>
            <w:r>
              <w:rPr>
                <w:rFonts w:ascii="Arial" w:hAnsi="Arial"/>
                <w:b w:val="0"/>
                <w:sz w:val="20"/>
              </w:rPr>
              <w:t xml:space="preserve">im Eigentum von </w:t>
            </w:r>
          </w:p>
        </w:tc>
        <w:tc>
          <w:tcPr>
            <w:tcW w:w="6964" w:type="dxa"/>
            <w:gridSpan w:val="6"/>
          </w:tcPr>
          <w:p w:rsidR="00C67891" w:rsidRDefault="00C67891">
            <w:r>
              <w:rPr>
                <w:b/>
                <w:color w:val="000000"/>
              </w:rPr>
              <w:fldChar w:fldCharType="begin">
                <w:ffData>
                  <w:name w:val="Text1"/>
                  <w:enabled/>
                  <w:calcOnExit w:val="0"/>
                  <w:textInput/>
                </w:ffData>
              </w:fldChar>
            </w:r>
            <w:r>
              <w:rPr>
                <w:b/>
                <w:color w:val="000000"/>
              </w:rPr>
              <w:instrText xml:space="preserve"> FORMTEXT </w:instrText>
            </w:r>
            <w:r>
              <w:rPr>
                <w:b/>
                <w:color w:val="000000"/>
              </w:rPr>
            </w:r>
            <w:r>
              <w:rPr>
                <w:b/>
                <w:color w:val="000000"/>
              </w:rPr>
              <w:fldChar w:fldCharType="separate"/>
            </w:r>
            <w:r>
              <w:rPr>
                <w:b/>
                <w:noProof/>
                <w:color w:val="000000"/>
              </w:rPr>
              <w:t>Moser Hans</w:t>
            </w:r>
            <w:r>
              <w:rPr>
                <w:b/>
                <w:color w:val="000000"/>
              </w:rPr>
              <w:fldChar w:fldCharType="end"/>
            </w:r>
          </w:p>
        </w:tc>
      </w:tr>
      <w:tr w:rsidR="00C67891" w:rsidTr="00C67891">
        <w:tblPrEx>
          <w:tblCellMar>
            <w:left w:w="70" w:type="dxa"/>
            <w:right w:w="70" w:type="dxa"/>
          </w:tblCellMar>
        </w:tblPrEx>
        <w:trPr>
          <w:trHeight w:hRule="exact" w:val="240"/>
        </w:trPr>
        <w:tc>
          <w:tcPr>
            <w:tcW w:w="9216" w:type="dxa"/>
            <w:gridSpan w:val="9"/>
          </w:tcPr>
          <w:p w:rsidR="00C67891" w:rsidRDefault="00C67891">
            <w:r>
              <w:rPr>
                <w:b/>
              </w:rPr>
              <w:t>ganz</w:t>
            </w:r>
            <w:r>
              <w:t xml:space="preserve"> aus der Pfandhaft zu entlassen:</w:t>
            </w:r>
          </w:p>
        </w:tc>
      </w:tr>
      <w:tr w:rsidR="00C67891" w:rsidTr="00C67891">
        <w:tblPrEx>
          <w:tblCellMar>
            <w:left w:w="70" w:type="dxa"/>
            <w:right w:w="70" w:type="dxa"/>
          </w:tblCellMar>
        </w:tblPrEx>
        <w:trPr>
          <w:trHeight w:hRule="exact" w:val="200"/>
        </w:trPr>
        <w:tc>
          <w:tcPr>
            <w:tcW w:w="9216" w:type="dxa"/>
            <w:gridSpan w:val="9"/>
          </w:tcPr>
          <w:p w:rsidR="00C67891" w:rsidRDefault="00C67891"/>
        </w:tc>
      </w:tr>
      <w:tr w:rsidR="00C67891" w:rsidTr="00C67891">
        <w:tblPrEx>
          <w:tblCellMar>
            <w:left w:w="70" w:type="dxa"/>
            <w:right w:w="70" w:type="dxa"/>
          </w:tblCellMar>
        </w:tblPrEx>
        <w:trPr>
          <w:trHeight w:hRule="exact" w:val="360"/>
        </w:trPr>
        <w:tc>
          <w:tcPr>
            <w:tcW w:w="2252" w:type="dxa"/>
            <w:gridSpan w:val="3"/>
          </w:tcPr>
          <w:p w:rsidR="00C67891" w:rsidRDefault="00C67891">
            <w:pPr>
              <w:pStyle w:val="Betreff"/>
              <w:tabs>
                <w:tab w:val="clear" w:pos="5800"/>
              </w:tabs>
              <w:spacing w:before="0" w:after="0"/>
              <w:rPr>
                <w:rFonts w:ascii="Arial" w:hAnsi="Arial"/>
                <w:b w:val="0"/>
                <w:sz w:val="20"/>
              </w:rPr>
            </w:pPr>
            <w:r>
              <w:rPr>
                <w:rFonts w:ascii="Arial" w:hAnsi="Arial"/>
                <w:b w:val="0"/>
                <w:sz w:val="20"/>
              </w:rPr>
              <w:t>Grundbuchblatt Nr.</w:t>
            </w:r>
          </w:p>
        </w:tc>
        <w:tc>
          <w:tcPr>
            <w:tcW w:w="6964" w:type="dxa"/>
            <w:gridSpan w:val="6"/>
          </w:tcPr>
          <w:p w:rsidR="00C67891" w:rsidRDefault="00C67891">
            <w:r>
              <w:rPr>
                <w:b/>
                <w:color w:val="000000"/>
              </w:rPr>
              <w:fldChar w:fldCharType="begin">
                <w:ffData>
                  <w:name w:val="Text1"/>
                  <w:enabled/>
                  <w:calcOnExit w:val="0"/>
                  <w:textInput/>
                </w:ffData>
              </w:fldChar>
            </w:r>
            <w:r>
              <w:rPr>
                <w:b/>
                <w:color w:val="000000"/>
              </w:rPr>
              <w:instrText xml:space="preserve"> FORMTEXT </w:instrText>
            </w:r>
            <w:r>
              <w:rPr>
                <w:b/>
                <w:color w:val="000000"/>
              </w:rPr>
            </w:r>
            <w:r>
              <w:rPr>
                <w:b/>
                <w:color w:val="000000"/>
              </w:rPr>
              <w:fldChar w:fldCharType="separate"/>
            </w:r>
            <w:r>
              <w:rPr>
                <w:b/>
                <w:color w:val="000000"/>
              </w:rPr>
              <w:t> </w:t>
            </w:r>
            <w:r>
              <w:rPr>
                <w:b/>
                <w:color w:val="000000"/>
              </w:rPr>
              <w:t> </w:t>
            </w:r>
            <w:r>
              <w:rPr>
                <w:b/>
                <w:color w:val="000000"/>
              </w:rPr>
              <w:t> </w:t>
            </w:r>
            <w:r>
              <w:rPr>
                <w:b/>
                <w:color w:val="000000"/>
              </w:rPr>
              <w:t> </w:t>
            </w:r>
            <w:r>
              <w:rPr>
                <w:b/>
                <w:color w:val="000000"/>
              </w:rPr>
              <w:t> </w:t>
            </w:r>
            <w:r>
              <w:rPr>
                <w:b/>
                <w:color w:val="000000"/>
              </w:rPr>
              <w:fldChar w:fldCharType="end"/>
            </w:r>
          </w:p>
        </w:tc>
      </w:tr>
      <w:tr w:rsidR="00C67891" w:rsidTr="00C67891">
        <w:tblPrEx>
          <w:tblCellMar>
            <w:left w:w="70" w:type="dxa"/>
            <w:right w:w="70" w:type="dxa"/>
          </w:tblCellMar>
        </w:tblPrEx>
        <w:trPr>
          <w:trHeight w:hRule="exact" w:val="360"/>
        </w:trPr>
        <w:tc>
          <w:tcPr>
            <w:tcW w:w="2252" w:type="dxa"/>
            <w:gridSpan w:val="3"/>
          </w:tcPr>
          <w:p w:rsidR="00C67891" w:rsidRDefault="00C67891">
            <w:pPr>
              <w:pStyle w:val="Betreff"/>
              <w:tabs>
                <w:tab w:val="clear" w:pos="5800"/>
              </w:tabs>
              <w:spacing w:before="0" w:after="0"/>
              <w:rPr>
                <w:rFonts w:ascii="Arial" w:hAnsi="Arial"/>
                <w:b w:val="0"/>
                <w:sz w:val="20"/>
              </w:rPr>
            </w:pPr>
            <w:r>
              <w:rPr>
                <w:rFonts w:ascii="Arial" w:hAnsi="Arial"/>
                <w:b w:val="0"/>
                <w:sz w:val="20"/>
              </w:rPr>
              <w:t xml:space="preserve">der Gemeinde </w:t>
            </w:r>
          </w:p>
        </w:tc>
        <w:tc>
          <w:tcPr>
            <w:tcW w:w="6964" w:type="dxa"/>
            <w:gridSpan w:val="6"/>
          </w:tcPr>
          <w:p w:rsidR="00C67891" w:rsidRDefault="00C67891">
            <w:r>
              <w:rPr>
                <w:b/>
                <w:color w:val="000000"/>
              </w:rPr>
              <w:fldChar w:fldCharType="begin">
                <w:ffData>
                  <w:name w:val="Text1"/>
                  <w:enabled/>
                  <w:calcOnExit w:val="0"/>
                  <w:textInput/>
                </w:ffData>
              </w:fldChar>
            </w:r>
            <w:r>
              <w:rPr>
                <w:b/>
                <w:color w:val="000000"/>
              </w:rPr>
              <w:instrText xml:space="preserve"> FORMTEXT </w:instrText>
            </w:r>
            <w:r>
              <w:rPr>
                <w:b/>
                <w:color w:val="000000"/>
              </w:rPr>
            </w:r>
            <w:r>
              <w:rPr>
                <w:b/>
                <w:color w:val="000000"/>
              </w:rPr>
              <w:fldChar w:fldCharType="separate"/>
            </w:r>
            <w:r>
              <w:rPr>
                <w:b/>
                <w:color w:val="000000"/>
              </w:rPr>
              <w:t> </w:t>
            </w:r>
            <w:r>
              <w:rPr>
                <w:b/>
                <w:color w:val="000000"/>
              </w:rPr>
              <w:t> </w:t>
            </w:r>
            <w:r>
              <w:rPr>
                <w:b/>
                <w:color w:val="000000"/>
              </w:rPr>
              <w:t> </w:t>
            </w:r>
            <w:r>
              <w:rPr>
                <w:b/>
                <w:color w:val="000000"/>
              </w:rPr>
              <w:t> </w:t>
            </w:r>
            <w:r>
              <w:rPr>
                <w:b/>
                <w:color w:val="000000"/>
              </w:rPr>
              <w:t> </w:t>
            </w:r>
            <w:r>
              <w:rPr>
                <w:b/>
                <w:color w:val="000000"/>
              </w:rPr>
              <w:fldChar w:fldCharType="end"/>
            </w:r>
          </w:p>
        </w:tc>
      </w:tr>
      <w:tr w:rsidR="00C67891" w:rsidTr="00C67891">
        <w:tblPrEx>
          <w:tblCellMar>
            <w:left w:w="70" w:type="dxa"/>
            <w:right w:w="70" w:type="dxa"/>
          </w:tblCellMar>
        </w:tblPrEx>
        <w:trPr>
          <w:trHeight w:hRule="exact" w:val="240"/>
        </w:trPr>
        <w:tc>
          <w:tcPr>
            <w:tcW w:w="9216" w:type="dxa"/>
            <w:gridSpan w:val="9"/>
          </w:tcPr>
          <w:p w:rsidR="00C67891" w:rsidRDefault="00C67891"/>
        </w:tc>
      </w:tr>
      <w:tr w:rsidR="00C67891" w:rsidTr="00C67891">
        <w:tblPrEx>
          <w:tblCellMar>
            <w:left w:w="70" w:type="dxa"/>
            <w:right w:w="70" w:type="dxa"/>
          </w:tblCellMar>
        </w:tblPrEx>
        <w:trPr>
          <w:trHeight w:hRule="exact" w:val="240"/>
        </w:trPr>
        <w:tc>
          <w:tcPr>
            <w:tcW w:w="9216" w:type="dxa"/>
            <w:gridSpan w:val="9"/>
          </w:tcPr>
          <w:p w:rsidR="00C67891" w:rsidRDefault="00C67891">
            <w:r>
              <w:rPr>
                <w:b/>
              </w:rPr>
              <w:t>teilweise</w:t>
            </w:r>
            <w:r>
              <w:t xml:space="preserve"> aus der Pfandhaft zu entlassen:</w:t>
            </w:r>
          </w:p>
        </w:tc>
      </w:tr>
      <w:tr w:rsidR="00C67891" w:rsidTr="00C67891">
        <w:tblPrEx>
          <w:tblCellMar>
            <w:left w:w="70" w:type="dxa"/>
            <w:right w:w="70" w:type="dxa"/>
          </w:tblCellMar>
        </w:tblPrEx>
        <w:trPr>
          <w:trHeight w:hRule="exact" w:val="200"/>
        </w:trPr>
        <w:tc>
          <w:tcPr>
            <w:tcW w:w="9216" w:type="dxa"/>
            <w:gridSpan w:val="9"/>
          </w:tcPr>
          <w:p w:rsidR="00C67891" w:rsidRDefault="00C67891"/>
        </w:tc>
      </w:tr>
      <w:tr w:rsidR="00C67891" w:rsidTr="00C67891">
        <w:tblPrEx>
          <w:tblCellMar>
            <w:left w:w="70" w:type="dxa"/>
            <w:right w:w="70" w:type="dxa"/>
          </w:tblCellMar>
        </w:tblPrEx>
        <w:trPr>
          <w:trHeight w:hRule="exact" w:val="240"/>
        </w:trPr>
        <w:tc>
          <w:tcPr>
            <w:tcW w:w="993" w:type="dxa"/>
          </w:tcPr>
          <w:p w:rsidR="00C67891" w:rsidRDefault="00C67891">
            <w:r>
              <w:rPr>
                <w:color w:val="000000"/>
              </w:rPr>
              <w:fldChar w:fldCharType="begin">
                <w:ffData>
                  <w:name w:val="Text1"/>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2'189</w:t>
            </w:r>
            <w:r>
              <w:rPr>
                <w:color w:val="000000"/>
              </w:rPr>
              <w:fldChar w:fldCharType="end"/>
            </w:r>
          </w:p>
        </w:tc>
        <w:tc>
          <w:tcPr>
            <w:tcW w:w="2693" w:type="dxa"/>
            <w:gridSpan w:val="3"/>
          </w:tcPr>
          <w:p w:rsidR="00C67891" w:rsidRDefault="00C67891">
            <w:r>
              <w:t>m</w:t>
            </w:r>
            <w:r>
              <w:rPr>
                <w:vertAlign w:val="superscript"/>
              </w:rPr>
              <w:t>2</w:t>
            </w:r>
            <w:r>
              <w:t xml:space="preserve"> von Grundbuchblatt Nr.</w:t>
            </w:r>
          </w:p>
        </w:tc>
        <w:tc>
          <w:tcPr>
            <w:tcW w:w="1703" w:type="dxa"/>
            <w:gridSpan w:val="3"/>
          </w:tcPr>
          <w:p w:rsidR="00C67891" w:rsidRDefault="00C67891">
            <w:r>
              <w:rPr>
                <w:color w:val="000000"/>
              </w:rPr>
              <w:fldChar w:fldCharType="begin">
                <w:ffData>
                  <w:name w:val="Text1"/>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834</w:t>
            </w:r>
            <w:r>
              <w:rPr>
                <w:color w:val="000000"/>
              </w:rPr>
              <w:fldChar w:fldCharType="end"/>
            </w:r>
          </w:p>
        </w:tc>
        <w:tc>
          <w:tcPr>
            <w:tcW w:w="1324" w:type="dxa"/>
          </w:tcPr>
          <w:p w:rsidR="00C67891" w:rsidRDefault="00C67891">
            <w:r>
              <w:t>Gemeinde</w:t>
            </w:r>
          </w:p>
        </w:tc>
        <w:tc>
          <w:tcPr>
            <w:tcW w:w="2503" w:type="dxa"/>
          </w:tcPr>
          <w:p w:rsidR="00C67891" w:rsidRDefault="00C67891">
            <w:r>
              <w:rPr>
                <w:color w:val="000000"/>
              </w:rPr>
              <w:fldChar w:fldCharType="begin">
                <w:ffData>
                  <w:name w:val="Text1"/>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Seldwyla</w:t>
            </w:r>
            <w:r>
              <w:rPr>
                <w:color w:val="000000"/>
              </w:rPr>
              <w:fldChar w:fldCharType="end"/>
            </w:r>
          </w:p>
        </w:tc>
      </w:tr>
      <w:tr w:rsidR="00C67891" w:rsidTr="00C67891">
        <w:tblPrEx>
          <w:tblCellMar>
            <w:left w:w="70" w:type="dxa"/>
            <w:right w:w="70" w:type="dxa"/>
          </w:tblCellMar>
        </w:tblPrEx>
        <w:trPr>
          <w:trHeight w:hRule="exact" w:val="240"/>
        </w:trPr>
        <w:tc>
          <w:tcPr>
            <w:tcW w:w="993" w:type="dxa"/>
          </w:tcPr>
          <w:p w:rsidR="00C67891" w:rsidRDefault="00C67891">
            <w:r>
              <w:rPr>
                <w:color w:val="000000"/>
              </w:rPr>
              <w:fldChar w:fldCharType="begin">
                <w:ffData>
                  <w:name w:val="Text1"/>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c>
          <w:tcPr>
            <w:tcW w:w="2693" w:type="dxa"/>
            <w:gridSpan w:val="3"/>
          </w:tcPr>
          <w:p w:rsidR="00C67891" w:rsidRDefault="00C67891">
            <w:r>
              <w:t>m</w:t>
            </w:r>
            <w:r>
              <w:rPr>
                <w:vertAlign w:val="superscript"/>
              </w:rPr>
              <w:t>2</w:t>
            </w:r>
            <w:r>
              <w:t xml:space="preserve"> von Grundbuchblatt Nr.</w:t>
            </w:r>
          </w:p>
        </w:tc>
        <w:tc>
          <w:tcPr>
            <w:tcW w:w="1703" w:type="dxa"/>
            <w:gridSpan w:val="3"/>
          </w:tcPr>
          <w:p w:rsidR="00C67891" w:rsidRDefault="00C67891">
            <w:r>
              <w:rPr>
                <w:color w:val="000000"/>
              </w:rPr>
              <w:fldChar w:fldCharType="begin">
                <w:ffData>
                  <w:name w:val="Text1"/>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c>
          <w:tcPr>
            <w:tcW w:w="1324" w:type="dxa"/>
          </w:tcPr>
          <w:p w:rsidR="00C67891" w:rsidRDefault="00C67891">
            <w:r>
              <w:t>Gemeinde</w:t>
            </w:r>
          </w:p>
        </w:tc>
        <w:tc>
          <w:tcPr>
            <w:tcW w:w="2503" w:type="dxa"/>
          </w:tcPr>
          <w:p w:rsidR="00C67891" w:rsidRDefault="00C67891">
            <w:r>
              <w:rPr>
                <w:color w:val="000000"/>
              </w:rPr>
              <w:fldChar w:fldCharType="begin">
                <w:ffData>
                  <w:name w:val="Text1"/>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r>
      <w:tr w:rsidR="00C67891" w:rsidTr="00C67891">
        <w:tblPrEx>
          <w:tblCellMar>
            <w:left w:w="70" w:type="dxa"/>
            <w:right w:w="70" w:type="dxa"/>
          </w:tblCellMar>
        </w:tblPrEx>
        <w:trPr>
          <w:trHeight w:hRule="exact" w:val="240"/>
        </w:trPr>
        <w:tc>
          <w:tcPr>
            <w:tcW w:w="9216" w:type="dxa"/>
            <w:gridSpan w:val="9"/>
          </w:tcPr>
          <w:p w:rsidR="00C67891" w:rsidRDefault="00C67891"/>
        </w:tc>
      </w:tr>
      <w:tr w:rsidR="00C67891" w:rsidTr="00C67891">
        <w:tblPrEx>
          <w:tblCellMar>
            <w:left w:w="70" w:type="dxa"/>
            <w:right w:w="70" w:type="dxa"/>
          </w:tblCellMar>
        </w:tblPrEx>
        <w:trPr>
          <w:trHeight w:hRule="exact" w:val="240"/>
        </w:trPr>
        <w:tc>
          <w:tcPr>
            <w:tcW w:w="9216" w:type="dxa"/>
            <w:gridSpan w:val="9"/>
          </w:tcPr>
          <w:p w:rsidR="00C67891" w:rsidRDefault="00C67891">
            <w:r>
              <w:t>für folgende Grundpfandrechte:</w:t>
            </w:r>
          </w:p>
        </w:tc>
      </w:tr>
      <w:tr w:rsidR="00C67891" w:rsidTr="00C67891">
        <w:tblPrEx>
          <w:tblCellMar>
            <w:left w:w="70" w:type="dxa"/>
            <w:right w:w="70" w:type="dxa"/>
          </w:tblCellMar>
        </w:tblPrEx>
        <w:trPr>
          <w:trHeight w:hRule="exact" w:val="200"/>
        </w:trPr>
        <w:tc>
          <w:tcPr>
            <w:tcW w:w="9216" w:type="dxa"/>
            <w:gridSpan w:val="9"/>
          </w:tcPr>
          <w:p w:rsidR="00C67891" w:rsidRDefault="00C67891"/>
        </w:tc>
      </w:tr>
      <w:tr w:rsidR="00C67891" w:rsidTr="00C67891">
        <w:tblPrEx>
          <w:tblCellMar>
            <w:left w:w="70" w:type="dxa"/>
            <w:right w:w="70" w:type="dxa"/>
          </w:tblCellMar>
        </w:tblPrEx>
        <w:trPr>
          <w:cantSplit/>
        </w:trPr>
        <w:tc>
          <w:tcPr>
            <w:tcW w:w="1560" w:type="dxa"/>
            <w:gridSpan w:val="2"/>
          </w:tcPr>
          <w:p w:rsidR="00C67891" w:rsidRDefault="00C67891">
            <w:pPr>
              <w:rPr>
                <w:b/>
              </w:rPr>
            </w:pPr>
            <w:r>
              <w:rPr>
                <w:b/>
              </w:rPr>
              <w:t>Art</w:t>
            </w:r>
          </w:p>
        </w:tc>
        <w:tc>
          <w:tcPr>
            <w:tcW w:w="2695" w:type="dxa"/>
            <w:gridSpan w:val="3"/>
          </w:tcPr>
          <w:p w:rsidR="00C67891" w:rsidRDefault="00C67891">
            <w:pPr>
              <w:jc w:val="right"/>
              <w:rPr>
                <w:b/>
              </w:rPr>
            </w:pPr>
            <w:r>
              <w:rPr>
                <w:b/>
              </w:rPr>
              <w:t>Betrag in CHF</w:t>
            </w:r>
          </w:p>
        </w:tc>
        <w:tc>
          <w:tcPr>
            <w:tcW w:w="376" w:type="dxa"/>
          </w:tcPr>
          <w:p w:rsidR="00C67891" w:rsidRDefault="00C67891">
            <w:pPr>
              <w:rPr>
                <w:b/>
              </w:rPr>
            </w:pPr>
          </w:p>
        </w:tc>
        <w:tc>
          <w:tcPr>
            <w:tcW w:w="4585" w:type="dxa"/>
            <w:gridSpan w:val="3"/>
          </w:tcPr>
          <w:p w:rsidR="00C67891" w:rsidRDefault="00C67891">
            <w:pPr>
              <w:rPr>
                <w:b/>
              </w:rPr>
            </w:pPr>
            <w:r>
              <w:rPr>
                <w:b/>
              </w:rPr>
              <w:t>Titel-Identifikations-Nr. oder</w:t>
            </w:r>
          </w:p>
          <w:p w:rsidR="00C67891" w:rsidRDefault="00C67891">
            <w:pPr>
              <w:rPr>
                <w:b/>
              </w:rPr>
            </w:pPr>
            <w:proofErr w:type="spellStart"/>
            <w:r>
              <w:rPr>
                <w:b/>
              </w:rPr>
              <w:t>Litera</w:t>
            </w:r>
            <w:proofErr w:type="spellEnd"/>
            <w:r>
              <w:rPr>
                <w:b/>
              </w:rPr>
              <w:t>, Errichtungsdatum und Beleg</w:t>
            </w:r>
          </w:p>
        </w:tc>
      </w:tr>
      <w:tr w:rsidR="00C67891" w:rsidTr="00C67891">
        <w:tblPrEx>
          <w:tblCellMar>
            <w:left w:w="70" w:type="dxa"/>
            <w:right w:w="70" w:type="dxa"/>
          </w:tblCellMar>
        </w:tblPrEx>
        <w:trPr>
          <w:cantSplit/>
        </w:trPr>
        <w:tc>
          <w:tcPr>
            <w:tcW w:w="1560" w:type="dxa"/>
            <w:gridSpan w:val="2"/>
          </w:tcPr>
          <w:p w:rsidR="00C67891" w:rsidRDefault="00C67891">
            <w:pPr>
              <w:rPr>
                <w:color w:val="000000"/>
              </w:rPr>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Schuldbrief</w:t>
            </w:r>
            <w:r>
              <w:rPr>
                <w:color w:val="000000"/>
              </w:rPr>
              <w:fldChar w:fldCharType="end"/>
            </w:r>
          </w:p>
        </w:tc>
        <w:tc>
          <w:tcPr>
            <w:tcW w:w="2695" w:type="dxa"/>
            <w:gridSpan w:val="3"/>
          </w:tcPr>
          <w:p w:rsidR="00C67891" w:rsidRDefault="00C67891">
            <w:pPr>
              <w:jc w:val="right"/>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260'000.00</w:t>
            </w:r>
            <w:r>
              <w:rPr>
                <w:color w:val="000000"/>
              </w:rPr>
              <w:fldChar w:fldCharType="end"/>
            </w:r>
          </w:p>
        </w:tc>
        <w:tc>
          <w:tcPr>
            <w:tcW w:w="376" w:type="dxa"/>
          </w:tcPr>
          <w:p w:rsidR="00C67891" w:rsidRDefault="00C67891">
            <w:pPr>
              <w:rPr>
                <w:color w:val="000000"/>
              </w:rPr>
            </w:pPr>
          </w:p>
        </w:tc>
        <w:tc>
          <w:tcPr>
            <w:tcW w:w="4585" w:type="dxa"/>
            <w:gridSpan w:val="3"/>
          </w:tcPr>
          <w:p w:rsidR="00C67891" w:rsidRDefault="00C67891">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1. Rang, 10%, vom 13.07.2006, 2006/2220/0)</w:t>
            </w:r>
            <w:r>
              <w:rPr>
                <w:color w:val="000000"/>
              </w:rPr>
              <w:fldChar w:fldCharType="end"/>
            </w:r>
            <w:r>
              <w:fldChar w:fldCharType="begin"/>
            </w:r>
            <w:r>
              <w:fldChar w:fldCharType="end"/>
            </w:r>
          </w:p>
        </w:tc>
      </w:tr>
      <w:tr w:rsidR="00C67891" w:rsidTr="00C67891">
        <w:tblPrEx>
          <w:tblCellMar>
            <w:left w:w="70" w:type="dxa"/>
            <w:right w:w="70" w:type="dxa"/>
          </w:tblCellMar>
        </w:tblPrEx>
        <w:trPr>
          <w:cantSplit/>
        </w:trPr>
        <w:tc>
          <w:tcPr>
            <w:tcW w:w="1560" w:type="dxa"/>
            <w:gridSpan w:val="2"/>
          </w:tcPr>
          <w:p w:rsidR="00C67891" w:rsidRDefault="00C67891">
            <w:pPr>
              <w:rPr>
                <w:color w:val="000000"/>
              </w:rPr>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c>
          <w:tcPr>
            <w:tcW w:w="2695" w:type="dxa"/>
            <w:gridSpan w:val="3"/>
          </w:tcPr>
          <w:p w:rsidR="00C67891" w:rsidRDefault="00C67891">
            <w:pPr>
              <w:jc w:val="right"/>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c>
          <w:tcPr>
            <w:tcW w:w="376" w:type="dxa"/>
          </w:tcPr>
          <w:p w:rsidR="00C67891" w:rsidRDefault="00C67891">
            <w:pPr>
              <w:rPr>
                <w:color w:val="000000"/>
              </w:rPr>
            </w:pPr>
          </w:p>
        </w:tc>
        <w:tc>
          <w:tcPr>
            <w:tcW w:w="4585" w:type="dxa"/>
            <w:gridSpan w:val="3"/>
          </w:tcPr>
          <w:p w:rsidR="00C67891" w:rsidRDefault="00C67891">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r>
              <w:fldChar w:fldCharType="begin"/>
            </w:r>
            <w:r>
              <w:fldChar w:fldCharType="end"/>
            </w:r>
          </w:p>
        </w:tc>
      </w:tr>
      <w:tr w:rsidR="00C67891" w:rsidTr="00C67891">
        <w:tblPrEx>
          <w:tblCellMar>
            <w:left w:w="70" w:type="dxa"/>
            <w:right w:w="70" w:type="dxa"/>
          </w:tblCellMar>
        </w:tblPrEx>
        <w:trPr>
          <w:trHeight w:hRule="exact" w:val="240"/>
        </w:trPr>
        <w:tc>
          <w:tcPr>
            <w:tcW w:w="9216" w:type="dxa"/>
            <w:gridSpan w:val="9"/>
          </w:tcPr>
          <w:p w:rsidR="00C67891" w:rsidRDefault="00C67891"/>
        </w:tc>
      </w:tr>
      <w:tr w:rsidR="00C67891" w:rsidTr="00C67891">
        <w:tblPrEx>
          <w:tblCellMar>
            <w:left w:w="70" w:type="dxa"/>
            <w:right w:w="70" w:type="dxa"/>
          </w:tblCellMar>
        </w:tblPrEx>
        <w:trPr>
          <w:trHeight w:hRule="exact" w:val="480"/>
        </w:trPr>
        <w:tc>
          <w:tcPr>
            <w:tcW w:w="9216" w:type="dxa"/>
            <w:gridSpan w:val="9"/>
          </w:tcPr>
          <w:p w:rsidR="00C67891" w:rsidRDefault="00C67891">
            <w:r>
              <w:t>Auf den übrigen Grundstücken bzw. Restgrundstücken bleiben die Pfandrechte unverändert bestehen.</w:t>
            </w:r>
          </w:p>
        </w:tc>
      </w:tr>
      <w:tr w:rsidR="00C67891" w:rsidTr="00C67891">
        <w:tblPrEx>
          <w:tblCellMar>
            <w:left w:w="70" w:type="dxa"/>
            <w:right w:w="70" w:type="dxa"/>
          </w:tblCellMar>
        </w:tblPrEx>
        <w:trPr>
          <w:trHeight w:hRule="exact" w:val="240"/>
        </w:trPr>
        <w:tc>
          <w:tcPr>
            <w:tcW w:w="4255" w:type="dxa"/>
            <w:gridSpan w:val="5"/>
          </w:tcPr>
          <w:p w:rsidR="00C67891" w:rsidRDefault="00C67891">
            <w:pPr>
              <w:tabs>
                <w:tab w:val="left" w:pos="2836"/>
              </w:tabs>
            </w:pPr>
            <w:r>
              <w:t xml:space="preserve">Ort/Datum: </w:t>
            </w: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c>
          <w:tcPr>
            <w:tcW w:w="4961" w:type="dxa"/>
            <w:gridSpan w:val="4"/>
          </w:tcPr>
          <w:p w:rsidR="00C67891" w:rsidRDefault="00C67891">
            <w:pPr>
              <w:tabs>
                <w:tab w:val="left" w:pos="2836"/>
              </w:tabs>
            </w:pPr>
            <w:r>
              <w:rPr>
                <w:b/>
              </w:rPr>
              <w:t xml:space="preserve">Der/Die Grundpfand-/Faustpfandgläubiger/in: </w:t>
            </w:r>
            <w:r>
              <w:rPr>
                <w:position w:val="6"/>
                <w:sz w:val="16"/>
              </w:rPr>
              <w:t>1)</w:t>
            </w:r>
          </w:p>
        </w:tc>
      </w:tr>
      <w:tr w:rsidR="00C67891" w:rsidTr="00C67891">
        <w:tblPrEx>
          <w:tblCellMar>
            <w:left w:w="70" w:type="dxa"/>
            <w:right w:w="70" w:type="dxa"/>
          </w:tblCellMar>
        </w:tblPrEx>
        <w:trPr>
          <w:trHeight w:hRule="exact" w:val="240"/>
        </w:trPr>
        <w:tc>
          <w:tcPr>
            <w:tcW w:w="4255" w:type="dxa"/>
            <w:gridSpan w:val="5"/>
          </w:tcPr>
          <w:p w:rsidR="00C67891" w:rsidRDefault="00C67891">
            <w:pPr>
              <w:tabs>
                <w:tab w:val="left" w:pos="2836"/>
              </w:tabs>
            </w:pPr>
            <w:r>
              <w:t>Bemerkungen/Beilagen:</w:t>
            </w:r>
          </w:p>
        </w:tc>
        <w:tc>
          <w:tcPr>
            <w:tcW w:w="4961" w:type="dxa"/>
            <w:gridSpan w:val="4"/>
          </w:tcPr>
          <w:p w:rsidR="00C67891" w:rsidRDefault="00C67891">
            <w:pPr>
              <w:tabs>
                <w:tab w:val="left" w:pos="2836"/>
              </w:tabs>
            </w:pPr>
            <w:r>
              <w:rPr>
                <w:sz w:val="16"/>
              </w:rPr>
              <w:t>(Name, Adresse und Unterschrift)</w:t>
            </w:r>
          </w:p>
        </w:tc>
      </w:tr>
      <w:tr w:rsidR="00C67891" w:rsidTr="00C67891">
        <w:tblPrEx>
          <w:tblCellMar>
            <w:left w:w="70" w:type="dxa"/>
            <w:right w:w="70" w:type="dxa"/>
          </w:tblCellMar>
        </w:tblPrEx>
        <w:trPr>
          <w:trHeight w:hRule="exact" w:val="1480"/>
        </w:trPr>
        <w:tc>
          <w:tcPr>
            <w:tcW w:w="4255" w:type="dxa"/>
            <w:gridSpan w:val="5"/>
          </w:tcPr>
          <w:p w:rsidR="00C67891" w:rsidRDefault="00C67891">
            <w:pPr>
              <w:tabs>
                <w:tab w:val="left" w:pos="2836"/>
              </w:tabs>
              <w:rPr>
                <w:position w:val="6"/>
              </w:rPr>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c>
          <w:tcPr>
            <w:tcW w:w="4961" w:type="dxa"/>
            <w:gridSpan w:val="4"/>
          </w:tcPr>
          <w:p w:rsidR="00C67891" w:rsidRDefault="00C67891">
            <w:pPr>
              <w:tabs>
                <w:tab w:val="left" w:pos="2836"/>
              </w:tabs>
              <w:rPr>
                <w:position w:val="6"/>
              </w:rPr>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Raiffeisenbank Bernerland:</w:t>
            </w:r>
            <w:r>
              <w:rPr>
                <w:color w:val="000000"/>
              </w:rPr>
              <w:fldChar w:fldCharType="end"/>
            </w:r>
          </w:p>
        </w:tc>
      </w:tr>
      <w:tr w:rsidR="00C67891" w:rsidTr="00C67891">
        <w:tblPrEx>
          <w:tblCellMar>
            <w:left w:w="70" w:type="dxa"/>
            <w:right w:w="70" w:type="dxa"/>
          </w:tblCellMar>
        </w:tblPrEx>
        <w:trPr>
          <w:trHeight w:hRule="exact" w:val="240"/>
        </w:trPr>
        <w:tc>
          <w:tcPr>
            <w:tcW w:w="9216" w:type="dxa"/>
            <w:gridSpan w:val="9"/>
            <w:tcBorders>
              <w:top w:val="single" w:sz="6" w:space="0" w:color="auto"/>
            </w:tcBorders>
          </w:tcPr>
          <w:p w:rsidR="00C67891" w:rsidRDefault="00C67891"/>
        </w:tc>
      </w:tr>
      <w:tr w:rsidR="00C67891" w:rsidTr="00C67891">
        <w:tblPrEx>
          <w:tblCellMar>
            <w:left w:w="70" w:type="dxa"/>
            <w:right w:w="70" w:type="dxa"/>
          </w:tblCellMar>
        </w:tblPrEx>
        <w:trPr>
          <w:trHeight w:hRule="exact" w:val="240"/>
        </w:trPr>
        <w:tc>
          <w:tcPr>
            <w:tcW w:w="9216" w:type="dxa"/>
            <w:gridSpan w:val="9"/>
          </w:tcPr>
          <w:p w:rsidR="00C67891" w:rsidRDefault="00C67891">
            <w:pPr>
              <w:rPr>
                <w:b/>
              </w:rPr>
            </w:pPr>
            <w:r>
              <w:rPr>
                <w:b/>
              </w:rPr>
              <w:t xml:space="preserve">Eintragungsbewilligung </w:t>
            </w:r>
            <w:r>
              <w:rPr>
                <w:vertAlign w:val="superscript"/>
              </w:rPr>
              <w:t>2)</w:t>
            </w:r>
          </w:p>
        </w:tc>
      </w:tr>
      <w:tr w:rsidR="00C67891" w:rsidTr="00C67891">
        <w:tblPrEx>
          <w:tblCellMar>
            <w:left w:w="70" w:type="dxa"/>
            <w:right w:w="70" w:type="dxa"/>
          </w:tblCellMar>
        </w:tblPrEx>
        <w:trPr>
          <w:trHeight w:hRule="exact" w:val="200"/>
        </w:trPr>
        <w:tc>
          <w:tcPr>
            <w:tcW w:w="9216" w:type="dxa"/>
            <w:gridSpan w:val="9"/>
          </w:tcPr>
          <w:p w:rsidR="00C67891" w:rsidRDefault="00C67891"/>
        </w:tc>
      </w:tr>
      <w:tr w:rsidR="00C67891" w:rsidTr="00C67891">
        <w:tblPrEx>
          <w:tblCellMar>
            <w:left w:w="70" w:type="dxa"/>
            <w:right w:w="70" w:type="dxa"/>
          </w:tblCellMar>
        </w:tblPrEx>
        <w:trPr>
          <w:trHeight w:hRule="exact" w:val="480"/>
        </w:trPr>
        <w:tc>
          <w:tcPr>
            <w:tcW w:w="9216" w:type="dxa"/>
            <w:gridSpan w:val="9"/>
          </w:tcPr>
          <w:p w:rsidR="00C67891" w:rsidRDefault="00C67891">
            <w:r>
              <w:t>Zur beantragten Änderung wird die Bewilligung erteilt; auf die Eintragung einer leeren Pfan</w:t>
            </w:r>
            <w:r>
              <w:t>d</w:t>
            </w:r>
            <w:r>
              <w:t>stelle wird verzichtet.</w:t>
            </w:r>
          </w:p>
        </w:tc>
      </w:tr>
      <w:tr w:rsidR="00C67891" w:rsidTr="00C67891">
        <w:tblPrEx>
          <w:tblCellMar>
            <w:left w:w="70" w:type="dxa"/>
            <w:right w:w="70" w:type="dxa"/>
          </w:tblCellMar>
        </w:tblPrEx>
        <w:trPr>
          <w:trHeight w:hRule="exact" w:val="200"/>
        </w:trPr>
        <w:tc>
          <w:tcPr>
            <w:tcW w:w="9216" w:type="dxa"/>
            <w:gridSpan w:val="9"/>
          </w:tcPr>
          <w:p w:rsidR="00C67891" w:rsidRDefault="00C67891"/>
        </w:tc>
      </w:tr>
      <w:tr w:rsidR="00C67891" w:rsidTr="00C67891">
        <w:tblPrEx>
          <w:tblCellMar>
            <w:left w:w="70" w:type="dxa"/>
            <w:right w:w="70" w:type="dxa"/>
          </w:tblCellMar>
        </w:tblPrEx>
        <w:trPr>
          <w:trHeight w:hRule="exact" w:val="240"/>
        </w:trPr>
        <w:tc>
          <w:tcPr>
            <w:tcW w:w="5389" w:type="dxa"/>
            <w:gridSpan w:val="7"/>
          </w:tcPr>
          <w:p w:rsidR="00C67891" w:rsidRDefault="00C67891">
            <w:r>
              <w:t xml:space="preserve">Ort/Datum: </w:t>
            </w: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c>
          <w:tcPr>
            <w:tcW w:w="3827" w:type="dxa"/>
            <w:gridSpan w:val="2"/>
          </w:tcPr>
          <w:p w:rsidR="00C67891" w:rsidRDefault="00C67891">
            <w:r>
              <w:rPr>
                <w:b/>
              </w:rPr>
              <w:t>Der/Die Eigentümer/in:</w:t>
            </w:r>
          </w:p>
        </w:tc>
      </w:tr>
      <w:tr w:rsidR="00C67891" w:rsidTr="00C67891">
        <w:tblPrEx>
          <w:tblCellMar>
            <w:left w:w="70" w:type="dxa"/>
            <w:right w:w="70" w:type="dxa"/>
          </w:tblCellMar>
        </w:tblPrEx>
        <w:trPr>
          <w:trHeight w:hRule="exact" w:val="1800"/>
        </w:trPr>
        <w:tc>
          <w:tcPr>
            <w:tcW w:w="5389" w:type="dxa"/>
            <w:gridSpan w:val="7"/>
          </w:tcPr>
          <w:p w:rsidR="00C67891" w:rsidRDefault="00C67891"/>
          <w:p w:rsidR="00C67891" w:rsidRDefault="00C67891"/>
          <w:p w:rsidR="00C67891" w:rsidRDefault="00C67891"/>
          <w:p w:rsidR="00C67891" w:rsidRDefault="00C67891">
            <w:r>
              <w:t>Taxpunkte          _____________</w:t>
            </w:r>
          </w:p>
          <w:p w:rsidR="00C67891" w:rsidRDefault="00C67891">
            <w:pPr>
              <w:rPr>
                <w:sz w:val="16"/>
              </w:rPr>
            </w:pPr>
          </w:p>
          <w:p w:rsidR="00C67891" w:rsidRDefault="00C67891">
            <w:pPr>
              <w:rPr>
                <w:b/>
              </w:rPr>
            </w:pPr>
            <w:r>
              <w:rPr>
                <w:b/>
              </w:rPr>
              <w:t>Gebühren CHF  _____________</w:t>
            </w:r>
          </w:p>
          <w:p w:rsidR="00C67891" w:rsidRDefault="00C67891">
            <w:pPr>
              <w:rPr>
                <w:sz w:val="18"/>
              </w:rPr>
            </w:pPr>
          </w:p>
          <w:p w:rsidR="00C67891" w:rsidRDefault="00C67891">
            <w:r>
              <w:rPr>
                <w:sz w:val="18"/>
              </w:rPr>
              <w:t>verrechnet auf Beleg</w:t>
            </w:r>
          </w:p>
        </w:tc>
        <w:tc>
          <w:tcPr>
            <w:tcW w:w="3827" w:type="dxa"/>
            <w:gridSpan w:val="2"/>
          </w:tcPr>
          <w:p w:rsidR="00C67891" w:rsidRDefault="00C67891">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r>
    </w:tbl>
    <w:p w:rsidR="00C67891" w:rsidRDefault="00C67891">
      <w:pPr>
        <w:rPr>
          <w:sz w:val="10"/>
        </w:rPr>
      </w:pPr>
    </w:p>
    <w:p w:rsidR="00902C4B" w:rsidRDefault="00902C4B" w:rsidP="00902C4B">
      <w:pPr>
        <w:rPr>
          <w:szCs w:val="22"/>
        </w:rPr>
      </w:pPr>
    </w:p>
    <w:p w:rsidR="00902C4B" w:rsidRDefault="00902C4B" w:rsidP="00902C4B">
      <w:pPr>
        <w:spacing w:after="200"/>
        <w:rPr>
          <w:szCs w:val="22"/>
        </w:rPr>
      </w:pPr>
      <w:r>
        <w:rPr>
          <w:szCs w:val="22"/>
        </w:rPr>
        <w:br w:type="page"/>
      </w:r>
    </w:p>
    <w:tbl>
      <w:tblPr>
        <w:tblW w:w="0" w:type="auto"/>
        <w:tblInd w:w="54" w:type="dxa"/>
        <w:tblLayout w:type="fixed"/>
        <w:tblCellMar>
          <w:left w:w="56" w:type="dxa"/>
          <w:right w:w="56" w:type="dxa"/>
        </w:tblCellMar>
        <w:tblLook w:val="0000" w:firstRow="0" w:lastRow="0" w:firstColumn="0" w:lastColumn="0" w:noHBand="0" w:noVBand="0"/>
      </w:tblPr>
      <w:tblGrid>
        <w:gridCol w:w="993"/>
        <w:gridCol w:w="567"/>
        <w:gridCol w:w="692"/>
        <w:gridCol w:w="1434"/>
        <w:gridCol w:w="569"/>
        <w:gridCol w:w="376"/>
        <w:gridCol w:w="758"/>
        <w:gridCol w:w="1324"/>
        <w:gridCol w:w="2503"/>
      </w:tblGrid>
      <w:tr w:rsidR="00C67891" w:rsidTr="00C67891">
        <w:trPr>
          <w:cantSplit/>
          <w:trHeight w:hRule="exact" w:val="907"/>
        </w:trPr>
        <w:tc>
          <w:tcPr>
            <w:tcW w:w="4255" w:type="dxa"/>
            <w:gridSpan w:val="5"/>
          </w:tcPr>
          <w:p w:rsidR="00C67891" w:rsidRDefault="00C67891">
            <w:pPr>
              <w:rPr>
                <w:b/>
                <w:sz w:val="28"/>
              </w:rPr>
            </w:pPr>
            <w:r>
              <w:rPr>
                <w:b/>
                <w:sz w:val="28"/>
              </w:rPr>
              <w:lastRenderedPageBreak/>
              <w:t>Pfandentlassungsbewilligung</w:t>
            </w:r>
          </w:p>
          <w:p w:rsidR="00C67891" w:rsidRDefault="00C67891">
            <w:pPr>
              <w:rPr>
                <w:b/>
              </w:rPr>
            </w:pPr>
          </w:p>
          <w:p w:rsidR="00C67891" w:rsidRDefault="00C67891">
            <w:pPr>
              <w:rPr>
                <w:b/>
                <w:sz w:val="18"/>
              </w:rPr>
            </w:pPr>
            <w:r>
              <w:rPr>
                <w:b/>
              </w:rPr>
              <w:t>an das Grundbuchamt</w:t>
            </w:r>
          </w:p>
        </w:tc>
        <w:tc>
          <w:tcPr>
            <w:tcW w:w="1134" w:type="dxa"/>
            <w:gridSpan w:val="2"/>
          </w:tcPr>
          <w:p w:rsidR="00C67891" w:rsidRDefault="00C67891"/>
        </w:tc>
        <w:tc>
          <w:tcPr>
            <w:tcW w:w="3827" w:type="dxa"/>
            <w:gridSpan w:val="2"/>
          </w:tcPr>
          <w:p w:rsidR="00C67891" w:rsidRDefault="00C67891">
            <w:r>
              <w:t xml:space="preserve">Beleg Nr. </w:t>
            </w:r>
          </w:p>
          <w:p w:rsidR="00C67891" w:rsidRDefault="00C67891">
            <w:pPr>
              <w:rPr>
                <w:sz w:val="16"/>
              </w:rPr>
            </w:pPr>
          </w:p>
          <w:p w:rsidR="00C67891" w:rsidRDefault="00C67891">
            <w:r>
              <w:t>Eingang</w:t>
            </w:r>
          </w:p>
        </w:tc>
      </w:tr>
      <w:tr w:rsidR="00C67891" w:rsidTr="00C67891">
        <w:tblPrEx>
          <w:tblCellMar>
            <w:left w:w="70" w:type="dxa"/>
            <w:right w:w="70" w:type="dxa"/>
          </w:tblCellMar>
        </w:tblPrEx>
        <w:trPr>
          <w:trHeight w:hRule="exact" w:val="240"/>
        </w:trPr>
        <w:tc>
          <w:tcPr>
            <w:tcW w:w="9216" w:type="dxa"/>
            <w:gridSpan w:val="9"/>
          </w:tcPr>
          <w:p w:rsidR="00C67891" w:rsidRDefault="00C67891">
            <w:pPr>
              <w:pStyle w:val="Betreff"/>
              <w:spacing w:before="0" w:after="0"/>
              <w:rPr>
                <w:rFonts w:ascii="Arial" w:hAnsi="Arial"/>
                <w:b w:val="0"/>
                <w:sz w:val="20"/>
              </w:rPr>
            </w:pPr>
          </w:p>
        </w:tc>
      </w:tr>
      <w:tr w:rsidR="00C67891" w:rsidTr="00C67891">
        <w:tblPrEx>
          <w:tblCellMar>
            <w:left w:w="70" w:type="dxa"/>
            <w:right w:w="70" w:type="dxa"/>
          </w:tblCellMar>
        </w:tblPrEx>
        <w:trPr>
          <w:trHeight w:hRule="exact" w:val="240"/>
        </w:trPr>
        <w:tc>
          <w:tcPr>
            <w:tcW w:w="9216" w:type="dxa"/>
            <w:gridSpan w:val="9"/>
          </w:tcPr>
          <w:p w:rsidR="00C67891" w:rsidRDefault="00C67891">
            <w:pPr>
              <w:pStyle w:val="Betreff"/>
              <w:spacing w:before="0" w:after="0"/>
              <w:rPr>
                <w:rFonts w:ascii="Arial" w:hAnsi="Arial"/>
                <w:b w:val="0"/>
                <w:sz w:val="20"/>
              </w:rPr>
            </w:pPr>
          </w:p>
        </w:tc>
      </w:tr>
      <w:tr w:rsidR="00C67891" w:rsidTr="00C67891">
        <w:tblPrEx>
          <w:tblCellMar>
            <w:left w:w="70" w:type="dxa"/>
            <w:right w:w="70" w:type="dxa"/>
          </w:tblCellMar>
        </w:tblPrEx>
        <w:trPr>
          <w:trHeight w:hRule="exact" w:val="400"/>
        </w:trPr>
        <w:tc>
          <w:tcPr>
            <w:tcW w:w="9216" w:type="dxa"/>
            <w:gridSpan w:val="9"/>
          </w:tcPr>
          <w:p w:rsidR="00C67891" w:rsidRDefault="00C67891">
            <w:pPr>
              <w:pStyle w:val="Betreff"/>
              <w:spacing w:before="0" w:after="0"/>
              <w:rPr>
                <w:rFonts w:ascii="Arial" w:hAnsi="Arial"/>
                <w:b w:val="0"/>
                <w:sz w:val="20"/>
              </w:rPr>
            </w:pPr>
            <w:r>
              <w:rPr>
                <w:rFonts w:ascii="Arial" w:hAnsi="Arial"/>
                <w:b w:val="0"/>
                <w:sz w:val="20"/>
              </w:rPr>
              <w:t>Der/Die Unterzeichnende erteilt seine/ihre Einwilligung, folgende Grundstücke</w:t>
            </w:r>
          </w:p>
        </w:tc>
      </w:tr>
      <w:tr w:rsidR="00C67891" w:rsidTr="00C67891">
        <w:tblPrEx>
          <w:tblCellMar>
            <w:left w:w="70" w:type="dxa"/>
            <w:right w:w="70" w:type="dxa"/>
          </w:tblCellMar>
        </w:tblPrEx>
        <w:trPr>
          <w:cantSplit/>
          <w:trHeight w:hRule="exact" w:val="720"/>
        </w:trPr>
        <w:tc>
          <w:tcPr>
            <w:tcW w:w="2252" w:type="dxa"/>
            <w:gridSpan w:val="3"/>
          </w:tcPr>
          <w:p w:rsidR="00C67891" w:rsidRDefault="00C67891">
            <w:pPr>
              <w:pStyle w:val="Betreff"/>
              <w:tabs>
                <w:tab w:val="left" w:pos="2269"/>
              </w:tabs>
              <w:spacing w:before="0" w:after="0"/>
              <w:rPr>
                <w:rFonts w:ascii="Arial" w:hAnsi="Arial"/>
                <w:b w:val="0"/>
                <w:sz w:val="20"/>
              </w:rPr>
            </w:pPr>
            <w:r>
              <w:rPr>
                <w:rFonts w:ascii="Arial" w:hAnsi="Arial"/>
                <w:b w:val="0"/>
                <w:sz w:val="20"/>
              </w:rPr>
              <w:t xml:space="preserve">im Eigentum von </w:t>
            </w:r>
          </w:p>
        </w:tc>
        <w:tc>
          <w:tcPr>
            <w:tcW w:w="6964" w:type="dxa"/>
            <w:gridSpan w:val="6"/>
          </w:tcPr>
          <w:p w:rsidR="00C67891" w:rsidRDefault="00C67891">
            <w:r>
              <w:rPr>
                <w:b/>
                <w:color w:val="000000"/>
              </w:rPr>
              <w:fldChar w:fldCharType="begin">
                <w:ffData>
                  <w:name w:val="Text1"/>
                  <w:enabled/>
                  <w:calcOnExit w:val="0"/>
                  <w:textInput/>
                </w:ffData>
              </w:fldChar>
            </w:r>
            <w:r>
              <w:rPr>
                <w:b/>
                <w:color w:val="000000"/>
              </w:rPr>
              <w:instrText xml:space="preserve"> FORMTEXT </w:instrText>
            </w:r>
            <w:r>
              <w:rPr>
                <w:b/>
                <w:color w:val="000000"/>
              </w:rPr>
            </w:r>
            <w:r>
              <w:rPr>
                <w:b/>
                <w:color w:val="000000"/>
              </w:rPr>
              <w:fldChar w:fldCharType="separate"/>
            </w:r>
            <w:r>
              <w:rPr>
                <w:b/>
                <w:noProof/>
                <w:color w:val="000000"/>
              </w:rPr>
              <w:t>Moser Hans</w:t>
            </w:r>
            <w:r>
              <w:rPr>
                <w:b/>
                <w:color w:val="000000"/>
              </w:rPr>
              <w:fldChar w:fldCharType="end"/>
            </w:r>
          </w:p>
        </w:tc>
      </w:tr>
      <w:tr w:rsidR="00C67891" w:rsidTr="00C67891">
        <w:tblPrEx>
          <w:tblCellMar>
            <w:left w:w="70" w:type="dxa"/>
            <w:right w:w="70" w:type="dxa"/>
          </w:tblCellMar>
        </w:tblPrEx>
        <w:trPr>
          <w:trHeight w:hRule="exact" w:val="240"/>
        </w:trPr>
        <w:tc>
          <w:tcPr>
            <w:tcW w:w="9216" w:type="dxa"/>
            <w:gridSpan w:val="9"/>
          </w:tcPr>
          <w:p w:rsidR="00C67891" w:rsidRDefault="00C67891">
            <w:r>
              <w:rPr>
                <w:b/>
              </w:rPr>
              <w:t>ganz</w:t>
            </w:r>
            <w:r>
              <w:t xml:space="preserve"> aus der Pfandhaft zu entlassen:</w:t>
            </w:r>
          </w:p>
        </w:tc>
      </w:tr>
      <w:tr w:rsidR="00C67891" w:rsidTr="00C67891">
        <w:tblPrEx>
          <w:tblCellMar>
            <w:left w:w="70" w:type="dxa"/>
            <w:right w:w="70" w:type="dxa"/>
          </w:tblCellMar>
        </w:tblPrEx>
        <w:trPr>
          <w:trHeight w:hRule="exact" w:val="200"/>
        </w:trPr>
        <w:tc>
          <w:tcPr>
            <w:tcW w:w="9216" w:type="dxa"/>
            <w:gridSpan w:val="9"/>
          </w:tcPr>
          <w:p w:rsidR="00C67891" w:rsidRDefault="00C67891"/>
        </w:tc>
      </w:tr>
      <w:tr w:rsidR="00C67891" w:rsidTr="00C67891">
        <w:tblPrEx>
          <w:tblCellMar>
            <w:left w:w="70" w:type="dxa"/>
            <w:right w:w="70" w:type="dxa"/>
          </w:tblCellMar>
        </w:tblPrEx>
        <w:trPr>
          <w:trHeight w:hRule="exact" w:val="360"/>
        </w:trPr>
        <w:tc>
          <w:tcPr>
            <w:tcW w:w="2252" w:type="dxa"/>
            <w:gridSpan w:val="3"/>
          </w:tcPr>
          <w:p w:rsidR="00C67891" w:rsidRDefault="00C67891">
            <w:pPr>
              <w:pStyle w:val="Betreff"/>
              <w:tabs>
                <w:tab w:val="clear" w:pos="5800"/>
              </w:tabs>
              <w:spacing w:before="0" w:after="0"/>
              <w:rPr>
                <w:rFonts w:ascii="Arial" w:hAnsi="Arial"/>
                <w:b w:val="0"/>
                <w:sz w:val="20"/>
              </w:rPr>
            </w:pPr>
            <w:r>
              <w:rPr>
                <w:rFonts w:ascii="Arial" w:hAnsi="Arial"/>
                <w:b w:val="0"/>
                <w:sz w:val="20"/>
              </w:rPr>
              <w:t>Grundbuchblatt Nr.</w:t>
            </w:r>
          </w:p>
        </w:tc>
        <w:tc>
          <w:tcPr>
            <w:tcW w:w="6964" w:type="dxa"/>
            <w:gridSpan w:val="6"/>
          </w:tcPr>
          <w:p w:rsidR="00C67891" w:rsidRDefault="00C67891">
            <w:r>
              <w:rPr>
                <w:b/>
                <w:color w:val="000000"/>
              </w:rPr>
              <w:fldChar w:fldCharType="begin">
                <w:ffData>
                  <w:name w:val="Text1"/>
                  <w:enabled/>
                  <w:calcOnExit w:val="0"/>
                  <w:textInput/>
                </w:ffData>
              </w:fldChar>
            </w:r>
            <w:r>
              <w:rPr>
                <w:b/>
                <w:color w:val="000000"/>
              </w:rPr>
              <w:instrText xml:space="preserve"> FORMTEXT </w:instrText>
            </w:r>
            <w:r>
              <w:rPr>
                <w:b/>
                <w:color w:val="000000"/>
              </w:rPr>
            </w:r>
            <w:r>
              <w:rPr>
                <w:b/>
                <w:color w:val="000000"/>
              </w:rPr>
              <w:fldChar w:fldCharType="separate"/>
            </w:r>
            <w:r>
              <w:rPr>
                <w:b/>
                <w:color w:val="000000"/>
              </w:rPr>
              <w:t> </w:t>
            </w:r>
            <w:r>
              <w:rPr>
                <w:b/>
                <w:color w:val="000000"/>
              </w:rPr>
              <w:t> </w:t>
            </w:r>
            <w:r>
              <w:rPr>
                <w:b/>
                <w:color w:val="000000"/>
              </w:rPr>
              <w:t> </w:t>
            </w:r>
            <w:r>
              <w:rPr>
                <w:b/>
                <w:color w:val="000000"/>
              </w:rPr>
              <w:t> </w:t>
            </w:r>
            <w:r>
              <w:rPr>
                <w:b/>
                <w:color w:val="000000"/>
              </w:rPr>
              <w:t> </w:t>
            </w:r>
            <w:r>
              <w:rPr>
                <w:b/>
                <w:color w:val="000000"/>
              </w:rPr>
              <w:fldChar w:fldCharType="end"/>
            </w:r>
          </w:p>
        </w:tc>
      </w:tr>
      <w:tr w:rsidR="00C67891" w:rsidTr="00C67891">
        <w:tblPrEx>
          <w:tblCellMar>
            <w:left w:w="70" w:type="dxa"/>
            <w:right w:w="70" w:type="dxa"/>
          </w:tblCellMar>
        </w:tblPrEx>
        <w:trPr>
          <w:trHeight w:hRule="exact" w:val="360"/>
        </w:trPr>
        <w:tc>
          <w:tcPr>
            <w:tcW w:w="2252" w:type="dxa"/>
            <w:gridSpan w:val="3"/>
          </w:tcPr>
          <w:p w:rsidR="00C67891" w:rsidRDefault="00C67891">
            <w:pPr>
              <w:pStyle w:val="Betreff"/>
              <w:tabs>
                <w:tab w:val="clear" w:pos="5800"/>
              </w:tabs>
              <w:spacing w:before="0" w:after="0"/>
              <w:rPr>
                <w:rFonts w:ascii="Arial" w:hAnsi="Arial"/>
                <w:b w:val="0"/>
                <w:sz w:val="20"/>
              </w:rPr>
            </w:pPr>
            <w:r>
              <w:rPr>
                <w:rFonts w:ascii="Arial" w:hAnsi="Arial"/>
                <w:b w:val="0"/>
                <w:sz w:val="20"/>
              </w:rPr>
              <w:t xml:space="preserve">der Gemeinde </w:t>
            </w:r>
          </w:p>
        </w:tc>
        <w:tc>
          <w:tcPr>
            <w:tcW w:w="6964" w:type="dxa"/>
            <w:gridSpan w:val="6"/>
          </w:tcPr>
          <w:p w:rsidR="00C67891" w:rsidRDefault="00C67891">
            <w:r>
              <w:rPr>
                <w:b/>
                <w:color w:val="000000"/>
              </w:rPr>
              <w:fldChar w:fldCharType="begin">
                <w:ffData>
                  <w:name w:val="Text1"/>
                  <w:enabled/>
                  <w:calcOnExit w:val="0"/>
                  <w:textInput/>
                </w:ffData>
              </w:fldChar>
            </w:r>
            <w:r>
              <w:rPr>
                <w:b/>
                <w:color w:val="000000"/>
              </w:rPr>
              <w:instrText xml:space="preserve"> FORMTEXT </w:instrText>
            </w:r>
            <w:r>
              <w:rPr>
                <w:b/>
                <w:color w:val="000000"/>
              </w:rPr>
            </w:r>
            <w:r>
              <w:rPr>
                <w:b/>
                <w:color w:val="000000"/>
              </w:rPr>
              <w:fldChar w:fldCharType="separate"/>
            </w:r>
            <w:r>
              <w:rPr>
                <w:b/>
                <w:color w:val="000000"/>
              </w:rPr>
              <w:t> </w:t>
            </w:r>
            <w:r>
              <w:rPr>
                <w:b/>
                <w:color w:val="000000"/>
              </w:rPr>
              <w:t> </w:t>
            </w:r>
            <w:r>
              <w:rPr>
                <w:b/>
                <w:color w:val="000000"/>
              </w:rPr>
              <w:t> </w:t>
            </w:r>
            <w:r>
              <w:rPr>
                <w:b/>
                <w:color w:val="000000"/>
              </w:rPr>
              <w:t> </w:t>
            </w:r>
            <w:r>
              <w:rPr>
                <w:b/>
                <w:color w:val="000000"/>
              </w:rPr>
              <w:t> </w:t>
            </w:r>
            <w:r>
              <w:rPr>
                <w:b/>
                <w:color w:val="000000"/>
              </w:rPr>
              <w:fldChar w:fldCharType="end"/>
            </w:r>
          </w:p>
        </w:tc>
      </w:tr>
      <w:tr w:rsidR="00C67891" w:rsidTr="00C67891">
        <w:tblPrEx>
          <w:tblCellMar>
            <w:left w:w="70" w:type="dxa"/>
            <w:right w:w="70" w:type="dxa"/>
          </w:tblCellMar>
        </w:tblPrEx>
        <w:trPr>
          <w:trHeight w:hRule="exact" w:val="240"/>
        </w:trPr>
        <w:tc>
          <w:tcPr>
            <w:tcW w:w="9216" w:type="dxa"/>
            <w:gridSpan w:val="9"/>
          </w:tcPr>
          <w:p w:rsidR="00C67891" w:rsidRDefault="00C67891"/>
        </w:tc>
      </w:tr>
      <w:tr w:rsidR="00C67891" w:rsidTr="00C67891">
        <w:tblPrEx>
          <w:tblCellMar>
            <w:left w:w="70" w:type="dxa"/>
            <w:right w:w="70" w:type="dxa"/>
          </w:tblCellMar>
        </w:tblPrEx>
        <w:trPr>
          <w:trHeight w:hRule="exact" w:val="240"/>
        </w:trPr>
        <w:tc>
          <w:tcPr>
            <w:tcW w:w="9216" w:type="dxa"/>
            <w:gridSpan w:val="9"/>
          </w:tcPr>
          <w:p w:rsidR="00C67891" w:rsidRDefault="00C67891">
            <w:r>
              <w:rPr>
                <w:b/>
              </w:rPr>
              <w:t>teilweise</w:t>
            </w:r>
            <w:r>
              <w:t xml:space="preserve"> aus der Pfandhaft zu entlassen:</w:t>
            </w:r>
          </w:p>
        </w:tc>
      </w:tr>
      <w:tr w:rsidR="00C67891" w:rsidTr="00C67891">
        <w:tblPrEx>
          <w:tblCellMar>
            <w:left w:w="70" w:type="dxa"/>
            <w:right w:w="70" w:type="dxa"/>
          </w:tblCellMar>
        </w:tblPrEx>
        <w:trPr>
          <w:trHeight w:hRule="exact" w:val="200"/>
        </w:trPr>
        <w:tc>
          <w:tcPr>
            <w:tcW w:w="9216" w:type="dxa"/>
            <w:gridSpan w:val="9"/>
          </w:tcPr>
          <w:p w:rsidR="00C67891" w:rsidRDefault="00C67891"/>
        </w:tc>
      </w:tr>
      <w:tr w:rsidR="00C67891" w:rsidTr="00C67891">
        <w:tblPrEx>
          <w:tblCellMar>
            <w:left w:w="70" w:type="dxa"/>
            <w:right w:w="70" w:type="dxa"/>
          </w:tblCellMar>
        </w:tblPrEx>
        <w:trPr>
          <w:trHeight w:hRule="exact" w:val="240"/>
        </w:trPr>
        <w:tc>
          <w:tcPr>
            <w:tcW w:w="993" w:type="dxa"/>
          </w:tcPr>
          <w:p w:rsidR="00C67891" w:rsidRDefault="00C67891">
            <w:r>
              <w:rPr>
                <w:color w:val="000000"/>
              </w:rPr>
              <w:fldChar w:fldCharType="begin">
                <w:ffData>
                  <w:name w:val="Text1"/>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2'189</w:t>
            </w:r>
            <w:r>
              <w:rPr>
                <w:color w:val="000000"/>
              </w:rPr>
              <w:fldChar w:fldCharType="end"/>
            </w:r>
          </w:p>
        </w:tc>
        <w:tc>
          <w:tcPr>
            <w:tcW w:w="2693" w:type="dxa"/>
            <w:gridSpan w:val="3"/>
          </w:tcPr>
          <w:p w:rsidR="00C67891" w:rsidRDefault="00C67891">
            <w:r>
              <w:t>m</w:t>
            </w:r>
            <w:r>
              <w:rPr>
                <w:vertAlign w:val="superscript"/>
              </w:rPr>
              <w:t>2</w:t>
            </w:r>
            <w:r>
              <w:t xml:space="preserve"> von Grundbuchblatt Nr.</w:t>
            </w:r>
          </w:p>
        </w:tc>
        <w:tc>
          <w:tcPr>
            <w:tcW w:w="1703" w:type="dxa"/>
            <w:gridSpan w:val="3"/>
          </w:tcPr>
          <w:p w:rsidR="00C67891" w:rsidRDefault="00C67891">
            <w:r>
              <w:rPr>
                <w:color w:val="000000"/>
              </w:rPr>
              <w:fldChar w:fldCharType="begin">
                <w:ffData>
                  <w:name w:val="Text1"/>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834</w:t>
            </w:r>
            <w:r>
              <w:rPr>
                <w:color w:val="000000"/>
              </w:rPr>
              <w:fldChar w:fldCharType="end"/>
            </w:r>
          </w:p>
        </w:tc>
        <w:tc>
          <w:tcPr>
            <w:tcW w:w="1324" w:type="dxa"/>
          </w:tcPr>
          <w:p w:rsidR="00C67891" w:rsidRDefault="00C67891">
            <w:r>
              <w:t>Gemeinde</w:t>
            </w:r>
          </w:p>
        </w:tc>
        <w:tc>
          <w:tcPr>
            <w:tcW w:w="2503" w:type="dxa"/>
          </w:tcPr>
          <w:p w:rsidR="00C67891" w:rsidRDefault="00C67891">
            <w:r>
              <w:rPr>
                <w:color w:val="000000"/>
              </w:rPr>
              <w:fldChar w:fldCharType="begin">
                <w:ffData>
                  <w:name w:val="Text1"/>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Seldwyla</w:t>
            </w:r>
            <w:r>
              <w:rPr>
                <w:color w:val="000000"/>
              </w:rPr>
              <w:fldChar w:fldCharType="end"/>
            </w:r>
          </w:p>
        </w:tc>
      </w:tr>
      <w:tr w:rsidR="00C67891" w:rsidTr="00C67891">
        <w:tblPrEx>
          <w:tblCellMar>
            <w:left w:w="70" w:type="dxa"/>
            <w:right w:w="70" w:type="dxa"/>
          </w:tblCellMar>
        </w:tblPrEx>
        <w:trPr>
          <w:trHeight w:hRule="exact" w:val="240"/>
        </w:trPr>
        <w:tc>
          <w:tcPr>
            <w:tcW w:w="993" w:type="dxa"/>
          </w:tcPr>
          <w:p w:rsidR="00C67891" w:rsidRDefault="00C67891">
            <w:r>
              <w:rPr>
                <w:color w:val="000000"/>
              </w:rPr>
              <w:fldChar w:fldCharType="begin">
                <w:ffData>
                  <w:name w:val="Text1"/>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c>
          <w:tcPr>
            <w:tcW w:w="2693" w:type="dxa"/>
            <w:gridSpan w:val="3"/>
          </w:tcPr>
          <w:p w:rsidR="00C67891" w:rsidRDefault="00C67891">
            <w:r>
              <w:t>m</w:t>
            </w:r>
            <w:r>
              <w:rPr>
                <w:vertAlign w:val="superscript"/>
              </w:rPr>
              <w:t>2</w:t>
            </w:r>
            <w:r>
              <w:t xml:space="preserve"> von Grundbuchblatt Nr.</w:t>
            </w:r>
          </w:p>
        </w:tc>
        <w:tc>
          <w:tcPr>
            <w:tcW w:w="1703" w:type="dxa"/>
            <w:gridSpan w:val="3"/>
          </w:tcPr>
          <w:p w:rsidR="00C67891" w:rsidRDefault="00C67891">
            <w:r>
              <w:rPr>
                <w:color w:val="000000"/>
              </w:rPr>
              <w:fldChar w:fldCharType="begin">
                <w:ffData>
                  <w:name w:val="Text1"/>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c>
          <w:tcPr>
            <w:tcW w:w="1324" w:type="dxa"/>
          </w:tcPr>
          <w:p w:rsidR="00C67891" w:rsidRDefault="00C67891">
            <w:r>
              <w:t>Gemeinde</w:t>
            </w:r>
          </w:p>
        </w:tc>
        <w:tc>
          <w:tcPr>
            <w:tcW w:w="2503" w:type="dxa"/>
          </w:tcPr>
          <w:p w:rsidR="00C67891" w:rsidRDefault="00C67891">
            <w:r>
              <w:rPr>
                <w:color w:val="000000"/>
              </w:rPr>
              <w:fldChar w:fldCharType="begin">
                <w:ffData>
                  <w:name w:val="Text1"/>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r>
      <w:tr w:rsidR="00C67891" w:rsidTr="00C67891">
        <w:tblPrEx>
          <w:tblCellMar>
            <w:left w:w="70" w:type="dxa"/>
            <w:right w:w="70" w:type="dxa"/>
          </w:tblCellMar>
        </w:tblPrEx>
        <w:trPr>
          <w:trHeight w:hRule="exact" w:val="240"/>
        </w:trPr>
        <w:tc>
          <w:tcPr>
            <w:tcW w:w="9216" w:type="dxa"/>
            <w:gridSpan w:val="9"/>
          </w:tcPr>
          <w:p w:rsidR="00C67891" w:rsidRDefault="00C67891"/>
        </w:tc>
      </w:tr>
      <w:tr w:rsidR="00C67891" w:rsidTr="00C67891">
        <w:tblPrEx>
          <w:tblCellMar>
            <w:left w:w="70" w:type="dxa"/>
            <w:right w:w="70" w:type="dxa"/>
          </w:tblCellMar>
        </w:tblPrEx>
        <w:trPr>
          <w:trHeight w:hRule="exact" w:val="240"/>
        </w:trPr>
        <w:tc>
          <w:tcPr>
            <w:tcW w:w="9216" w:type="dxa"/>
            <w:gridSpan w:val="9"/>
          </w:tcPr>
          <w:p w:rsidR="00C67891" w:rsidRDefault="00C67891">
            <w:r>
              <w:t>für folgende Grundpfandrechte:</w:t>
            </w:r>
          </w:p>
        </w:tc>
      </w:tr>
      <w:tr w:rsidR="00C67891" w:rsidTr="00C67891">
        <w:tblPrEx>
          <w:tblCellMar>
            <w:left w:w="70" w:type="dxa"/>
            <w:right w:w="70" w:type="dxa"/>
          </w:tblCellMar>
        </w:tblPrEx>
        <w:trPr>
          <w:trHeight w:hRule="exact" w:val="200"/>
        </w:trPr>
        <w:tc>
          <w:tcPr>
            <w:tcW w:w="9216" w:type="dxa"/>
            <w:gridSpan w:val="9"/>
          </w:tcPr>
          <w:p w:rsidR="00C67891" w:rsidRDefault="00C67891"/>
        </w:tc>
      </w:tr>
      <w:tr w:rsidR="00C67891" w:rsidTr="00C67891">
        <w:tblPrEx>
          <w:tblCellMar>
            <w:left w:w="70" w:type="dxa"/>
            <w:right w:w="70" w:type="dxa"/>
          </w:tblCellMar>
        </w:tblPrEx>
        <w:trPr>
          <w:cantSplit/>
        </w:trPr>
        <w:tc>
          <w:tcPr>
            <w:tcW w:w="1560" w:type="dxa"/>
            <w:gridSpan w:val="2"/>
          </w:tcPr>
          <w:p w:rsidR="00C67891" w:rsidRDefault="00C67891">
            <w:pPr>
              <w:rPr>
                <w:b/>
              </w:rPr>
            </w:pPr>
            <w:r>
              <w:rPr>
                <w:b/>
              </w:rPr>
              <w:t>Art</w:t>
            </w:r>
          </w:p>
        </w:tc>
        <w:tc>
          <w:tcPr>
            <w:tcW w:w="2695" w:type="dxa"/>
            <w:gridSpan w:val="3"/>
          </w:tcPr>
          <w:p w:rsidR="00C67891" w:rsidRDefault="00C67891">
            <w:pPr>
              <w:jc w:val="right"/>
              <w:rPr>
                <w:b/>
              </w:rPr>
            </w:pPr>
            <w:r>
              <w:rPr>
                <w:b/>
              </w:rPr>
              <w:t>Betrag in CHF</w:t>
            </w:r>
          </w:p>
        </w:tc>
        <w:tc>
          <w:tcPr>
            <w:tcW w:w="376" w:type="dxa"/>
          </w:tcPr>
          <w:p w:rsidR="00C67891" w:rsidRDefault="00C67891">
            <w:pPr>
              <w:rPr>
                <w:b/>
              </w:rPr>
            </w:pPr>
          </w:p>
        </w:tc>
        <w:tc>
          <w:tcPr>
            <w:tcW w:w="4585" w:type="dxa"/>
            <w:gridSpan w:val="3"/>
          </w:tcPr>
          <w:p w:rsidR="00C67891" w:rsidRDefault="00C67891">
            <w:pPr>
              <w:rPr>
                <w:b/>
              </w:rPr>
            </w:pPr>
            <w:r>
              <w:rPr>
                <w:b/>
              </w:rPr>
              <w:t>Titel-Identifikations-Nr. oder</w:t>
            </w:r>
          </w:p>
          <w:p w:rsidR="00C67891" w:rsidRDefault="00C67891">
            <w:pPr>
              <w:rPr>
                <w:b/>
              </w:rPr>
            </w:pPr>
            <w:proofErr w:type="spellStart"/>
            <w:r>
              <w:rPr>
                <w:b/>
              </w:rPr>
              <w:t>Litera</w:t>
            </w:r>
            <w:proofErr w:type="spellEnd"/>
            <w:r>
              <w:rPr>
                <w:b/>
              </w:rPr>
              <w:t>, Errichtungsdatum und Beleg</w:t>
            </w:r>
          </w:p>
        </w:tc>
      </w:tr>
      <w:tr w:rsidR="00C67891" w:rsidTr="00C67891">
        <w:tblPrEx>
          <w:tblCellMar>
            <w:left w:w="70" w:type="dxa"/>
            <w:right w:w="70" w:type="dxa"/>
          </w:tblCellMar>
        </w:tblPrEx>
        <w:trPr>
          <w:cantSplit/>
        </w:trPr>
        <w:tc>
          <w:tcPr>
            <w:tcW w:w="1560" w:type="dxa"/>
            <w:gridSpan w:val="2"/>
          </w:tcPr>
          <w:p w:rsidR="00C67891" w:rsidRDefault="00C67891">
            <w:pPr>
              <w:rPr>
                <w:color w:val="000000"/>
              </w:rPr>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Schuldbrief</w:t>
            </w:r>
            <w:r>
              <w:rPr>
                <w:color w:val="000000"/>
              </w:rPr>
              <w:fldChar w:fldCharType="end"/>
            </w:r>
          </w:p>
        </w:tc>
        <w:tc>
          <w:tcPr>
            <w:tcW w:w="2695" w:type="dxa"/>
            <w:gridSpan w:val="3"/>
          </w:tcPr>
          <w:p w:rsidR="00C67891" w:rsidRDefault="00C67891">
            <w:pPr>
              <w:jc w:val="right"/>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114'000.00</w:t>
            </w:r>
            <w:r>
              <w:rPr>
                <w:color w:val="000000"/>
              </w:rPr>
              <w:fldChar w:fldCharType="end"/>
            </w:r>
          </w:p>
        </w:tc>
        <w:tc>
          <w:tcPr>
            <w:tcW w:w="376" w:type="dxa"/>
          </w:tcPr>
          <w:p w:rsidR="00C67891" w:rsidRDefault="00C67891">
            <w:pPr>
              <w:rPr>
                <w:color w:val="000000"/>
              </w:rPr>
            </w:pPr>
          </w:p>
        </w:tc>
        <w:tc>
          <w:tcPr>
            <w:tcW w:w="4585" w:type="dxa"/>
            <w:gridSpan w:val="3"/>
          </w:tcPr>
          <w:p w:rsidR="00C67891" w:rsidRDefault="00C67891">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2. Rang, 10%, vom 13.7.2006, Beleg 2006/2220/0</w:t>
            </w:r>
            <w:r>
              <w:rPr>
                <w:color w:val="000000"/>
              </w:rPr>
              <w:fldChar w:fldCharType="end"/>
            </w:r>
            <w:r>
              <w:fldChar w:fldCharType="begin"/>
            </w:r>
            <w:r>
              <w:fldChar w:fldCharType="end"/>
            </w:r>
          </w:p>
        </w:tc>
      </w:tr>
      <w:tr w:rsidR="00C67891" w:rsidTr="00C67891">
        <w:tblPrEx>
          <w:tblCellMar>
            <w:left w:w="70" w:type="dxa"/>
            <w:right w:w="70" w:type="dxa"/>
          </w:tblCellMar>
        </w:tblPrEx>
        <w:trPr>
          <w:cantSplit/>
        </w:trPr>
        <w:tc>
          <w:tcPr>
            <w:tcW w:w="1560" w:type="dxa"/>
            <w:gridSpan w:val="2"/>
          </w:tcPr>
          <w:p w:rsidR="00C67891" w:rsidRDefault="00C67891">
            <w:pPr>
              <w:rPr>
                <w:color w:val="000000"/>
              </w:rPr>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c>
          <w:tcPr>
            <w:tcW w:w="2695" w:type="dxa"/>
            <w:gridSpan w:val="3"/>
          </w:tcPr>
          <w:p w:rsidR="00C67891" w:rsidRDefault="00C67891">
            <w:pPr>
              <w:jc w:val="right"/>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c>
          <w:tcPr>
            <w:tcW w:w="376" w:type="dxa"/>
          </w:tcPr>
          <w:p w:rsidR="00C67891" w:rsidRDefault="00C67891">
            <w:pPr>
              <w:rPr>
                <w:color w:val="000000"/>
              </w:rPr>
            </w:pPr>
          </w:p>
        </w:tc>
        <w:tc>
          <w:tcPr>
            <w:tcW w:w="4585" w:type="dxa"/>
            <w:gridSpan w:val="3"/>
          </w:tcPr>
          <w:p w:rsidR="00C67891" w:rsidRDefault="00C67891">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r>
              <w:fldChar w:fldCharType="begin"/>
            </w:r>
            <w:r>
              <w:fldChar w:fldCharType="end"/>
            </w:r>
          </w:p>
        </w:tc>
      </w:tr>
      <w:tr w:rsidR="00C67891" w:rsidTr="00C67891">
        <w:tblPrEx>
          <w:tblCellMar>
            <w:left w:w="70" w:type="dxa"/>
            <w:right w:w="70" w:type="dxa"/>
          </w:tblCellMar>
        </w:tblPrEx>
        <w:trPr>
          <w:trHeight w:hRule="exact" w:val="240"/>
        </w:trPr>
        <w:tc>
          <w:tcPr>
            <w:tcW w:w="9216" w:type="dxa"/>
            <w:gridSpan w:val="9"/>
          </w:tcPr>
          <w:p w:rsidR="00C67891" w:rsidRDefault="00C67891"/>
        </w:tc>
      </w:tr>
      <w:tr w:rsidR="00C67891" w:rsidTr="00C67891">
        <w:tblPrEx>
          <w:tblCellMar>
            <w:left w:w="70" w:type="dxa"/>
            <w:right w:w="70" w:type="dxa"/>
          </w:tblCellMar>
        </w:tblPrEx>
        <w:trPr>
          <w:trHeight w:hRule="exact" w:val="480"/>
        </w:trPr>
        <w:tc>
          <w:tcPr>
            <w:tcW w:w="9216" w:type="dxa"/>
            <w:gridSpan w:val="9"/>
          </w:tcPr>
          <w:p w:rsidR="00C67891" w:rsidRDefault="00C67891">
            <w:r>
              <w:t>Auf den übrigen Grundstücken bzw. Restgrundstücken bleiben die Pfandrechte unverändert bestehen.</w:t>
            </w:r>
          </w:p>
        </w:tc>
      </w:tr>
      <w:tr w:rsidR="00C67891" w:rsidTr="00C67891">
        <w:tblPrEx>
          <w:tblCellMar>
            <w:left w:w="70" w:type="dxa"/>
            <w:right w:w="70" w:type="dxa"/>
          </w:tblCellMar>
        </w:tblPrEx>
        <w:trPr>
          <w:trHeight w:hRule="exact" w:val="240"/>
        </w:trPr>
        <w:tc>
          <w:tcPr>
            <w:tcW w:w="4255" w:type="dxa"/>
            <w:gridSpan w:val="5"/>
          </w:tcPr>
          <w:p w:rsidR="00C67891" w:rsidRDefault="00C67891">
            <w:pPr>
              <w:tabs>
                <w:tab w:val="left" w:pos="2836"/>
              </w:tabs>
            </w:pPr>
            <w:r>
              <w:t xml:space="preserve">Ort/Datum: </w:t>
            </w: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c>
          <w:tcPr>
            <w:tcW w:w="4961" w:type="dxa"/>
            <w:gridSpan w:val="4"/>
          </w:tcPr>
          <w:p w:rsidR="00C67891" w:rsidRDefault="00C67891">
            <w:pPr>
              <w:tabs>
                <w:tab w:val="left" w:pos="2836"/>
              </w:tabs>
            </w:pPr>
            <w:r>
              <w:rPr>
                <w:b/>
              </w:rPr>
              <w:t xml:space="preserve">Der/Die Grundpfand-/Faustpfandgläubiger/in: </w:t>
            </w:r>
            <w:r>
              <w:rPr>
                <w:position w:val="6"/>
                <w:sz w:val="16"/>
              </w:rPr>
              <w:t>1)</w:t>
            </w:r>
          </w:p>
        </w:tc>
      </w:tr>
      <w:tr w:rsidR="00C67891" w:rsidTr="00C67891">
        <w:tblPrEx>
          <w:tblCellMar>
            <w:left w:w="70" w:type="dxa"/>
            <w:right w:w="70" w:type="dxa"/>
          </w:tblCellMar>
        </w:tblPrEx>
        <w:trPr>
          <w:trHeight w:hRule="exact" w:val="240"/>
        </w:trPr>
        <w:tc>
          <w:tcPr>
            <w:tcW w:w="4255" w:type="dxa"/>
            <w:gridSpan w:val="5"/>
          </w:tcPr>
          <w:p w:rsidR="00C67891" w:rsidRDefault="00C67891">
            <w:pPr>
              <w:tabs>
                <w:tab w:val="left" w:pos="2836"/>
              </w:tabs>
            </w:pPr>
            <w:r>
              <w:t>Bemerkungen/Beilagen:</w:t>
            </w:r>
          </w:p>
        </w:tc>
        <w:tc>
          <w:tcPr>
            <w:tcW w:w="4961" w:type="dxa"/>
            <w:gridSpan w:val="4"/>
          </w:tcPr>
          <w:p w:rsidR="00C67891" w:rsidRDefault="00C67891">
            <w:pPr>
              <w:tabs>
                <w:tab w:val="left" w:pos="2836"/>
              </w:tabs>
            </w:pPr>
            <w:r>
              <w:rPr>
                <w:sz w:val="16"/>
              </w:rPr>
              <w:t>(Name, Adresse und Unterschrift)</w:t>
            </w:r>
          </w:p>
        </w:tc>
      </w:tr>
      <w:tr w:rsidR="00C67891" w:rsidTr="00C67891">
        <w:tblPrEx>
          <w:tblCellMar>
            <w:left w:w="70" w:type="dxa"/>
            <w:right w:w="70" w:type="dxa"/>
          </w:tblCellMar>
        </w:tblPrEx>
        <w:trPr>
          <w:trHeight w:hRule="exact" w:val="1480"/>
        </w:trPr>
        <w:tc>
          <w:tcPr>
            <w:tcW w:w="4255" w:type="dxa"/>
            <w:gridSpan w:val="5"/>
          </w:tcPr>
          <w:p w:rsidR="00C67891" w:rsidRDefault="00C67891">
            <w:pPr>
              <w:tabs>
                <w:tab w:val="left" w:pos="2836"/>
              </w:tabs>
              <w:rPr>
                <w:position w:val="6"/>
              </w:rPr>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c>
          <w:tcPr>
            <w:tcW w:w="4961" w:type="dxa"/>
            <w:gridSpan w:val="4"/>
          </w:tcPr>
          <w:p w:rsidR="00C67891" w:rsidRDefault="00C67891">
            <w:pPr>
              <w:tabs>
                <w:tab w:val="left" w:pos="2836"/>
              </w:tabs>
              <w:rPr>
                <w:position w:val="6"/>
              </w:rPr>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Bernische Stiftung für Agrarkredite:</w:t>
            </w:r>
            <w:r>
              <w:rPr>
                <w:color w:val="000000"/>
              </w:rPr>
              <w:fldChar w:fldCharType="end"/>
            </w:r>
          </w:p>
        </w:tc>
      </w:tr>
      <w:tr w:rsidR="00C67891" w:rsidTr="00C67891">
        <w:tblPrEx>
          <w:tblCellMar>
            <w:left w:w="70" w:type="dxa"/>
            <w:right w:w="70" w:type="dxa"/>
          </w:tblCellMar>
        </w:tblPrEx>
        <w:trPr>
          <w:trHeight w:hRule="exact" w:val="240"/>
        </w:trPr>
        <w:tc>
          <w:tcPr>
            <w:tcW w:w="9216" w:type="dxa"/>
            <w:gridSpan w:val="9"/>
            <w:tcBorders>
              <w:top w:val="single" w:sz="6" w:space="0" w:color="auto"/>
            </w:tcBorders>
          </w:tcPr>
          <w:p w:rsidR="00C67891" w:rsidRDefault="00C67891"/>
        </w:tc>
      </w:tr>
      <w:tr w:rsidR="00C67891" w:rsidTr="00C67891">
        <w:tblPrEx>
          <w:tblCellMar>
            <w:left w:w="70" w:type="dxa"/>
            <w:right w:w="70" w:type="dxa"/>
          </w:tblCellMar>
        </w:tblPrEx>
        <w:trPr>
          <w:trHeight w:hRule="exact" w:val="240"/>
        </w:trPr>
        <w:tc>
          <w:tcPr>
            <w:tcW w:w="9216" w:type="dxa"/>
            <w:gridSpan w:val="9"/>
          </w:tcPr>
          <w:p w:rsidR="00C67891" w:rsidRDefault="00C67891">
            <w:pPr>
              <w:rPr>
                <w:b/>
              </w:rPr>
            </w:pPr>
            <w:r>
              <w:rPr>
                <w:b/>
              </w:rPr>
              <w:t xml:space="preserve">Eintragungsbewilligung </w:t>
            </w:r>
            <w:r>
              <w:rPr>
                <w:vertAlign w:val="superscript"/>
              </w:rPr>
              <w:t>2)</w:t>
            </w:r>
          </w:p>
        </w:tc>
      </w:tr>
      <w:tr w:rsidR="00C67891" w:rsidTr="00C67891">
        <w:tblPrEx>
          <w:tblCellMar>
            <w:left w:w="70" w:type="dxa"/>
            <w:right w:w="70" w:type="dxa"/>
          </w:tblCellMar>
        </w:tblPrEx>
        <w:trPr>
          <w:trHeight w:hRule="exact" w:val="200"/>
        </w:trPr>
        <w:tc>
          <w:tcPr>
            <w:tcW w:w="9216" w:type="dxa"/>
            <w:gridSpan w:val="9"/>
          </w:tcPr>
          <w:p w:rsidR="00C67891" w:rsidRDefault="00C67891"/>
        </w:tc>
      </w:tr>
      <w:tr w:rsidR="00C67891" w:rsidTr="00C67891">
        <w:tblPrEx>
          <w:tblCellMar>
            <w:left w:w="70" w:type="dxa"/>
            <w:right w:w="70" w:type="dxa"/>
          </w:tblCellMar>
        </w:tblPrEx>
        <w:trPr>
          <w:trHeight w:hRule="exact" w:val="480"/>
        </w:trPr>
        <w:tc>
          <w:tcPr>
            <w:tcW w:w="9216" w:type="dxa"/>
            <w:gridSpan w:val="9"/>
          </w:tcPr>
          <w:p w:rsidR="00C67891" w:rsidRDefault="00C67891">
            <w:r>
              <w:t>Zur beantragten Änderung wird die Bewilligung erteilt; auf die Eintragung einer leeren Pfan</w:t>
            </w:r>
            <w:r>
              <w:t>d</w:t>
            </w:r>
            <w:r>
              <w:t>stelle wird verzichtet.</w:t>
            </w:r>
          </w:p>
        </w:tc>
      </w:tr>
      <w:tr w:rsidR="00C67891" w:rsidTr="00C67891">
        <w:tblPrEx>
          <w:tblCellMar>
            <w:left w:w="70" w:type="dxa"/>
            <w:right w:w="70" w:type="dxa"/>
          </w:tblCellMar>
        </w:tblPrEx>
        <w:trPr>
          <w:trHeight w:hRule="exact" w:val="200"/>
        </w:trPr>
        <w:tc>
          <w:tcPr>
            <w:tcW w:w="9216" w:type="dxa"/>
            <w:gridSpan w:val="9"/>
          </w:tcPr>
          <w:p w:rsidR="00C67891" w:rsidRDefault="00C67891"/>
        </w:tc>
      </w:tr>
      <w:tr w:rsidR="00C67891" w:rsidTr="00C67891">
        <w:tblPrEx>
          <w:tblCellMar>
            <w:left w:w="70" w:type="dxa"/>
            <w:right w:w="70" w:type="dxa"/>
          </w:tblCellMar>
        </w:tblPrEx>
        <w:trPr>
          <w:trHeight w:hRule="exact" w:val="240"/>
        </w:trPr>
        <w:tc>
          <w:tcPr>
            <w:tcW w:w="5389" w:type="dxa"/>
            <w:gridSpan w:val="7"/>
          </w:tcPr>
          <w:p w:rsidR="00C67891" w:rsidRDefault="00C67891">
            <w:r>
              <w:t xml:space="preserve">Ort/Datum: </w:t>
            </w: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c>
          <w:tcPr>
            <w:tcW w:w="3827" w:type="dxa"/>
            <w:gridSpan w:val="2"/>
          </w:tcPr>
          <w:p w:rsidR="00C67891" w:rsidRDefault="00C67891">
            <w:r>
              <w:rPr>
                <w:b/>
              </w:rPr>
              <w:t>Der/Die Eigentümer/in:</w:t>
            </w:r>
          </w:p>
        </w:tc>
      </w:tr>
      <w:tr w:rsidR="00C67891" w:rsidTr="00C67891">
        <w:tblPrEx>
          <w:tblCellMar>
            <w:left w:w="70" w:type="dxa"/>
            <w:right w:w="70" w:type="dxa"/>
          </w:tblCellMar>
        </w:tblPrEx>
        <w:trPr>
          <w:trHeight w:hRule="exact" w:val="1800"/>
        </w:trPr>
        <w:tc>
          <w:tcPr>
            <w:tcW w:w="5389" w:type="dxa"/>
            <w:gridSpan w:val="7"/>
          </w:tcPr>
          <w:p w:rsidR="00C67891" w:rsidRDefault="00C67891"/>
          <w:p w:rsidR="00C67891" w:rsidRDefault="00C67891"/>
          <w:p w:rsidR="00C67891" w:rsidRDefault="00C67891"/>
          <w:p w:rsidR="00C67891" w:rsidRDefault="00C67891">
            <w:r>
              <w:t>Taxpunkte          _____________</w:t>
            </w:r>
          </w:p>
          <w:p w:rsidR="00C67891" w:rsidRDefault="00C67891">
            <w:pPr>
              <w:rPr>
                <w:sz w:val="16"/>
              </w:rPr>
            </w:pPr>
          </w:p>
          <w:p w:rsidR="00C67891" w:rsidRDefault="00C67891">
            <w:pPr>
              <w:rPr>
                <w:b/>
              </w:rPr>
            </w:pPr>
            <w:r>
              <w:rPr>
                <w:b/>
              </w:rPr>
              <w:t>Gebühren CHF  _____________</w:t>
            </w:r>
          </w:p>
          <w:p w:rsidR="00C67891" w:rsidRDefault="00C67891">
            <w:pPr>
              <w:rPr>
                <w:sz w:val="18"/>
              </w:rPr>
            </w:pPr>
          </w:p>
          <w:p w:rsidR="00C67891" w:rsidRDefault="00C67891">
            <w:r>
              <w:rPr>
                <w:sz w:val="18"/>
              </w:rPr>
              <w:t>verrechnet auf Beleg</w:t>
            </w:r>
          </w:p>
        </w:tc>
        <w:tc>
          <w:tcPr>
            <w:tcW w:w="3827" w:type="dxa"/>
            <w:gridSpan w:val="2"/>
          </w:tcPr>
          <w:p w:rsidR="00C67891" w:rsidRDefault="00C67891">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noProof/>
                <w:color w:val="000000"/>
              </w:rPr>
              <w:t> </w:t>
            </w:r>
            <w:r>
              <w:rPr>
                <w:noProof/>
                <w:color w:val="000000"/>
              </w:rPr>
              <w:t> </w:t>
            </w:r>
            <w:r>
              <w:rPr>
                <w:noProof/>
                <w:color w:val="000000"/>
              </w:rPr>
              <w:t> </w:t>
            </w:r>
            <w:r>
              <w:rPr>
                <w:noProof/>
                <w:color w:val="000000"/>
              </w:rPr>
              <w:t> </w:t>
            </w:r>
            <w:r>
              <w:rPr>
                <w:noProof/>
                <w:color w:val="000000"/>
              </w:rPr>
              <w:t> </w:t>
            </w:r>
            <w:r>
              <w:rPr>
                <w:color w:val="000000"/>
              </w:rPr>
              <w:fldChar w:fldCharType="end"/>
            </w:r>
          </w:p>
        </w:tc>
      </w:tr>
    </w:tbl>
    <w:p w:rsidR="00C67891" w:rsidRDefault="00C67891">
      <w:pPr>
        <w:rPr>
          <w:sz w:val="10"/>
        </w:rPr>
      </w:pPr>
    </w:p>
    <w:p w:rsidR="00902C4B" w:rsidRDefault="00902C4B" w:rsidP="00902C4B">
      <w:pPr>
        <w:rPr>
          <w:szCs w:val="22"/>
        </w:rPr>
      </w:pPr>
    </w:p>
    <w:p w:rsidR="00902C4B" w:rsidRDefault="00902C4B" w:rsidP="00902C4B">
      <w:pPr>
        <w:spacing w:after="200"/>
        <w:rPr>
          <w:szCs w:val="22"/>
        </w:rPr>
      </w:pPr>
      <w:r>
        <w:rPr>
          <w:szCs w:val="22"/>
        </w:rPr>
        <w:br w:type="page"/>
      </w:r>
    </w:p>
    <w:tbl>
      <w:tblPr>
        <w:tblW w:w="0" w:type="auto"/>
        <w:tblInd w:w="54" w:type="dxa"/>
        <w:tblLayout w:type="fixed"/>
        <w:tblCellMar>
          <w:left w:w="56" w:type="dxa"/>
          <w:right w:w="56" w:type="dxa"/>
        </w:tblCellMar>
        <w:tblLook w:val="0000" w:firstRow="0" w:lastRow="0" w:firstColumn="0" w:lastColumn="0" w:noHBand="0" w:noVBand="0"/>
      </w:tblPr>
      <w:tblGrid>
        <w:gridCol w:w="2252"/>
        <w:gridCol w:w="1150"/>
        <w:gridCol w:w="704"/>
        <w:gridCol w:w="1283"/>
        <w:gridCol w:w="3827"/>
      </w:tblGrid>
      <w:tr w:rsidR="00C67891" w:rsidTr="00C67891">
        <w:trPr>
          <w:cantSplit/>
          <w:trHeight w:hRule="exact" w:val="920"/>
        </w:trPr>
        <w:tc>
          <w:tcPr>
            <w:tcW w:w="3402" w:type="dxa"/>
            <w:gridSpan w:val="2"/>
          </w:tcPr>
          <w:p w:rsidR="00C67891" w:rsidRDefault="00C67891">
            <w:pPr>
              <w:rPr>
                <w:b/>
                <w:sz w:val="28"/>
              </w:rPr>
            </w:pPr>
            <w:r>
              <w:rPr>
                <w:b/>
                <w:sz w:val="28"/>
              </w:rPr>
              <w:lastRenderedPageBreak/>
              <w:t>Löschungsbewilligung</w:t>
            </w:r>
          </w:p>
          <w:p w:rsidR="00C67891" w:rsidRDefault="00C67891">
            <w:pPr>
              <w:rPr>
                <w:b/>
              </w:rPr>
            </w:pPr>
          </w:p>
          <w:p w:rsidR="00C67891" w:rsidRDefault="00C67891">
            <w:pPr>
              <w:rPr>
                <w:b/>
                <w:sz w:val="28"/>
              </w:rPr>
            </w:pPr>
            <w:r>
              <w:rPr>
                <w:b/>
              </w:rPr>
              <w:t>an das Grundbuchamt</w:t>
            </w:r>
          </w:p>
        </w:tc>
        <w:tc>
          <w:tcPr>
            <w:tcW w:w="704" w:type="dxa"/>
          </w:tcPr>
          <w:p w:rsidR="00C67891" w:rsidRDefault="00C67891">
            <w:pPr>
              <w:rPr>
                <w:sz w:val="18"/>
              </w:rPr>
            </w:pPr>
          </w:p>
        </w:tc>
        <w:tc>
          <w:tcPr>
            <w:tcW w:w="1283" w:type="dxa"/>
          </w:tcPr>
          <w:p w:rsidR="00C67891" w:rsidRDefault="00C67891"/>
        </w:tc>
        <w:tc>
          <w:tcPr>
            <w:tcW w:w="3827" w:type="dxa"/>
          </w:tcPr>
          <w:p w:rsidR="00C67891" w:rsidRDefault="00C67891">
            <w:r>
              <w:t xml:space="preserve">Beleg Nr. </w:t>
            </w:r>
          </w:p>
          <w:p w:rsidR="00C67891" w:rsidRDefault="00C67891">
            <w:pPr>
              <w:rPr>
                <w:sz w:val="16"/>
              </w:rPr>
            </w:pPr>
          </w:p>
          <w:p w:rsidR="00C67891" w:rsidRDefault="00C67891">
            <w:r>
              <w:t>Eingang</w:t>
            </w:r>
          </w:p>
        </w:tc>
      </w:tr>
      <w:tr w:rsidR="00C67891" w:rsidTr="00C67891">
        <w:tblPrEx>
          <w:tblCellMar>
            <w:left w:w="70" w:type="dxa"/>
            <w:right w:w="70" w:type="dxa"/>
          </w:tblCellMar>
        </w:tblPrEx>
        <w:trPr>
          <w:trHeight w:hRule="exact" w:val="720"/>
        </w:trPr>
        <w:tc>
          <w:tcPr>
            <w:tcW w:w="5389" w:type="dxa"/>
            <w:gridSpan w:val="4"/>
          </w:tcPr>
          <w:p w:rsidR="00C67891" w:rsidRDefault="00C67891"/>
        </w:tc>
        <w:tc>
          <w:tcPr>
            <w:tcW w:w="3827" w:type="dxa"/>
          </w:tcPr>
          <w:p w:rsidR="00C67891" w:rsidRDefault="00C67891"/>
        </w:tc>
      </w:tr>
      <w:tr w:rsidR="00C67891" w:rsidTr="00C67891">
        <w:tblPrEx>
          <w:tblCellMar>
            <w:left w:w="70" w:type="dxa"/>
            <w:right w:w="70" w:type="dxa"/>
          </w:tblCellMar>
        </w:tblPrEx>
        <w:trPr>
          <w:trHeight w:hRule="exact" w:val="1920"/>
        </w:trPr>
        <w:tc>
          <w:tcPr>
            <w:tcW w:w="5389" w:type="dxa"/>
            <w:gridSpan w:val="4"/>
          </w:tcPr>
          <w:p w:rsidR="00C67891" w:rsidRDefault="00C67891">
            <w:pPr>
              <w:pStyle w:val="Betreff"/>
              <w:spacing w:before="0" w:after="0"/>
              <w:rPr>
                <w:rFonts w:ascii="Arial" w:hAnsi="Arial"/>
                <w:b w:val="0"/>
                <w:sz w:val="20"/>
              </w:rPr>
            </w:pPr>
            <w:r>
              <w:rPr>
                <w:rFonts w:ascii="Arial" w:hAnsi="Arial"/>
                <w:b w:val="0"/>
                <w:sz w:val="20"/>
              </w:rPr>
              <w:t xml:space="preserve">                                                                                          </w:t>
            </w:r>
            <w:r>
              <w:rPr>
                <w:rFonts w:ascii="Arial" w:hAnsi="Arial"/>
                <w:sz w:val="20"/>
              </w:rPr>
              <w:t>.</w:t>
            </w:r>
          </w:p>
          <w:p w:rsidR="00C67891" w:rsidRDefault="00C67891">
            <w:pPr>
              <w:pStyle w:val="Betreff"/>
              <w:spacing w:before="0" w:after="0"/>
              <w:rPr>
                <w:rFonts w:ascii="Arial" w:hAnsi="Arial"/>
                <w:b w:val="0"/>
                <w:sz w:val="20"/>
              </w:rPr>
            </w:pPr>
          </w:p>
          <w:p w:rsidR="00C67891" w:rsidRDefault="00C67891">
            <w:pPr>
              <w:pStyle w:val="Betreff"/>
              <w:spacing w:before="0" w:after="0"/>
              <w:rPr>
                <w:rFonts w:ascii="Arial" w:hAnsi="Arial"/>
                <w:b w:val="0"/>
                <w:sz w:val="20"/>
              </w:rPr>
            </w:pPr>
          </w:p>
          <w:p w:rsidR="00C67891" w:rsidRDefault="00C67891">
            <w:pPr>
              <w:pStyle w:val="Betreff"/>
              <w:spacing w:before="0" w:after="0"/>
              <w:rPr>
                <w:rFonts w:ascii="Arial" w:hAnsi="Arial"/>
                <w:b w:val="0"/>
                <w:sz w:val="20"/>
              </w:rPr>
            </w:pPr>
          </w:p>
          <w:p w:rsidR="00C67891" w:rsidRDefault="00C67891">
            <w:pPr>
              <w:pStyle w:val="Betreff"/>
              <w:spacing w:before="0" w:after="0"/>
              <w:rPr>
                <w:rFonts w:ascii="Arial" w:hAnsi="Arial"/>
                <w:b w:val="0"/>
                <w:sz w:val="20"/>
              </w:rPr>
            </w:pPr>
          </w:p>
          <w:p w:rsidR="00C67891" w:rsidRDefault="00C67891">
            <w:pPr>
              <w:pStyle w:val="Betreff"/>
              <w:spacing w:before="0" w:after="0"/>
              <w:rPr>
                <w:rFonts w:ascii="Arial" w:hAnsi="Arial"/>
                <w:b w:val="0"/>
                <w:sz w:val="20"/>
              </w:rPr>
            </w:pPr>
            <w:r>
              <w:rPr>
                <w:rFonts w:ascii="Arial" w:hAnsi="Arial"/>
                <w:b w:val="0"/>
                <w:sz w:val="20"/>
              </w:rPr>
              <w:t>Der/Die Unterzeichnende erteilt seine/ihre</w:t>
            </w:r>
          </w:p>
          <w:p w:rsidR="00C67891" w:rsidRDefault="00C67891">
            <w:r>
              <w:t xml:space="preserve">Einwilligung zur </w:t>
            </w:r>
            <w:r>
              <w:rPr>
                <w:b/>
              </w:rPr>
              <w:t>Löschung</w:t>
            </w:r>
            <w:r>
              <w:t xml:space="preserve"> für das ihm/ihr</w:t>
            </w:r>
          </w:p>
        </w:tc>
        <w:tc>
          <w:tcPr>
            <w:tcW w:w="3827" w:type="dxa"/>
          </w:tcPr>
          <w:p w:rsidR="00C67891" w:rsidRDefault="00C67891">
            <w:pPr>
              <w:pStyle w:val="Betreff"/>
              <w:tabs>
                <w:tab w:val="clear" w:pos="5800"/>
              </w:tabs>
              <w:spacing w:before="0" w:after="0"/>
              <w:rPr>
                <w:rFonts w:ascii="Arial" w:hAnsi="Arial"/>
                <w:b w:val="0"/>
                <w:noProof/>
                <w:color w:val="000000"/>
                <w:sz w:val="20"/>
              </w:rPr>
            </w:pPr>
            <w:r>
              <w:rPr>
                <w:rFonts w:ascii="Arial" w:hAnsi="Arial"/>
                <w:b w:val="0"/>
                <w:color w:val="000000"/>
                <w:sz w:val="20"/>
              </w:rPr>
              <w:fldChar w:fldCharType="begin">
                <w:ffData>
                  <w:name w:val="Text1"/>
                  <w:enabled/>
                  <w:calcOnExit w:val="0"/>
                  <w:textInput/>
                </w:ffData>
              </w:fldChar>
            </w:r>
            <w:r>
              <w:rPr>
                <w:rFonts w:ascii="Arial" w:hAnsi="Arial"/>
                <w:b w:val="0"/>
                <w:color w:val="000000"/>
                <w:sz w:val="20"/>
              </w:rPr>
              <w:instrText xml:space="preserve"> FORMTEXT </w:instrText>
            </w:r>
            <w:r>
              <w:rPr>
                <w:rFonts w:ascii="Arial" w:hAnsi="Arial"/>
                <w:b w:val="0"/>
                <w:color w:val="000000"/>
                <w:sz w:val="20"/>
              </w:rPr>
            </w:r>
            <w:r>
              <w:rPr>
                <w:rFonts w:ascii="Arial" w:hAnsi="Arial"/>
                <w:b w:val="0"/>
                <w:color w:val="000000"/>
                <w:sz w:val="20"/>
              </w:rPr>
              <w:fldChar w:fldCharType="separate"/>
            </w:r>
            <w:r>
              <w:rPr>
                <w:rFonts w:ascii="Arial" w:hAnsi="Arial"/>
                <w:b w:val="0"/>
                <w:noProof/>
                <w:color w:val="000000"/>
                <w:sz w:val="20"/>
              </w:rPr>
              <w:t>Kreisgrundbuchamt</w:t>
            </w:r>
          </w:p>
          <w:p w:rsidR="00C67891" w:rsidRDefault="00C67891">
            <w:pPr>
              <w:pStyle w:val="Betreff"/>
              <w:tabs>
                <w:tab w:val="clear" w:pos="5800"/>
              </w:tabs>
              <w:spacing w:before="0" w:after="0"/>
              <w:rPr>
                <w:rFonts w:ascii="Arial" w:hAnsi="Arial"/>
                <w:b w:val="0"/>
                <w:sz w:val="20"/>
              </w:rPr>
            </w:pPr>
            <w:r>
              <w:rPr>
                <w:rFonts w:ascii="Arial" w:hAnsi="Arial"/>
                <w:b w:val="0"/>
                <w:noProof/>
                <w:color w:val="000000"/>
                <w:sz w:val="20"/>
              </w:rPr>
              <w:t>Waldsee</w:t>
            </w:r>
            <w:r>
              <w:rPr>
                <w:rFonts w:ascii="Arial" w:hAnsi="Arial"/>
                <w:b w:val="0"/>
                <w:color w:val="000000"/>
                <w:sz w:val="20"/>
              </w:rPr>
              <w:fldChar w:fldCharType="end"/>
            </w:r>
          </w:p>
        </w:tc>
      </w:tr>
      <w:tr w:rsidR="00C67891" w:rsidTr="00C67891">
        <w:tblPrEx>
          <w:tblCellMar>
            <w:left w:w="70" w:type="dxa"/>
            <w:right w:w="70" w:type="dxa"/>
          </w:tblCellMar>
        </w:tblPrEx>
        <w:trPr>
          <w:trHeight w:hRule="exact" w:val="480"/>
        </w:trPr>
        <w:tc>
          <w:tcPr>
            <w:tcW w:w="2252" w:type="dxa"/>
          </w:tcPr>
          <w:p w:rsidR="00C67891" w:rsidRDefault="00C67891">
            <w:pPr>
              <w:pStyle w:val="Betreff"/>
              <w:tabs>
                <w:tab w:val="clear" w:pos="5800"/>
              </w:tabs>
              <w:spacing w:before="0" w:after="0"/>
              <w:rPr>
                <w:rFonts w:ascii="Arial" w:hAnsi="Arial"/>
                <w:b w:val="0"/>
                <w:sz w:val="20"/>
              </w:rPr>
            </w:pPr>
            <w:r>
              <w:rPr>
                <w:rFonts w:ascii="Arial" w:hAnsi="Arial"/>
                <w:b w:val="0"/>
                <w:sz w:val="20"/>
              </w:rPr>
              <w:t>auf Grundbuchblatt Nr.</w:t>
            </w:r>
          </w:p>
        </w:tc>
        <w:tc>
          <w:tcPr>
            <w:tcW w:w="6964" w:type="dxa"/>
            <w:gridSpan w:val="4"/>
          </w:tcPr>
          <w:p w:rsidR="00C67891" w:rsidRDefault="00C67891">
            <w:pPr>
              <w:pStyle w:val="Betreff"/>
              <w:tabs>
                <w:tab w:val="clear" w:pos="5800"/>
              </w:tabs>
              <w:spacing w:before="0" w:after="0"/>
              <w:rPr>
                <w:rFonts w:ascii="Arial" w:hAnsi="Arial"/>
                <w:b w:val="0"/>
                <w:sz w:val="20"/>
              </w:rPr>
            </w:pPr>
            <w:r>
              <w:rPr>
                <w:rFonts w:ascii="Arial" w:hAnsi="Arial"/>
                <w:b w:val="0"/>
                <w:color w:val="000000"/>
                <w:sz w:val="20"/>
              </w:rPr>
              <w:fldChar w:fldCharType="begin">
                <w:ffData>
                  <w:name w:val="Text1"/>
                  <w:enabled/>
                  <w:calcOnExit w:val="0"/>
                  <w:textInput/>
                </w:ffData>
              </w:fldChar>
            </w:r>
            <w:r>
              <w:rPr>
                <w:rFonts w:ascii="Arial" w:hAnsi="Arial"/>
                <w:b w:val="0"/>
                <w:color w:val="000000"/>
                <w:sz w:val="20"/>
              </w:rPr>
              <w:instrText xml:space="preserve"> FORMTEXT </w:instrText>
            </w:r>
            <w:r>
              <w:rPr>
                <w:rFonts w:ascii="Arial" w:hAnsi="Arial"/>
                <w:b w:val="0"/>
                <w:color w:val="000000"/>
                <w:sz w:val="20"/>
              </w:rPr>
            </w:r>
            <w:r>
              <w:rPr>
                <w:rFonts w:ascii="Arial" w:hAnsi="Arial"/>
                <w:b w:val="0"/>
                <w:color w:val="000000"/>
                <w:sz w:val="20"/>
              </w:rPr>
              <w:fldChar w:fldCharType="separate"/>
            </w:r>
            <w:r>
              <w:rPr>
                <w:rFonts w:ascii="Arial" w:hAnsi="Arial"/>
                <w:b w:val="0"/>
                <w:color w:val="000000"/>
                <w:sz w:val="20"/>
              </w:rPr>
              <w:t>834</w:t>
            </w:r>
            <w:r>
              <w:rPr>
                <w:rFonts w:ascii="Arial" w:hAnsi="Arial"/>
                <w:b w:val="0"/>
                <w:color w:val="000000"/>
                <w:sz w:val="20"/>
              </w:rPr>
              <w:fldChar w:fldCharType="end"/>
            </w:r>
          </w:p>
        </w:tc>
      </w:tr>
      <w:tr w:rsidR="00C67891" w:rsidTr="00C67891">
        <w:tblPrEx>
          <w:tblCellMar>
            <w:left w:w="70" w:type="dxa"/>
            <w:right w:w="70" w:type="dxa"/>
          </w:tblCellMar>
        </w:tblPrEx>
        <w:trPr>
          <w:trHeight w:hRule="exact" w:val="480"/>
        </w:trPr>
        <w:tc>
          <w:tcPr>
            <w:tcW w:w="2252" w:type="dxa"/>
          </w:tcPr>
          <w:p w:rsidR="00C67891" w:rsidRDefault="00C67891">
            <w:pPr>
              <w:pStyle w:val="Betreff"/>
              <w:tabs>
                <w:tab w:val="clear" w:pos="5800"/>
              </w:tabs>
              <w:spacing w:before="0" w:after="0"/>
              <w:rPr>
                <w:rFonts w:ascii="Arial" w:hAnsi="Arial"/>
                <w:b w:val="0"/>
                <w:sz w:val="20"/>
              </w:rPr>
            </w:pPr>
            <w:r>
              <w:rPr>
                <w:rFonts w:ascii="Arial" w:hAnsi="Arial"/>
                <w:b w:val="0"/>
                <w:sz w:val="20"/>
              </w:rPr>
              <w:t xml:space="preserve">der Gemeinde </w:t>
            </w:r>
          </w:p>
        </w:tc>
        <w:tc>
          <w:tcPr>
            <w:tcW w:w="6964" w:type="dxa"/>
            <w:gridSpan w:val="4"/>
          </w:tcPr>
          <w:p w:rsidR="00C67891" w:rsidRDefault="00C67891">
            <w:pPr>
              <w:pStyle w:val="Betreff"/>
              <w:tabs>
                <w:tab w:val="clear" w:pos="5800"/>
              </w:tabs>
              <w:spacing w:before="0" w:after="0"/>
              <w:rPr>
                <w:rFonts w:ascii="Arial" w:hAnsi="Arial"/>
                <w:b w:val="0"/>
                <w:sz w:val="20"/>
              </w:rPr>
            </w:pPr>
            <w:r>
              <w:rPr>
                <w:rFonts w:ascii="Arial" w:hAnsi="Arial"/>
                <w:b w:val="0"/>
                <w:color w:val="000000"/>
                <w:sz w:val="20"/>
              </w:rPr>
              <w:fldChar w:fldCharType="begin">
                <w:ffData>
                  <w:name w:val="Text1"/>
                  <w:enabled/>
                  <w:calcOnExit w:val="0"/>
                  <w:textInput/>
                </w:ffData>
              </w:fldChar>
            </w:r>
            <w:r>
              <w:rPr>
                <w:rFonts w:ascii="Arial" w:hAnsi="Arial"/>
                <w:b w:val="0"/>
                <w:color w:val="000000"/>
                <w:sz w:val="20"/>
              </w:rPr>
              <w:instrText xml:space="preserve"> FORMTEXT </w:instrText>
            </w:r>
            <w:r>
              <w:rPr>
                <w:rFonts w:ascii="Arial" w:hAnsi="Arial"/>
                <w:b w:val="0"/>
                <w:color w:val="000000"/>
                <w:sz w:val="20"/>
              </w:rPr>
            </w:r>
            <w:r>
              <w:rPr>
                <w:rFonts w:ascii="Arial" w:hAnsi="Arial"/>
                <w:b w:val="0"/>
                <w:color w:val="000000"/>
                <w:sz w:val="20"/>
              </w:rPr>
              <w:fldChar w:fldCharType="separate"/>
            </w:r>
            <w:r>
              <w:rPr>
                <w:rFonts w:ascii="Arial" w:hAnsi="Arial"/>
                <w:b w:val="0"/>
                <w:color w:val="000000"/>
                <w:sz w:val="20"/>
              </w:rPr>
              <w:t>Seldwyla</w:t>
            </w:r>
            <w:r>
              <w:rPr>
                <w:rFonts w:ascii="Arial" w:hAnsi="Arial"/>
                <w:b w:val="0"/>
                <w:color w:val="000000"/>
                <w:sz w:val="20"/>
              </w:rPr>
              <w:fldChar w:fldCharType="end"/>
            </w:r>
          </w:p>
        </w:tc>
      </w:tr>
      <w:tr w:rsidR="00C67891" w:rsidTr="00C67891">
        <w:tblPrEx>
          <w:tblCellMar>
            <w:left w:w="70" w:type="dxa"/>
            <w:right w:w="70" w:type="dxa"/>
          </w:tblCellMar>
        </w:tblPrEx>
        <w:trPr>
          <w:cantSplit/>
          <w:trHeight w:hRule="exact" w:val="720"/>
        </w:trPr>
        <w:tc>
          <w:tcPr>
            <w:tcW w:w="2252" w:type="dxa"/>
          </w:tcPr>
          <w:p w:rsidR="00C67891" w:rsidRDefault="00C67891">
            <w:pPr>
              <w:pStyle w:val="Betreff"/>
              <w:tabs>
                <w:tab w:val="left" w:pos="2269"/>
              </w:tabs>
              <w:spacing w:before="0" w:after="0"/>
              <w:rPr>
                <w:rFonts w:ascii="Arial" w:hAnsi="Arial"/>
                <w:b w:val="0"/>
                <w:sz w:val="20"/>
              </w:rPr>
            </w:pPr>
            <w:r>
              <w:rPr>
                <w:rFonts w:ascii="Arial" w:hAnsi="Arial"/>
                <w:b w:val="0"/>
                <w:sz w:val="20"/>
              </w:rPr>
              <w:t xml:space="preserve">im Eigentum von </w:t>
            </w:r>
          </w:p>
        </w:tc>
        <w:tc>
          <w:tcPr>
            <w:tcW w:w="6964" w:type="dxa"/>
            <w:gridSpan w:val="4"/>
          </w:tcPr>
          <w:p w:rsidR="00C67891" w:rsidRDefault="00C67891">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color w:val="000000"/>
              </w:rPr>
              <w:t>Moser Hans</w:t>
            </w:r>
            <w:r>
              <w:rPr>
                <w:color w:val="000000"/>
              </w:rPr>
              <w:fldChar w:fldCharType="end"/>
            </w:r>
          </w:p>
        </w:tc>
      </w:tr>
      <w:tr w:rsidR="00C67891" w:rsidTr="00C67891">
        <w:tblPrEx>
          <w:tblCellMar>
            <w:left w:w="70" w:type="dxa"/>
            <w:right w:w="70" w:type="dxa"/>
          </w:tblCellMar>
        </w:tblPrEx>
        <w:trPr>
          <w:trHeight w:hRule="exact" w:val="200"/>
        </w:trPr>
        <w:tc>
          <w:tcPr>
            <w:tcW w:w="9216" w:type="dxa"/>
            <w:gridSpan w:val="5"/>
          </w:tcPr>
          <w:p w:rsidR="00C67891" w:rsidRDefault="00C67891"/>
        </w:tc>
      </w:tr>
      <w:tr w:rsidR="00C67891" w:rsidTr="00C67891">
        <w:tblPrEx>
          <w:tblCellMar>
            <w:left w:w="70" w:type="dxa"/>
            <w:right w:w="70" w:type="dxa"/>
          </w:tblCellMar>
        </w:tblPrEx>
        <w:trPr>
          <w:trHeight w:hRule="exact" w:val="240"/>
        </w:trPr>
        <w:tc>
          <w:tcPr>
            <w:tcW w:w="9216" w:type="dxa"/>
            <w:gridSpan w:val="5"/>
          </w:tcPr>
          <w:p w:rsidR="00C67891" w:rsidRDefault="00C67891">
            <w:pPr>
              <w:rPr>
                <w:sz w:val="16"/>
              </w:rPr>
            </w:pPr>
            <w:r>
              <w:t xml:space="preserve">zustehende Recht </w:t>
            </w:r>
            <w:r>
              <w:rPr>
                <w:sz w:val="16"/>
              </w:rPr>
              <w:t>(Art/Errichtungsdatum/Beleg)</w:t>
            </w:r>
          </w:p>
        </w:tc>
      </w:tr>
      <w:tr w:rsidR="00C67891" w:rsidTr="00C67891">
        <w:tblPrEx>
          <w:tblCellMar>
            <w:left w:w="70" w:type="dxa"/>
            <w:right w:w="70" w:type="dxa"/>
          </w:tblCellMar>
        </w:tblPrEx>
        <w:trPr>
          <w:trHeight w:hRule="exact" w:val="200"/>
        </w:trPr>
        <w:tc>
          <w:tcPr>
            <w:tcW w:w="9216" w:type="dxa"/>
            <w:gridSpan w:val="5"/>
          </w:tcPr>
          <w:p w:rsidR="00C67891" w:rsidRDefault="00C67891"/>
        </w:tc>
      </w:tr>
      <w:tr w:rsidR="00C67891" w:rsidTr="00C67891">
        <w:tblPrEx>
          <w:tblCellMar>
            <w:left w:w="70" w:type="dxa"/>
            <w:right w:w="70" w:type="dxa"/>
          </w:tblCellMar>
        </w:tblPrEx>
        <w:trPr>
          <w:trHeight w:hRule="exact" w:val="1920"/>
        </w:trPr>
        <w:tc>
          <w:tcPr>
            <w:tcW w:w="9216" w:type="dxa"/>
            <w:gridSpan w:val="5"/>
          </w:tcPr>
          <w:p w:rsidR="00C67891" w:rsidRDefault="00C67891">
            <w:pPr>
              <w:rPr>
                <w:color w:val="000000"/>
              </w:rPr>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color w:val="000000"/>
              </w:rPr>
              <w:t>Gewinnanteilsrecht an 1/3 des Eigentums zG Moser Ernst bzw. dessen Erben bis 25.3.2013, Eintrag 25.3.1988, Beleg 1998/9988/0)</w:t>
            </w:r>
          </w:p>
          <w:p w:rsidR="00C67891" w:rsidRDefault="00C67891">
            <w:pPr>
              <w:rPr>
                <w:color w:val="000000"/>
              </w:rPr>
            </w:pPr>
          </w:p>
          <w:p w:rsidR="00C67891" w:rsidRDefault="00C67891">
            <w:r>
              <w:rPr>
                <w:color w:val="000000"/>
              </w:rPr>
              <w:t>Teil-Löschung auf Abgang von 2'189 m2 von GB Nr. 834 an Nr. 835</w:t>
            </w:r>
            <w:r>
              <w:rPr>
                <w:color w:val="000000"/>
              </w:rPr>
              <w:fldChar w:fldCharType="end"/>
            </w:r>
          </w:p>
        </w:tc>
      </w:tr>
      <w:tr w:rsidR="00C67891" w:rsidTr="00C67891">
        <w:tblPrEx>
          <w:tblCellMar>
            <w:left w:w="70" w:type="dxa"/>
            <w:right w:w="70" w:type="dxa"/>
          </w:tblCellMar>
        </w:tblPrEx>
        <w:trPr>
          <w:trHeight w:hRule="exact" w:val="200"/>
        </w:trPr>
        <w:tc>
          <w:tcPr>
            <w:tcW w:w="9216" w:type="dxa"/>
            <w:gridSpan w:val="5"/>
          </w:tcPr>
          <w:p w:rsidR="00C67891" w:rsidRDefault="00C67891">
            <w:pPr>
              <w:tabs>
                <w:tab w:val="left" w:pos="2836"/>
              </w:tabs>
            </w:pPr>
          </w:p>
        </w:tc>
      </w:tr>
      <w:tr w:rsidR="00C67891" w:rsidTr="00C67891">
        <w:tblPrEx>
          <w:tblCellMar>
            <w:left w:w="70" w:type="dxa"/>
            <w:right w:w="70" w:type="dxa"/>
          </w:tblCellMar>
        </w:tblPrEx>
        <w:trPr>
          <w:trHeight w:hRule="exact" w:val="520"/>
        </w:trPr>
        <w:tc>
          <w:tcPr>
            <w:tcW w:w="5389" w:type="dxa"/>
            <w:gridSpan w:val="4"/>
          </w:tcPr>
          <w:p w:rsidR="00C67891" w:rsidRDefault="00C67891">
            <w:pPr>
              <w:tabs>
                <w:tab w:val="left" w:pos="2836"/>
              </w:tabs>
            </w:pPr>
            <w:r>
              <w:t xml:space="preserve">Ort/Datum: </w:t>
            </w: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color w:val="000000"/>
              </w:rPr>
              <w:t> </w:t>
            </w:r>
            <w:r>
              <w:rPr>
                <w:color w:val="000000"/>
              </w:rPr>
              <w:t> </w:t>
            </w:r>
            <w:r>
              <w:rPr>
                <w:color w:val="000000"/>
              </w:rPr>
              <w:t> </w:t>
            </w:r>
            <w:r>
              <w:rPr>
                <w:color w:val="000000"/>
              </w:rPr>
              <w:t> </w:t>
            </w:r>
            <w:r>
              <w:rPr>
                <w:color w:val="000000"/>
              </w:rPr>
              <w:t> </w:t>
            </w:r>
            <w:r>
              <w:rPr>
                <w:color w:val="000000"/>
              </w:rPr>
              <w:fldChar w:fldCharType="end"/>
            </w:r>
          </w:p>
        </w:tc>
        <w:tc>
          <w:tcPr>
            <w:tcW w:w="3827" w:type="dxa"/>
          </w:tcPr>
          <w:p w:rsidR="00C67891" w:rsidRDefault="00C67891">
            <w:pPr>
              <w:tabs>
                <w:tab w:val="left" w:pos="2836"/>
              </w:tabs>
              <w:rPr>
                <w:position w:val="6"/>
                <w:sz w:val="16"/>
              </w:rPr>
            </w:pPr>
            <w:r>
              <w:rPr>
                <w:b/>
              </w:rPr>
              <w:t xml:space="preserve">Der/Die Berechtigte: </w:t>
            </w:r>
            <w:r>
              <w:rPr>
                <w:position w:val="6"/>
                <w:sz w:val="16"/>
              </w:rPr>
              <w:t>1)</w:t>
            </w:r>
          </w:p>
          <w:p w:rsidR="00C67891" w:rsidRDefault="00C67891">
            <w:pPr>
              <w:tabs>
                <w:tab w:val="left" w:pos="2836"/>
              </w:tabs>
            </w:pPr>
            <w:r>
              <w:rPr>
                <w:sz w:val="16"/>
              </w:rPr>
              <w:t>(Name, Adresse und Unterschrift)</w:t>
            </w:r>
          </w:p>
        </w:tc>
      </w:tr>
      <w:tr w:rsidR="00C67891" w:rsidTr="00C67891">
        <w:tblPrEx>
          <w:tblCellMar>
            <w:left w:w="70" w:type="dxa"/>
            <w:right w:w="70" w:type="dxa"/>
          </w:tblCellMar>
        </w:tblPrEx>
        <w:trPr>
          <w:trHeight w:hRule="exact" w:val="1680"/>
        </w:trPr>
        <w:tc>
          <w:tcPr>
            <w:tcW w:w="5389" w:type="dxa"/>
            <w:gridSpan w:val="4"/>
            <w:tcBorders>
              <w:bottom w:val="single" w:sz="6" w:space="0" w:color="auto"/>
            </w:tcBorders>
          </w:tcPr>
          <w:p w:rsidR="00C67891" w:rsidRDefault="00C67891">
            <w:pPr>
              <w:tabs>
                <w:tab w:val="left" w:pos="2836"/>
              </w:tabs>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color w:val="000000"/>
              </w:rPr>
              <w:t> </w:t>
            </w:r>
            <w:r>
              <w:rPr>
                <w:color w:val="000000"/>
              </w:rPr>
              <w:t> </w:t>
            </w:r>
            <w:r>
              <w:rPr>
                <w:color w:val="000000"/>
              </w:rPr>
              <w:t> </w:t>
            </w:r>
            <w:r>
              <w:rPr>
                <w:color w:val="000000"/>
              </w:rPr>
              <w:t> </w:t>
            </w:r>
            <w:r>
              <w:rPr>
                <w:color w:val="000000"/>
              </w:rPr>
              <w:t> </w:t>
            </w:r>
            <w:r>
              <w:rPr>
                <w:color w:val="000000"/>
              </w:rPr>
              <w:fldChar w:fldCharType="end"/>
            </w:r>
          </w:p>
        </w:tc>
        <w:tc>
          <w:tcPr>
            <w:tcW w:w="3827" w:type="dxa"/>
            <w:tcBorders>
              <w:bottom w:val="single" w:sz="6" w:space="0" w:color="auto"/>
            </w:tcBorders>
          </w:tcPr>
          <w:p w:rsidR="00C67891" w:rsidRDefault="00C67891">
            <w:pPr>
              <w:tabs>
                <w:tab w:val="left" w:pos="2836"/>
              </w:tabs>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color w:val="000000"/>
              </w:rPr>
              <w:t> </w:t>
            </w:r>
            <w:r>
              <w:rPr>
                <w:color w:val="000000"/>
              </w:rPr>
              <w:t> </w:t>
            </w:r>
            <w:r>
              <w:rPr>
                <w:color w:val="000000"/>
              </w:rPr>
              <w:t> </w:t>
            </w:r>
            <w:r>
              <w:rPr>
                <w:color w:val="000000"/>
              </w:rPr>
              <w:t> </w:t>
            </w:r>
            <w:r>
              <w:rPr>
                <w:color w:val="000000"/>
              </w:rPr>
              <w:t> </w:t>
            </w:r>
            <w:r>
              <w:rPr>
                <w:color w:val="000000"/>
              </w:rPr>
              <w:fldChar w:fldCharType="end"/>
            </w:r>
          </w:p>
        </w:tc>
      </w:tr>
      <w:tr w:rsidR="00C67891" w:rsidTr="00C67891">
        <w:tblPrEx>
          <w:tblCellMar>
            <w:left w:w="70" w:type="dxa"/>
            <w:right w:w="70" w:type="dxa"/>
          </w:tblCellMar>
        </w:tblPrEx>
        <w:trPr>
          <w:trHeight w:hRule="exact" w:val="240"/>
        </w:trPr>
        <w:tc>
          <w:tcPr>
            <w:tcW w:w="9216" w:type="dxa"/>
            <w:gridSpan w:val="5"/>
          </w:tcPr>
          <w:p w:rsidR="00C67891" w:rsidRDefault="00C67891">
            <w:pPr>
              <w:tabs>
                <w:tab w:val="left" w:pos="2836"/>
              </w:tabs>
            </w:pPr>
          </w:p>
        </w:tc>
      </w:tr>
      <w:tr w:rsidR="00C67891" w:rsidTr="00C67891">
        <w:tblPrEx>
          <w:tblCellMar>
            <w:left w:w="70" w:type="dxa"/>
            <w:right w:w="70" w:type="dxa"/>
          </w:tblCellMar>
        </w:tblPrEx>
        <w:trPr>
          <w:trHeight w:hRule="exact" w:val="240"/>
        </w:trPr>
        <w:tc>
          <w:tcPr>
            <w:tcW w:w="9216" w:type="dxa"/>
            <w:gridSpan w:val="5"/>
          </w:tcPr>
          <w:p w:rsidR="00C67891" w:rsidRDefault="00C67891">
            <w:pPr>
              <w:rPr>
                <w:b/>
              </w:rPr>
            </w:pPr>
            <w:r>
              <w:rPr>
                <w:b/>
              </w:rPr>
              <w:t xml:space="preserve">Erklärung des Eigentümers/der Eigentümerin </w:t>
            </w:r>
            <w:r>
              <w:rPr>
                <w:sz w:val="18"/>
              </w:rPr>
              <w:t>(nur bei Löschung von Grundpfandrechten)</w:t>
            </w:r>
          </w:p>
        </w:tc>
      </w:tr>
      <w:tr w:rsidR="00C67891" w:rsidTr="00C67891">
        <w:tblPrEx>
          <w:tblCellMar>
            <w:left w:w="70" w:type="dxa"/>
            <w:right w:w="70" w:type="dxa"/>
          </w:tblCellMar>
        </w:tblPrEx>
        <w:trPr>
          <w:trHeight w:hRule="exact" w:val="240"/>
        </w:trPr>
        <w:tc>
          <w:tcPr>
            <w:tcW w:w="9216" w:type="dxa"/>
            <w:gridSpan w:val="5"/>
          </w:tcPr>
          <w:p w:rsidR="00C67891" w:rsidRDefault="00C67891"/>
        </w:tc>
      </w:tr>
      <w:tr w:rsidR="00C67891" w:rsidTr="00C67891">
        <w:tblPrEx>
          <w:tblCellMar>
            <w:left w:w="70" w:type="dxa"/>
            <w:right w:w="70" w:type="dxa"/>
          </w:tblCellMar>
        </w:tblPrEx>
        <w:trPr>
          <w:trHeight w:hRule="exact" w:val="480"/>
        </w:trPr>
        <w:tc>
          <w:tcPr>
            <w:tcW w:w="9216" w:type="dxa"/>
            <w:gridSpan w:val="5"/>
          </w:tcPr>
          <w:p w:rsidR="00C67891" w:rsidRDefault="00C67891">
            <w:r>
              <w:t xml:space="preserve">Zur beantragten Löschung wird die Einwilligung erteilt; auf die Eintragung einer leeren Pfandstelle wird verzichtet. </w:t>
            </w:r>
          </w:p>
        </w:tc>
      </w:tr>
      <w:tr w:rsidR="00C67891" w:rsidTr="00C67891">
        <w:tblPrEx>
          <w:tblCellMar>
            <w:left w:w="70" w:type="dxa"/>
            <w:right w:w="70" w:type="dxa"/>
          </w:tblCellMar>
        </w:tblPrEx>
        <w:trPr>
          <w:trHeight w:hRule="exact" w:val="240"/>
        </w:trPr>
        <w:tc>
          <w:tcPr>
            <w:tcW w:w="9216" w:type="dxa"/>
            <w:gridSpan w:val="5"/>
          </w:tcPr>
          <w:p w:rsidR="00C67891" w:rsidRDefault="00C67891"/>
        </w:tc>
      </w:tr>
      <w:tr w:rsidR="00C67891" w:rsidTr="00C67891">
        <w:tblPrEx>
          <w:tblCellMar>
            <w:left w:w="70" w:type="dxa"/>
            <w:right w:w="70" w:type="dxa"/>
          </w:tblCellMar>
        </w:tblPrEx>
        <w:trPr>
          <w:trHeight w:hRule="exact" w:val="240"/>
        </w:trPr>
        <w:tc>
          <w:tcPr>
            <w:tcW w:w="5389" w:type="dxa"/>
            <w:gridSpan w:val="4"/>
          </w:tcPr>
          <w:p w:rsidR="00C67891" w:rsidRDefault="00C67891">
            <w:r>
              <w:t xml:space="preserve">Ort/Datum: </w:t>
            </w: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color w:val="000000"/>
              </w:rPr>
              <w:t> </w:t>
            </w:r>
            <w:r>
              <w:rPr>
                <w:color w:val="000000"/>
              </w:rPr>
              <w:t> </w:t>
            </w:r>
            <w:r>
              <w:rPr>
                <w:color w:val="000000"/>
              </w:rPr>
              <w:t> </w:t>
            </w:r>
            <w:r>
              <w:rPr>
                <w:color w:val="000000"/>
              </w:rPr>
              <w:t> </w:t>
            </w:r>
            <w:r>
              <w:rPr>
                <w:color w:val="000000"/>
              </w:rPr>
              <w:t> </w:t>
            </w:r>
            <w:r>
              <w:rPr>
                <w:color w:val="000000"/>
              </w:rPr>
              <w:fldChar w:fldCharType="end"/>
            </w:r>
          </w:p>
        </w:tc>
        <w:tc>
          <w:tcPr>
            <w:tcW w:w="3827" w:type="dxa"/>
          </w:tcPr>
          <w:p w:rsidR="00C67891" w:rsidRDefault="00C67891">
            <w:r>
              <w:rPr>
                <w:b/>
              </w:rPr>
              <w:t>Der/Die Eigentümer/in:</w:t>
            </w:r>
          </w:p>
        </w:tc>
      </w:tr>
    </w:tbl>
    <w:p w:rsidR="00C67891" w:rsidRDefault="00C67891">
      <w:pPr>
        <w:rPr>
          <w:sz w:val="10"/>
        </w:rPr>
      </w:pPr>
    </w:p>
    <w:p w:rsidR="00902C4B" w:rsidRDefault="00902C4B" w:rsidP="00902C4B">
      <w:pPr>
        <w:rPr>
          <w:szCs w:val="22"/>
        </w:rPr>
      </w:pPr>
    </w:p>
    <w:p w:rsidR="00902C4B" w:rsidRDefault="00902C4B" w:rsidP="00902C4B">
      <w:pPr>
        <w:spacing w:after="200"/>
        <w:rPr>
          <w:szCs w:val="22"/>
        </w:rPr>
      </w:pPr>
      <w:r>
        <w:rPr>
          <w:szCs w:val="22"/>
        </w:rPr>
        <w:br w:type="page"/>
      </w:r>
    </w:p>
    <w:p w:rsidR="00C67891" w:rsidRDefault="00C67891">
      <w:pPr>
        <w:ind w:left="567"/>
        <w:jc w:val="center"/>
        <w:rPr>
          <w:u w:val="single"/>
        </w:rPr>
      </w:pPr>
      <w:r>
        <w:rPr>
          <w:u w:val="single"/>
        </w:rPr>
        <w:lastRenderedPageBreak/>
        <w:t>Urschrift Nr. 1601</w:t>
      </w:r>
    </w:p>
    <w:p w:rsidR="00C67891" w:rsidRDefault="00C67891">
      <w:pPr>
        <w:ind w:left="567"/>
      </w:pPr>
    </w:p>
    <w:p w:rsidR="00C67891" w:rsidRDefault="00C67891">
      <w:pPr>
        <w:ind w:left="567"/>
      </w:pPr>
    </w:p>
    <w:p w:rsidR="00C67891" w:rsidRPr="001D200D" w:rsidRDefault="00C67891" w:rsidP="001D200D">
      <w:pPr>
        <w:ind w:left="567"/>
        <w:jc w:val="center"/>
        <w:rPr>
          <w:b/>
          <w:sz w:val="28"/>
          <w:szCs w:val="28"/>
        </w:rPr>
      </w:pPr>
      <w:r w:rsidRPr="001D200D">
        <w:rPr>
          <w:b/>
          <w:sz w:val="28"/>
          <w:szCs w:val="28"/>
        </w:rPr>
        <w:t>Erbenschein</w:t>
      </w:r>
    </w:p>
    <w:p w:rsidR="00C67891" w:rsidRDefault="00C67891">
      <w:pPr>
        <w:ind w:left="567"/>
      </w:pPr>
    </w:p>
    <w:p w:rsidR="00C67891" w:rsidRDefault="00C67891">
      <w:pPr>
        <w:ind w:left="567"/>
      </w:pPr>
      <w:proofErr w:type="gramStart"/>
      <w:r>
        <w:t>A.B.,</w:t>
      </w:r>
      <w:proofErr w:type="gramEnd"/>
      <w:r>
        <w:t xml:space="preserve"> Notar des Kantons Bern, eingetragen im Notariatsregister des Kantons Bern, mit Büro in Bern,</w:t>
      </w:r>
    </w:p>
    <w:p w:rsidR="00C67891" w:rsidRDefault="00C67891">
      <w:pPr>
        <w:ind w:left="567"/>
      </w:pPr>
    </w:p>
    <w:p w:rsidR="00C67891" w:rsidRDefault="00C67891" w:rsidP="001D200D">
      <w:pPr>
        <w:ind w:left="567"/>
        <w:jc w:val="center"/>
      </w:pPr>
      <w:r>
        <w:t>beurkundet:</w:t>
      </w:r>
    </w:p>
    <w:p w:rsidR="00C67891" w:rsidRDefault="00C67891">
      <w:pPr>
        <w:ind w:left="567"/>
      </w:pPr>
    </w:p>
    <w:p w:rsidR="00C67891" w:rsidRDefault="00C67891" w:rsidP="00C278A1">
      <w:pPr>
        <w:tabs>
          <w:tab w:val="left" w:pos="567"/>
        </w:tabs>
        <w:spacing w:after="120"/>
        <w:ind w:left="567" w:hanging="567"/>
      </w:pPr>
      <w:r>
        <w:t>1.</w:t>
      </w:r>
      <w:r>
        <w:tab/>
        <w:t xml:space="preserve">Herr </w:t>
      </w:r>
      <w:r w:rsidRPr="008C21E1">
        <w:rPr>
          <w:b/>
        </w:rPr>
        <w:t xml:space="preserve">Ernst </w:t>
      </w:r>
      <w:r>
        <w:rPr>
          <w:b/>
        </w:rPr>
        <w:t>Moser</w:t>
      </w:r>
      <w:r>
        <w:t xml:space="preserve">, geb. 17.12.1915, von Bern, verheiratet, alt Landwirt, </w:t>
      </w:r>
      <w:proofErr w:type="spellStart"/>
      <w:r>
        <w:t>Kuhweid</w:t>
      </w:r>
      <w:proofErr w:type="spellEnd"/>
      <w:r>
        <w:t>, Sel</w:t>
      </w:r>
      <w:r>
        <w:t>d</w:t>
      </w:r>
      <w:r>
        <w:t>wyla, ist am 22.2.1992 verstorben.</w:t>
      </w:r>
    </w:p>
    <w:p w:rsidR="00C67891" w:rsidRPr="001D200D" w:rsidRDefault="00C67891" w:rsidP="001D200D">
      <w:pPr>
        <w:pStyle w:val="Textkrper21"/>
        <w:tabs>
          <w:tab w:val="clear" w:pos="1080"/>
        </w:tabs>
        <w:ind w:left="567" w:hanging="567"/>
        <w:rPr>
          <w:rFonts w:ascii="Arial" w:hAnsi="Arial" w:cs="Arial"/>
          <w:sz w:val="22"/>
          <w:szCs w:val="22"/>
        </w:rPr>
      </w:pPr>
      <w:r w:rsidRPr="001D200D">
        <w:rPr>
          <w:rFonts w:ascii="Arial" w:hAnsi="Arial" w:cs="Arial"/>
          <w:sz w:val="22"/>
          <w:szCs w:val="22"/>
        </w:rPr>
        <w:t>2.</w:t>
      </w:r>
      <w:r w:rsidRPr="001D200D">
        <w:rPr>
          <w:rFonts w:ascii="Arial" w:hAnsi="Arial" w:cs="Arial"/>
          <w:sz w:val="22"/>
          <w:szCs w:val="22"/>
        </w:rPr>
        <w:tab/>
        <w:t>Der Erblasser hinterlässt als seine gesetzlichen Erben im Sinne von Art. 462 und 457 ZGB:</w:t>
      </w:r>
    </w:p>
    <w:p w:rsidR="00C67891" w:rsidRPr="001D200D" w:rsidRDefault="00C67891" w:rsidP="00C278A1">
      <w:pPr>
        <w:tabs>
          <w:tab w:val="left" w:pos="567"/>
          <w:tab w:val="left" w:pos="1134"/>
        </w:tabs>
        <w:ind w:left="1134" w:hanging="1134"/>
        <w:rPr>
          <w:rFonts w:cs="Arial"/>
          <w:szCs w:val="22"/>
        </w:rPr>
      </w:pPr>
      <w:r w:rsidRPr="001D200D">
        <w:rPr>
          <w:rFonts w:cs="Arial"/>
          <w:szCs w:val="22"/>
        </w:rPr>
        <w:tab/>
        <w:t>1.</w:t>
      </w:r>
      <w:r w:rsidRPr="001D200D">
        <w:rPr>
          <w:rFonts w:cs="Arial"/>
          <w:szCs w:val="22"/>
        </w:rPr>
        <w:tab/>
        <w:t xml:space="preserve">die Ehefrau, Frau </w:t>
      </w:r>
      <w:r w:rsidRPr="001D200D">
        <w:rPr>
          <w:rFonts w:cs="Arial"/>
          <w:b/>
          <w:szCs w:val="22"/>
        </w:rPr>
        <w:t>Marie Moser-Moser</w:t>
      </w:r>
      <w:r w:rsidRPr="001D200D">
        <w:rPr>
          <w:rFonts w:cs="Arial"/>
          <w:szCs w:val="22"/>
        </w:rPr>
        <w:t xml:space="preserve">, geb. 15.3.1923, von Bern, verwitwet, </w:t>
      </w:r>
      <w:proofErr w:type="spellStart"/>
      <w:r w:rsidRPr="001D200D">
        <w:rPr>
          <w:rFonts w:cs="Arial"/>
          <w:szCs w:val="22"/>
        </w:rPr>
        <w:t>Kuhweid</w:t>
      </w:r>
      <w:proofErr w:type="spellEnd"/>
      <w:r w:rsidRPr="001D200D">
        <w:rPr>
          <w:rFonts w:cs="Arial"/>
          <w:szCs w:val="22"/>
        </w:rPr>
        <w:t>, Seldwyla;</w:t>
      </w:r>
    </w:p>
    <w:p w:rsidR="00C67891" w:rsidRPr="001D200D" w:rsidRDefault="00C67891" w:rsidP="00C278A1">
      <w:pPr>
        <w:tabs>
          <w:tab w:val="left" w:pos="567"/>
          <w:tab w:val="left" w:pos="1134"/>
        </w:tabs>
        <w:ind w:left="1134" w:hanging="1134"/>
        <w:rPr>
          <w:rFonts w:cs="Arial"/>
          <w:szCs w:val="22"/>
        </w:rPr>
      </w:pPr>
      <w:r w:rsidRPr="001D200D">
        <w:rPr>
          <w:rFonts w:cs="Arial"/>
          <w:szCs w:val="22"/>
        </w:rPr>
        <w:tab/>
        <w:t>2.</w:t>
      </w:r>
      <w:r w:rsidRPr="001D200D">
        <w:rPr>
          <w:rFonts w:cs="Arial"/>
          <w:szCs w:val="22"/>
        </w:rPr>
        <w:tab/>
        <w:t xml:space="preserve">den Sohn, Herrn </w:t>
      </w:r>
      <w:r w:rsidRPr="001D200D">
        <w:rPr>
          <w:rFonts w:cs="Arial"/>
          <w:b/>
          <w:szCs w:val="22"/>
        </w:rPr>
        <w:t>Ernst Moser</w:t>
      </w:r>
      <w:r w:rsidRPr="001D200D">
        <w:rPr>
          <w:rFonts w:cs="Arial"/>
          <w:szCs w:val="22"/>
        </w:rPr>
        <w:t xml:space="preserve">, geb. 29.10.1948, von Bern, verheiratet, </w:t>
      </w:r>
      <w:proofErr w:type="spellStart"/>
      <w:r w:rsidRPr="001D200D">
        <w:rPr>
          <w:rFonts w:cs="Arial"/>
          <w:szCs w:val="22"/>
        </w:rPr>
        <w:t>Kuhweid</w:t>
      </w:r>
      <w:proofErr w:type="spellEnd"/>
      <w:r w:rsidRPr="001D200D">
        <w:rPr>
          <w:rFonts w:cs="Arial"/>
          <w:szCs w:val="22"/>
        </w:rPr>
        <w:t>, Seldwyla;</w:t>
      </w:r>
    </w:p>
    <w:p w:rsidR="00C67891" w:rsidRPr="001D200D" w:rsidRDefault="00C67891" w:rsidP="00C278A1">
      <w:pPr>
        <w:tabs>
          <w:tab w:val="left" w:pos="567"/>
          <w:tab w:val="left" w:pos="1134"/>
        </w:tabs>
        <w:ind w:left="1134" w:hanging="1134"/>
        <w:rPr>
          <w:rFonts w:cs="Arial"/>
          <w:szCs w:val="22"/>
        </w:rPr>
      </w:pPr>
      <w:r w:rsidRPr="001D200D">
        <w:rPr>
          <w:rFonts w:cs="Arial"/>
          <w:szCs w:val="22"/>
        </w:rPr>
        <w:tab/>
        <w:t>3.</w:t>
      </w:r>
      <w:r w:rsidRPr="001D200D">
        <w:rPr>
          <w:rFonts w:cs="Arial"/>
          <w:szCs w:val="22"/>
        </w:rPr>
        <w:tab/>
        <w:t xml:space="preserve">die Tochter, Frau </w:t>
      </w:r>
      <w:r w:rsidRPr="001D200D">
        <w:rPr>
          <w:rFonts w:cs="Arial"/>
          <w:b/>
          <w:szCs w:val="22"/>
        </w:rPr>
        <w:t>Verena Moser</w:t>
      </w:r>
      <w:r w:rsidRPr="001D200D">
        <w:rPr>
          <w:rFonts w:cs="Arial"/>
          <w:szCs w:val="22"/>
        </w:rPr>
        <w:t xml:space="preserve">, geb. 2.5.1951, von Bern, ledig, </w:t>
      </w:r>
      <w:proofErr w:type="spellStart"/>
      <w:r w:rsidRPr="001D200D">
        <w:rPr>
          <w:rFonts w:cs="Arial"/>
          <w:szCs w:val="22"/>
        </w:rPr>
        <w:t>Kuhweid</w:t>
      </w:r>
      <w:proofErr w:type="spellEnd"/>
      <w:r w:rsidRPr="001D200D">
        <w:rPr>
          <w:rFonts w:cs="Arial"/>
          <w:szCs w:val="22"/>
        </w:rPr>
        <w:t>, Sel</w:t>
      </w:r>
      <w:r w:rsidRPr="001D200D">
        <w:rPr>
          <w:rFonts w:cs="Arial"/>
          <w:szCs w:val="22"/>
        </w:rPr>
        <w:t>d</w:t>
      </w:r>
      <w:r w:rsidRPr="001D200D">
        <w:rPr>
          <w:rFonts w:cs="Arial"/>
          <w:szCs w:val="22"/>
        </w:rPr>
        <w:t>wyla;</w:t>
      </w:r>
    </w:p>
    <w:p w:rsidR="00C67891" w:rsidRPr="001D200D" w:rsidRDefault="00C67891" w:rsidP="00C278A1">
      <w:pPr>
        <w:tabs>
          <w:tab w:val="left" w:pos="567"/>
          <w:tab w:val="left" w:pos="1134"/>
        </w:tabs>
        <w:ind w:left="1134" w:hanging="1134"/>
        <w:rPr>
          <w:rFonts w:cs="Arial"/>
          <w:szCs w:val="22"/>
        </w:rPr>
      </w:pPr>
      <w:r w:rsidRPr="001D200D">
        <w:rPr>
          <w:rFonts w:cs="Arial"/>
          <w:szCs w:val="22"/>
        </w:rPr>
        <w:tab/>
        <w:t>4.</w:t>
      </w:r>
      <w:r w:rsidRPr="001D200D">
        <w:rPr>
          <w:rFonts w:cs="Arial"/>
          <w:szCs w:val="22"/>
        </w:rPr>
        <w:tab/>
        <w:t xml:space="preserve">den Sohn, Herrn </w:t>
      </w:r>
      <w:r w:rsidRPr="001D200D">
        <w:rPr>
          <w:rFonts w:cs="Arial"/>
          <w:b/>
          <w:szCs w:val="22"/>
        </w:rPr>
        <w:t>Anton Moser</w:t>
      </w:r>
      <w:r w:rsidRPr="001D200D">
        <w:rPr>
          <w:rFonts w:cs="Arial"/>
          <w:szCs w:val="22"/>
        </w:rPr>
        <w:t xml:space="preserve">, geb. 4.12.1952, von Bern, ledig, </w:t>
      </w:r>
      <w:proofErr w:type="spellStart"/>
      <w:r w:rsidRPr="001D200D">
        <w:rPr>
          <w:rFonts w:cs="Arial"/>
          <w:szCs w:val="22"/>
        </w:rPr>
        <w:t>Kuhweid</w:t>
      </w:r>
      <w:proofErr w:type="spellEnd"/>
      <w:r w:rsidRPr="001D200D">
        <w:rPr>
          <w:rFonts w:cs="Arial"/>
          <w:szCs w:val="22"/>
        </w:rPr>
        <w:t>, Sel</w:t>
      </w:r>
      <w:r w:rsidRPr="001D200D">
        <w:rPr>
          <w:rFonts w:cs="Arial"/>
          <w:szCs w:val="22"/>
        </w:rPr>
        <w:t>d</w:t>
      </w:r>
      <w:r w:rsidRPr="001D200D">
        <w:rPr>
          <w:rFonts w:cs="Arial"/>
          <w:szCs w:val="22"/>
        </w:rPr>
        <w:t>wyla:</w:t>
      </w:r>
    </w:p>
    <w:p w:rsidR="00C67891" w:rsidRPr="001D200D" w:rsidRDefault="00C67891" w:rsidP="001D200D">
      <w:pPr>
        <w:tabs>
          <w:tab w:val="left" w:pos="567"/>
          <w:tab w:val="left" w:pos="1134"/>
        </w:tabs>
        <w:spacing w:after="120"/>
        <w:ind w:left="1134" w:hanging="1134"/>
        <w:rPr>
          <w:rFonts w:cs="Arial"/>
          <w:szCs w:val="22"/>
        </w:rPr>
      </w:pPr>
      <w:r w:rsidRPr="001D200D">
        <w:rPr>
          <w:rFonts w:cs="Arial"/>
          <w:szCs w:val="22"/>
        </w:rPr>
        <w:tab/>
        <w:t>5.</w:t>
      </w:r>
      <w:r w:rsidRPr="001D200D">
        <w:rPr>
          <w:rFonts w:cs="Arial"/>
          <w:szCs w:val="22"/>
        </w:rPr>
        <w:tab/>
        <w:t xml:space="preserve">den Sohn, Herrn </w:t>
      </w:r>
      <w:r w:rsidRPr="001D200D">
        <w:rPr>
          <w:rFonts w:cs="Arial"/>
          <w:b/>
          <w:szCs w:val="22"/>
        </w:rPr>
        <w:t>Hans Moser</w:t>
      </w:r>
      <w:r w:rsidRPr="001D200D">
        <w:rPr>
          <w:rFonts w:cs="Arial"/>
          <w:szCs w:val="22"/>
        </w:rPr>
        <w:t xml:space="preserve">, geb. 10.11.1958, von Bern, ledig, </w:t>
      </w:r>
      <w:proofErr w:type="spellStart"/>
      <w:r w:rsidRPr="001D200D">
        <w:rPr>
          <w:rFonts w:cs="Arial"/>
          <w:szCs w:val="22"/>
        </w:rPr>
        <w:t>Kuhweid</w:t>
      </w:r>
      <w:proofErr w:type="spellEnd"/>
      <w:r w:rsidRPr="001D200D">
        <w:rPr>
          <w:rFonts w:cs="Arial"/>
          <w:szCs w:val="22"/>
        </w:rPr>
        <w:t>, Sel</w:t>
      </w:r>
      <w:r w:rsidRPr="001D200D">
        <w:rPr>
          <w:rFonts w:cs="Arial"/>
          <w:szCs w:val="22"/>
        </w:rPr>
        <w:t>d</w:t>
      </w:r>
      <w:r w:rsidRPr="001D200D">
        <w:rPr>
          <w:rFonts w:cs="Arial"/>
          <w:szCs w:val="22"/>
        </w:rPr>
        <w:t>wyla.</w:t>
      </w:r>
    </w:p>
    <w:p w:rsidR="00C67891" w:rsidRPr="001D200D" w:rsidRDefault="00C67891" w:rsidP="00831AC1">
      <w:pPr>
        <w:pStyle w:val="Textkrper21"/>
        <w:tabs>
          <w:tab w:val="clear" w:pos="1080"/>
        </w:tabs>
        <w:spacing w:after="120" w:line="276" w:lineRule="auto"/>
        <w:ind w:left="567" w:hanging="567"/>
        <w:rPr>
          <w:rFonts w:ascii="Arial" w:hAnsi="Arial" w:cs="Arial"/>
          <w:sz w:val="22"/>
          <w:szCs w:val="22"/>
        </w:rPr>
      </w:pPr>
      <w:r w:rsidRPr="001D200D">
        <w:rPr>
          <w:rFonts w:ascii="Arial" w:hAnsi="Arial" w:cs="Arial"/>
          <w:sz w:val="22"/>
          <w:szCs w:val="22"/>
        </w:rPr>
        <w:t>3.</w:t>
      </w:r>
      <w:r w:rsidRPr="001D200D">
        <w:rPr>
          <w:rFonts w:ascii="Arial" w:hAnsi="Arial" w:cs="Arial"/>
          <w:sz w:val="22"/>
          <w:szCs w:val="22"/>
        </w:rPr>
        <w:tab/>
        <w:t>Es ist keine dieser Erbberechtigung entgegenstehende Verfügung von Todes wegen des Erblassers zur Eröffnung gelangt oder vorgelegt worden, so dass die vorgenannten Erben unter Vorbehalt der Erbschaftsklage als einzige, gesetzliche Erben anerkannt sind.</w:t>
      </w:r>
    </w:p>
    <w:p w:rsidR="00C67891" w:rsidRPr="001D200D" w:rsidRDefault="00C67891" w:rsidP="00C278A1">
      <w:pPr>
        <w:tabs>
          <w:tab w:val="left" w:pos="567"/>
        </w:tabs>
        <w:spacing w:after="120"/>
        <w:ind w:left="567" w:hanging="567"/>
        <w:rPr>
          <w:rFonts w:cs="Arial"/>
          <w:szCs w:val="22"/>
        </w:rPr>
      </w:pPr>
      <w:r w:rsidRPr="001D200D">
        <w:rPr>
          <w:rFonts w:cs="Arial"/>
          <w:szCs w:val="22"/>
        </w:rPr>
        <w:t>4.</w:t>
      </w:r>
      <w:r w:rsidRPr="001D200D">
        <w:rPr>
          <w:rFonts w:cs="Arial"/>
          <w:szCs w:val="22"/>
        </w:rPr>
        <w:tab/>
        <w:t xml:space="preserve">Frau </w:t>
      </w:r>
      <w:r w:rsidRPr="001D200D">
        <w:rPr>
          <w:rFonts w:cs="Arial"/>
          <w:b/>
          <w:szCs w:val="22"/>
        </w:rPr>
        <w:t>Marie Moser-Moser</w:t>
      </w:r>
      <w:r w:rsidRPr="001D200D">
        <w:rPr>
          <w:rFonts w:cs="Arial"/>
          <w:szCs w:val="22"/>
        </w:rPr>
        <w:t xml:space="preserve">, geb. 15.3.1923, von Bern, verwitwet, </w:t>
      </w:r>
      <w:proofErr w:type="spellStart"/>
      <w:r w:rsidRPr="001D200D">
        <w:rPr>
          <w:rFonts w:cs="Arial"/>
          <w:szCs w:val="22"/>
        </w:rPr>
        <w:t>Kuhweid</w:t>
      </w:r>
      <w:proofErr w:type="spellEnd"/>
      <w:r w:rsidRPr="001D200D">
        <w:rPr>
          <w:rFonts w:cs="Arial"/>
          <w:szCs w:val="22"/>
        </w:rPr>
        <w:t>, Seldwyla, ist am 22.10.1999 verstorben.</w:t>
      </w:r>
    </w:p>
    <w:p w:rsidR="00C67891" w:rsidRPr="001D200D" w:rsidRDefault="00C67891">
      <w:pPr>
        <w:pStyle w:val="Textkrper21"/>
        <w:tabs>
          <w:tab w:val="clear" w:pos="1080"/>
        </w:tabs>
        <w:ind w:left="567" w:hanging="567"/>
        <w:rPr>
          <w:rFonts w:ascii="Arial" w:hAnsi="Arial" w:cs="Arial"/>
          <w:sz w:val="22"/>
          <w:szCs w:val="22"/>
        </w:rPr>
      </w:pPr>
      <w:r w:rsidRPr="001D200D">
        <w:rPr>
          <w:rFonts w:ascii="Arial" w:hAnsi="Arial" w:cs="Arial"/>
          <w:sz w:val="22"/>
          <w:szCs w:val="22"/>
        </w:rPr>
        <w:t>5.</w:t>
      </w:r>
      <w:r w:rsidRPr="001D200D">
        <w:rPr>
          <w:rFonts w:ascii="Arial" w:hAnsi="Arial" w:cs="Arial"/>
          <w:sz w:val="22"/>
          <w:szCs w:val="22"/>
        </w:rPr>
        <w:tab/>
        <w:t>Die Erblasserin hinterlässt als ihre gesetzlichen Erben im Sinne von Art. 462 ZGB:</w:t>
      </w:r>
    </w:p>
    <w:p w:rsidR="00C67891" w:rsidRPr="001D200D" w:rsidRDefault="00C67891" w:rsidP="00C278A1">
      <w:pPr>
        <w:tabs>
          <w:tab w:val="left" w:pos="567"/>
          <w:tab w:val="left" w:pos="1134"/>
        </w:tabs>
        <w:ind w:left="1134" w:hanging="1134"/>
        <w:rPr>
          <w:rFonts w:cs="Arial"/>
          <w:szCs w:val="22"/>
        </w:rPr>
      </w:pPr>
      <w:r w:rsidRPr="001D200D">
        <w:rPr>
          <w:rFonts w:cs="Arial"/>
          <w:szCs w:val="22"/>
        </w:rPr>
        <w:tab/>
        <w:t>1.</w:t>
      </w:r>
      <w:r w:rsidRPr="001D200D">
        <w:rPr>
          <w:rFonts w:cs="Arial"/>
          <w:szCs w:val="22"/>
        </w:rPr>
        <w:tab/>
        <w:t xml:space="preserve">den Sohn, Herrn </w:t>
      </w:r>
      <w:r w:rsidRPr="001D200D">
        <w:rPr>
          <w:rFonts w:cs="Arial"/>
          <w:b/>
          <w:szCs w:val="22"/>
        </w:rPr>
        <w:t>Ernst Moser</w:t>
      </w:r>
      <w:r w:rsidRPr="001D200D">
        <w:rPr>
          <w:rFonts w:cs="Arial"/>
          <w:szCs w:val="22"/>
        </w:rPr>
        <w:t xml:space="preserve">, geb. 29.10.1948, von Bern, verheiratet, </w:t>
      </w:r>
      <w:proofErr w:type="spellStart"/>
      <w:r w:rsidRPr="001D200D">
        <w:rPr>
          <w:rFonts w:cs="Arial"/>
          <w:szCs w:val="22"/>
        </w:rPr>
        <w:t>Kuhweid</w:t>
      </w:r>
      <w:proofErr w:type="spellEnd"/>
      <w:r w:rsidRPr="001D200D">
        <w:rPr>
          <w:rFonts w:cs="Arial"/>
          <w:szCs w:val="22"/>
        </w:rPr>
        <w:t>, Seldwyla;</w:t>
      </w:r>
    </w:p>
    <w:p w:rsidR="00C67891" w:rsidRPr="001D200D" w:rsidRDefault="00C67891" w:rsidP="00C278A1">
      <w:pPr>
        <w:tabs>
          <w:tab w:val="left" w:pos="567"/>
          <w:tab w:val="left" w:pos="1134"/>
        </w:tabs>
        <w:ind w:left="1134" w:hanging="1134"/>
        <w:rPr>
          <w:rFonts w:cs="Arial"/>
          <w:szCs w:val="22"/>
        </w:rPr>
      </w:pPr>
      <w:r w:rsidRPr="001D200D">
        <w:rPr>
          <w:rFonts w:cs="Arial"/>
          <w:szCs w:val="22"/>
        </w:rPr>
        <w:tab/>
        <w:t>2.</w:t>
      </w:r>
      <w:r w:rsidRPr="001D200D">
        <w:rPr>
          <w:rFonts w:cs="Arial"/>
          <w:szCs w:val="22"/>
        </w:rPr>
        <w:tab/>
        <w:t xml:space="preserve">die Tochter, Frau </w:t>
      </w:r>
      <w:r w:rsidRPr="001D200D">
        <w:rPr>
          <w:rFonts w:cs="Arial"/>
          <w:b/>
          <w:szCs w:val="22"/>
        </w:rPr>
        <w:t>Verena Moser</w:t>
      </w:r>
      <w:r w:rsidRPr="001D200D">
        <w:rPr>
          <w:rFonts w:cs="Arial"/>
          <w:szCs w:val="22"/>
        </w:rPr>
        <w:t xml:space="preserve">, geb. 2.5.1951, von Bern, ledig, </w:t>
      </w:r>
      <w:proofErr w:type="spellStart"/>
      <w:r w:rsidRPr="001D200D">
        <w:rPr>
          <w:rFonts w:cs="Arial"/>
          <w:szCs w:val="22"/>
        </w:rPr>
        <w:t>Kuhweid</w:t>
      </w:r>
      <w:proofErr w:type="spellEnd"/>
      <w:r w:rsidRPr="001D200D">
        <w:rPr>
          <w:rFonts w:cs="Arial"/>
          <w:szCs w:val="22"/>
        </w:rPr>
        <w:t>, Sel</w:t>
      </w:r>
      <w:r w:rsidRPr="001D200D">
        <w:rPr>
          <w:rFonts w:cs="Arial"/>
          <w:szCs w:val="22"/>
        </w:rPr>
        <w:t>d</w:t>
      </w:r>
      <w:r w:rsidRPr="001D200D">
        <w:rPr>
          <w:rFonts w:cs="Arial"/>
          <w:szCs w:val="22"/>
        </w:rPr>
        <w:t>wyla;</w:t>
      </w:r>
    </w:p>
    <w:p w:rsidR="00C67891" w:rsidRPr="001D200D" w:rsidRDefault="00C67891" w:rsidP="00C278A1">
      <w:pPr>
        <w:tabs>
          <w:tab w:val="left" w:pos="567"/>
          <w:tab w:val="left" w:pos="1134"/>
        </w:tabs>
        <w:ind w:left="1134" w:hanging="1134"/>
        <w:rPr>
          <w:rFonts w:cs="Arial"/>
          <w:szCs w:val="22"/>
        </w:rPr>
      </w:pPr>
      <w:r w:rsidRPr="001D200D">
        <w:rPr>
          <w:rFonts w:cs="Arial"/>
          <w:szCs w:val="22"/>
        </w:rPr>
        <w:tab/>
        <w:t>3.</w:t>
      </w:r>
      <w:r w:rsidRPr="001D200D">
        <w:rPr>
          <w:rFonts w:cs="Arial"/>
          <w:szCs w:val="22"/>
        </w:rPr>
        <w:tab/>
        <w:t xml:space="preserve">den Sohn, Herrn </w:t>
      </w:r>
      <w:r w:rsidRPr="001D200D">
        <w:rPr>
          <w:rFonts w:cs="Arial"/>
          <w:b/>
          <w:szCs w:val="22"/>
        </w:rPr>
        <w:t>Anton Moser</w:t>
      </w:r>
      <w:r w:rsidRPr="001D200D">
        <w:rPr>
          <w:rFonts w:cs="Arial"/>
          <w:szCs w:val="22"/>
        </w:rPr>
        <w:t xml:space="preserve">, geb. 4.12.1952, von Bern, ledig, </w:t>
      </w:r>
      <w:proofErr w:type="spellStart"/>
      <w:r w:rsidRPr="001D200D">
        <w:rPr>
          <w:rFonts w:cs="Arial"/>
          <w:szCs w:val="22"/>
        </w:rPr>
        <w:t>Kuhweid</w:t>
      </w:r>
      <w:proofErr w:type="spellEnd"/>
      <w:r w:rsidRPr="001D200D">
        <w:rPr>
          <w:rFonts w:cs="Arial"/>
          <w:szCs w:val="22"/>
        </w:rPr>
        <w:t>, Sel</w:t>
      </w:r>
      <w:r w:rsidRPr="001D200D">
        <w:rPr>
          <w:rFonts w:cs="Arial"/>
          <w:szCs w:val="22"/>
        </w:rPr>
        <w:t>d</w:t>
      </w:r>
      <w:r w:rsidRPr="001D200D">
        <w:rPr>
          <w:rFonts w:cs="Arial"/>
          <w:szCs w:val="22"/>
        </w:rPr>
        <w:t>wyla:</w:t>
      </w:r>
    </w:p>
    <w:p w:rsidR="00C67891" w:rsidRPr="001D200D" w:rsidRDefault="00C67891" w:rsidP="00C278A1">
      <w:pPr>
        <w:tabs>
          <w:tab w:val="left" w:pos="567"/>
          <w:tab w:val="left" w:pos="1134"/>
        </w:tabs>
        <w:spacing w:after="120"/>
        <w:ind w:left="1134" w:hanging="1134"/>
        <w:rPr>
          <w:rFonts w:cs="Arial"/>
          <w:szCs w:val="22"/>
        </w:rPr>
      </w:pPr>
      <w:r w:rsidRPr="001D200D">
        <w:rPr>
          <w:rFonts w:cs="Arial"/>
          <w:szCs w:val="22"/>
        </w:rPr>
        <w:tab/>
        <w:t>4.</w:t>
      </w:r>
      <w:r w:rsidRPr="001D200D">
        <w:rPr>
          <w:rFonts w:cs="Arial"/>
          <w:szCs w:val="22"/>
        </w:rPr>
        <w:tab/>
        <w:t xml:space="preserve">den Sohn, Herrn </w:t>
      </w:r>
      <w:r w:rsidRPr="001D200D">
        <w:rPr>
          <w:rFonts w:cs="Arial"/>
          <w:b/>
          <w:szCs w:val="22"/>
        </w:rPr>
        <w:t>Hans Moser</w:t>
      </w:r>
      <w:r w:rsidRPr="001D200D">
        <w:rPr>
          <w:rFonts w:cs="Arial"/>
          <w:szCs w:val="22"/>
        </w:rPr>
        <w:t xml:space="preserve">, geb. 10.11.1958, von Bern, ledig, </w:t>
      </w:r>
      <w:proofErr w:type="spellStart"/>
      <w:r w:rsidRPr="001D200D">
        <w:rPr>
          <w:rFonts w:cs="Arial"/>
          <w:szCs w:val="22"/>
        </w:rPr>
        <w:t>Kuhweid</w:t>
      </w:r>
      <w:proofErr w:type="spellEnd"/>
      <w:r w:rsidRPr="001D200D">
        <w:rPr>
          <w:rFonts w:cs="Arial"/>
          <w:szCs w:val="22"/>
        </w:rPr>
        <w:t>, Sel</w:t>
      </w:r>
      <w:r w:rsidRPr="001D200D">
        <w:rPr>
          <w:rFonts w:cs="Arial"/>
          <w:szCs w:val="22"/>
        </w:rPr>
        <w:t>d</w:t>
      </w:r>
      <w:r w:rsidRPr="001D200D">
        <w:rPr>
          <w:rFonts w:cs="Arial"/>
          <w:szCs w:val="22"/>
        </w:rPr>
        <w:t>wyla.</w:t>
      </w:r>
    </w:p>
    <w:p w:rsidR="00C67891" w:rsidRPr="001D200D" w:rsidRDefault="00C67891" w:rsidP="00831AC1">
      <w:pPr>
        <w:pStyle w:val="Textkrper21"/>
        <w:tabs>
          <w:tab w:val="clear" w:pos="1080"/>
        </w:tabs>
        <w:spacing w:after="120" w:line="276" w:lineRule="auto"/>
        <w:ind w:left="567" w:hanging="567"/>
        <w:rPr>
          <w:rFonts w:ascii="Arial" w:hAnsi="Arial" w:cs="Arial"/>
          <w:sz w:val="22"/>
          <w:szCs w:val="22"/>
        </w:rPr>
      </w:pPr>
      <w:r w:rsidRPr="001D200D">
        <w:rPr>
          <w:rFonts w:ascii="Arial" w:hAnsi="Arial" w:cs="Arial"/>
          <w:sz w:val="22"/>
          <w:szCs w:val="22"/>
        </w:rPr>
        <w:t>6.</w:t>
      </w:r>
      <w:r w:rsidRPr="001D200D">
        <w:rPr>
          <w:rFonts w:ascii="Arial" w:hAnsi="Arial" w:cs="Arial"/>
          <w:sz w:val="22"/>
          <w:szCs w:val="22"/>
        </w:rPr>
        <w:tab/>
        <w:t>Es ist keine dieser Erbberechtigung entgegenstehende Verfügung von Todes wegen der Erblasserin zur Eröffnung gelangt oder vorgelegt worden, so dass die vorgenannten Erben unter Vorbehalt der Erbschaftsklage als einzige, gesetzliche Erben anerkannt sind.</w:t>
      </w:r>
    </w:p>
    <w:p w:rsidR="00C67891" w:rsidRPr="001D200D" w:rsidRDefault="00C67891" w:rsidP="00C278A1">
      <w:pPr>
        <w:pStyle w:val="Textkrper21"/>
        <w:tabs>
          <w:tab w:val="clear" w:pos="1080"/>
        </w:tabs>
        <w:spacing w:after="120"/>
        <w:ind w:left="567" w:hanging="567"/>
        <w:rPr>
          <w:rFonts w:ascii="Arial" w:hAnsi="Arial" w:cs="Arial"/>
          <w:sz w:val="22"/>
          <w:szCs w:val="22"/>
        </w:rPr>
      </w:pPr>
      <w:r w:rsidRPr="001D200D">
        <w:rPr>
          <w:rFonts w:ascii="Arial" w:hAnsi="Arial" w:cs="Arial"/>
          <w:sz w:val="22"/>
          <w:szCs w:val="22"/>
        </w:rPr>
        <w:t>7.</w:t>
      </w:r>
      <w:r w:rsidRPr="001D200D">
        <w:rPr>
          <w:rFonts w:ascii="Arial" w:hAnsi="Arial" w:cs="Arial"/>
          <w:sz w:val="22"/>
          <w:szCs w:val="22"/>
        </w:rPr>
        <w:tab/>
        <w:t>Diese Urschrift ist einfach auszufertigen.</w:t>
      </w:r>
    </w:p>
    <w:p w:rsidR="00C67891" w:rsidRPr="001D200D" w:rsidRDefault="00C67891" w:rsidP="00C278A1">
      <w:pPr>
        <w:spacing w:after="120"/>
        <w:ind w:left="567"/>
        <w:rPr>
          <w:rFonts w:cs="Arial"/>
          <w:szCs w:val="22"/>
        </w:rPr>
      </w:pPr>
      <w:r w:rsidRPr="001D200D">
        <w:rPr>
          <w:rFonts w:cs="Arial"/>
          <w:szCs w:val="22"/>
        </w:rPr>
        <w:lastRenderedPageBreak/>
        <w:t xml:space="preserve">Beurkundet im Büro des Notars in Bern am einunddreissigsten Januar </w:t>
      </w:r>
      <w:proofErr w:type="spellStart"/>
      <w:r w:rsidRPr="001D200D">
        <w:rPr>
          <w:rFonts w:cs="Arial"/>
          <w:szCs w:val="22"/>
        </w:rPr>
        <w:t>zweitausendu</w:t>
      </w:r>
      <w:r w:rsidRPr="001D200D">
        <w:rPr>
          <w:rFonts w:cs="Arial"/>
          <w:szCs w:val="22"/>
        </w:rPr>
        <w:t>n</w:t>
      </w:r>
      <w:r w:rsidRPr="001D200D">
        <w:rPr>
          <w:rFonts w:cs="Arial"/>
          <w:szCs w:val="22"/>
        </w:rPr>
        <w:t>dacht</w:t>
      </w:r>
      <w:proofErr w:type="spellEnd"/>
      <w:r w:rsidRPr="001D200D">
        <w:rPr>
          <w:rFonts w:cs="Arial"/>
          <w:szCs w:val="22"/>
        </w:rPr>
        <w:t>.</w:t>
      </w:r>
    </w:p>
    <w:p w:rsidR="00C67891" w:rsidRPr="001D200D" w:rsidRDefault="00C67891" w:rsidP="001D200D">
      <w:pPr>
        <w:jc w:val="center"/>
      </w:pPr>
      <w:r w:rsidRPr="001D200D">
        <w:t>D.d. 31. Januar 2008</w:t>
      </w:r>
    </w:p>
    <w:p w:rsidR="00C67891" w:rsidRPr="001D200D" w:rsidRDefault="00C67891">
      <w:pPr>
        <w:ind w:left="567"/>
        <w:rPr>
          <w:rFonts w:cs="Arial"/>
          <w:szCs w:val="22"/>
        </w:rPr>
      </w:pPr>
      <w:r w:rsidRPr="001D200D">
        <w:rPr>
          <w:rFonts w:cs="Arial"/>
          <w:szCs w:val="22"/>
        </w:rPr>
        <w:t>Der Notar:</w:t>
      </w:r>
    </w:p>
    <w:p w:rsidR="00902C4B" w:rsidRDefault="00902C4B" w:rsidP="00902C4B">
      <w:pPr>
        <w:rPr>
          <w:szCs w:val="22"/>
        </w:rPr>
      </w:pPr>
    </w:p>
    <w:p w:rsidR="00902C4B" w:rsidRDefault="00902C4B" w:rsidP="00902C4B">
      <w:pPr>
        <w:spacing w:after="200"/>
        <w:rPr>
          <w:szCs w:val="22"/>
        </w:rPr>
      </w:pPr>
      <w:r>
        <w:rPr>
          <w:szCs w:val="22"/>
        </w:rPr>
        <w:br w:type="page"/>
      </w:r>
    </w:p>
    <w:tbl>
      <w:tblPr>
        <w:tblW w:w="0" w:type="auto"/>
        <w:tblInd w:w="54" w:type="dxa"/>
        <w:tblLayout w:type="fixed"/>
        <w:tblCellMar>
          <w:left w:w="56" w:type="dxa"/>
          <w:right w:w="56" w:type="dxa"/>
        </w:tblCellMar>
        <w:tblLook w:val="0000" w:firstRow="0" w:lastRow="0" w:firstColumn="0" w:lastColumn="0" w:noHBand="0" w:noVBand="0"/>
      </w:tblPr>
      <w:tblGrid>
        <w:gridCol w:w="2252"/>
        <w:gridCol w:w="1150"/>
        <w:gridCol w:w="704"/>
        <w:gridCol w:w="1283"/>
        <w:gridCol w:w="3827"/>
      </w:tblGrid>
      <w:tr w:rsidR="001D200D" w:rsidTr="001D200D">
        <w:trPr>
          <w:cantSplit/>
          <w:trHeight w:hRule="exact" w:val="920"/>
        </w:trPr>
        <w:tc>
          <w:tcPr>
            <w:tcW w:w="3402" w:type="dxa"/>
            <w:gridSpan w:val="2"/>
          </w:tcPr>
          <w:p w:rsidR="001D200D" w:rsidRDefault="001D200D">
            <w:pPr>
              <w:rPr>
                <w:b/>
                <w:sz w:val="28"/>
              </w:rPr>
            </w:pPr>
            <w:r>
              <w:rPr>
                <w:b/>
                <w:sz w:val="28"/>
              </w:rPr>
              <w:lastRenderedPageBreak/>
              <w:t>Löschungsbewilligung</w:t>
            </w:r>
          </w:p>
          <w:p w:rsidR="001D200D" w:rsidRDefault="001D200D">
            <w:pPr>
              <w:rPr>
                <w:b/>
              </w:rPr>
            </w:pPr>
          </w:p>
          <w:p w:rsidR="001D200D" w:rsidRDefault="001D200D">
            <w:pPr>
              <w:rPr>
                <w:b/>
                <w:sz w:val="28"/>
              </w:rPr>
            </w:pPr>
            <w:r>
              <w:rPr>
                <w:b/>
              </w:rPr>
              <w:t>an das Grundbuchamt</w:t>
            </w:r>
          </w:p>
        </w:tc>
        <w:tc>
          <w:tcPr>
            <w:tcW w:w="704" w:type="dxa"/>
          </w:tcPr>
          <w:p w:rsidR="001D200D" w:rsidRDefault="001D200D">
            <w:pPr>
              <w:rPr>
                <w:sz w:val="18"/>
              </w:rPr>
            </w:pPr>
          </w:p>
        </w:tc>
        <w:tc>
          <w:tcPr>
            <w:tcW w:w="1283" w:type="dxa"/>
          </w:tcPr>
          <w:p w:rsidR="001D200D" w:rsidRDefault="001D200D"/>
        </w:tc>
        <w:tc>
          <w:tcPr>
            <w:tcW w:w="3827" w:type="dxa"/>
          </w:tcPr>
          <w:p w:rsidR="001D200D" w:rsidRDefault="001D200D">
            <w:r>
              <w:t xml:space="preserve">Beleg Nr. </w:t>
            </w:r>
          </w:p>
          <w:p w:rsidR="001D200D" w:rsidRDefault="001D200D">
            <w:pPr>
              <w:rPr>
                <w:sz w:val="16"/>
              </w:rPr>
            </w:pPr>
          </w:p>
          <w:p w:rsidR="001D200D" w:rsidRDefault="001D200D">
            <w:r>
              <w:t>Eingang</w:t>
            </w:r>
          </w:p>
        </w:tc>
      </w:tr>
      <w:tr w:rsidR="001D200D" w:rsidTr="001D200D">
        <w:tblPrEx>
          <w:tblCellMar>
            <w:left w:w="70" w:type="dxa"/>
            <w:right w:w="70" w:type="dxa"/>
          </w:tblCellMar>
        </w:tblPrEx>
        <w:trPr>
          <w:trHeight w:hRule="exact" w:val="720"/>
        </w:trPr>
        <w:tc>
          <w:tcPr>
            <w:tcW w:w="5389" w:type="dxa"/>
            <w:gridSpan w:val="4"/>
          </w:tcPr>
          <w:p w:rsidR="001D200D" w:rsidRDefault="001D200D"/>
        </w:tc>
        <w:tc>
          <w:tcPr>
            <w:tcW w:w="3827" w:type="dxa"/>
          </w:tcPr>
          <w:p w:rsidR="001D200D" w:rsidRDefault="001D200D"/>
        </w:tc>
      </w:tr>
      <w:tr w:rsidR="001D200D" w:rsidTr="001D200D">
        <w:tblPrEx>
          <w:tblCellMar>
            <w:left w:w="70" w:type="dxa"/>
            <w:right w:w="70" w:type="dxa"/>
          </w:tblCellMar>
        </w:tblPrEx>
        <w:trPr>
          <w:trHeight w:hRule="exact" w:val="1920"/>
        </w:trPr>
        <w:tc>
          <w:tcPr>
            <w:tcW w:w="5389" w:type="dxa"/>
            <w:gridSpan w:val="4"/>
          </w:tcPr>
          <w:p w:rsidR="001D200D" w:rsidRDefault="001D200D">
            <w:pPr>
              <w:pStyle w:val="Betreff"/>
              <w:spacing w:before="0" w:after="0"/>
              <w:rPr>
                <w:rFonts w:ascii="Arial" w:hAnsi="Arial"/>
                <w:b w:val="0"/>
                <w:sz w:val="20"/>
              </w:rPr>
            </w:pPr>
            <w:r>
              <w:rPr>
                <w:rFonts w:ascii="Arial" w:hAnsi="Arial"/>
                <w:b w:val="0"/>
                <w:sz w:val="20"/>
              </w:rPr>
              <w:t xml:space="preserve">                                                                                          </w:t>
            </w:r>
            <w:r>
              <w:rPr>
                <w:rFonts w:ascii="Arial" w:hAnsi="Arial"/>
                <w:sz w:val="20"/>
              </w:rPr>
              <w:t>.</w:t>
            </w:r>
          </w:p>
          <w:p w:rsidR="001D200D" w:rsidRDefault="001D200D">
            <w:pPr>
              <w:pStyle w:val="Betreff"/>
              <w:spacing w:before="0" w:after="0"/>
              <w:rPr>
                <w:rFonts w:ascii="Arial" w:hAnsi="Arial"/>
                <w:b w:val="0"/>
                <w:sz w:val="20"/>
              </w:rPr>
            </w:pPr>
          </w:p>
          <w:p w:rsidR="001D200D" w:rsidRDefault="001D200D">
            <w:pPr>
              <w:pStyle w:val="Betreff"/>
              <w:spacing w:before="0" w:after="0"/>
              <w:rPr>
                <w:rFonts w:ascii="Arial" w:hAnsi="Arial"/>
                <w:b w:val="0"/>
                <w:sz w:val="20"/>
              </w:rPr>
            </w:pPr>
          </w:p>
          <w:p w:rsidR="001D200D" w:rsidRDefault="001D200D">
            <w:pPr>
              <w:pStyle w:val="Betreff"/>
              <w:spacing w:before="0" w:after="0"/>
              <w:rPr>
                <w:rFonts w:ascii="Arial" w:hAnsi="Arial"/>
                <w:b w:val="0"/>
                <w:sz w:val="20"/>
              </w:rPr>
            </w:pPr>
          </w:p>
          <w:p w:rsidR="001D200D" w:rsidRDefault="001D200D">
            <w:pPr>
              <w:pStyle w:val="Betreff"/>
              <w:spacing w:before="0" w:after="0"/>
              <w:rPr>
                <w:rFonts w:ascii="Arial" w:hAnsi="Arial"/>
                <w:b w:val="0"/>
                <w:sz w:val="20"/>
              </w:rPr>
            </w:pPr>
          </w:p>
          <w:p w:rsidR="001D200D" w:rsidRDefault="001D200D">
            <w:pPr>
              <w:pStyle w:val="Betreff"/>
              <w:spacing w:before="0" w:after="0"/>
              <w:rPr>
                <w:rFonts w:ascii="Arial" w:hAnsi="Arial"/>
                <w:b w:val="0"/>
                <w:sz w:val="20"/>
              </w:rPr>
            </w:pPr>
            <w:r>
              <w:rPr>
                <w:rFonts w:ascii="Arial" w:hAnsi="Arial"/>
                <w:b w:val="0"/>
                <w:sz w:val="20"/>
              </w:rPr>
              <w:t>Der/Die Unterzeichnende erteilt seine/ihre</w:t>
            </w:r>
          </w:p>
          <w:p w:rsidR="001D200D" w:rsidRDefault="001D200D">
            <w:r>
              <w:t xml:space="preserve">Einwilligung zur </w:t>
            </w:r>
            <w:r>
              <w:rPr>
                <w:b/>
              </w:rPr>
              <w:t>Löschung</w:t>
            </w:r>
            <w:r>
              <w:t xml:space="preserve"> für das ihm/ihr</w:t>
            </w:r>
          </w:p>
        </w:tc>
        <w:tc>
          <w:tcPr>
            <w:tcW w:w="3827" w:type="dxa"/>
          </w:tcPr>
          <w:p w:rsidR="001D200D" w:rsidRDefault="001D200D">
            <w:pPr>
              <w:pStyle w:val="Betreff"/>
              <w:tabs>
                <w:tab w:val="clear" w:pos="5800"/>
              </w:tabs>
              <w:spacing w:before="0" w:after="0"/>
              <w:rPr>
                <w:rFonts w:ascii="Arial" w:hAnsi="Arial"/>
                <w:b w:val="0"/>
                <w:noProof/>
                <w:color w:val="000000"/>
                <w:sz w:val="20"/>
              </w:rPr>
            </w:pPr>
            <w:r>
              <w:rPr>
                <w:rFonts w:ascii="Arial" w:hAnsi="Arial"/>
                <w:b w:val="0"/>
                <w:color w:val="000000"/>
                <w:sz w:val="20"/>
              </w:rPr>
              <w:fldChar w:fldCharType="begin">
                <w:ffData>
                  <w:name w:val="Text1"/>
                  <w:enabled/>
                  <w:calcOnExit w:val="0"/>
                  <w:textInput/>
                </w:ffData>
              </w:fldChar>
            </w:r>
            <w:r>
              <w:rPr>
                <w:rFonts w:ascii="Arial" w:hAnsi="Arial"/>
                <w:b w:val="0"/>
                <w:color w:val="000000"/>
                <w:sz w:val="20"/>
              </w:rPr>
              <w:instrText xml:space="preserve"> FORMTEXT </w:instrText>
            </w:r>
            <w:r>
              <w:rPr>
                <w:rFonts w:ascii="Arial" w:hAnsi="Arial"/>
                <w:b w:val="0"/>
                <w:color w:val="000000"/>
                <w:sz w:val="20"/>
              </w:rPr>
            </w:r>
            <w:r>
              <w:rPr>
                <w:rFonts w:ascii="Arial" w:hAnsi="Arial"/>
                <w:b w:val="0"/>
                <w:color w:val="000000"/>
                <w:sz w:val="20"/>
              </w:rPr>
              <w:fldChar w:fldCharType="separate"/>
            </w:r>
            <w:r>
              <w:rPr>
                <w:rFonts w:ascii="Arial" w:hAnsi="Arial"/>
                <w:b w:val="0"/>
                <w:noProof/>
                <w:color w:val="000000"/>
                <w:sz w:val="20"/>
              </w:rPr>
              <w:t>Kreisgrundbuchamt</w:t>
            </w:r>
          </w:p>
          <w:p w:rsidR="001D200D" w:rsidRDefault="001D200D">
            <w:pPr>
              <w:pStyle w:val="Betreff"/>
              <w:tabs>
                <w:tab w:val="clear" w:pos="5800"/>
              </w:tabs>
              <w:spacing w:before="0" w:after="0"/>
              <w:rPr>
                <w:rFonts w:ascii="Arial" w:hAnsi="Arial"/>
                <w:b w:val="0"/>
                <w:sz w:val="20"/>
              </w:rPr>
            </w:pPr>
            <w:r>
              <w:rPr>
                <w:rFonts w:ascii="Arial" w:hAnsi="Arial"/>
                <w:b w:val="0"/>
                <w:noProof/>
                <w:color w:val="000000"/>
                <w:sz w:val="20"/>
              </w:rPr>
              <w:t>Waldsee</w:t>
            </w:r>
            <w:r>
              <w:rPr>
                <w:rFonts w:ascii="Arial" w:hAnsi="Arial"/>
                <w:b w:val="0"/>
                <w:color w:val="000000"/>
                <w:sz w:val="20"/>
              </w:rPr>
              <w:fldChar w:fldCharType="end"/>
            </w:r>
          </w:p>
        </w:tc>
      </w:tr>
      <w:tr w:rsidR="001D200D" w:rsidTr="001D200D">
        <w:tblPrEx>
          <w:tblCellMar>
            <w:left w:w="70" w:type="dxa"/>
            <w:right w:w="70" w:type="dxa"/>
          </w:tblCellMar>
        </w:tblPrEx>
        <w:trPr>
          <w:trHeight w:hRule="exact" w:val="480"/>
        </w:trPr>
        <w:tc>
          <w:tcPr>
            <w:tcW w:w="2252" w:type="dxa"/>
          </w:tcPr>
          <w:p w:rsidR="001D200D" w:rsidRDefault="001D200D">
            <w:pPr>
              <w:pStyle w:val="Betreff"/>
              <w:tabs>
                <w:tab w:val="clear" w:pos="5800"/>
              </w:tabs>
              <w:spacing w:before="0" w:after="0"/>
              <w:rPr>
                <w:rFonts w:ascii="Arial" w:hAnsi="Arial"/>
                <w:b w:val="0"/>
                <w:sz w:val="20"/>
              </w:rPr>
            </w:pPr>
            <w:r>
              <w:rPr>
                <w:rFonts w:ascii="Arial" w:hAnsi="Arial"/>
                <w:b w:val="0"/>
                <w:sz w:val="20"/>
              </w:rPr>
              <w:t>auf Grundbuchblatt Nr.</w:t>
            </w:r>
          </w:p>
        </w:tc>
        <w:tc>
          <w:tcPr>
            <w:tcW w:w="6964" w:type="dxa"/>
            <w:gridSpan w:val="4"/>
          </w:tcPr>
          <w:p w:rsidR="001D200D" w:rsidRDefault="001D200D">
            <w:pPr>
              <w:pStyle w:val="Betreff"/>
              <w:tabs>
                <w:tab w:val="clear" w:pos="5800"/>
              </w:tabs>
              <w:spacing w:before="0" w:after="0"/>
              <w:rPr>
                <w:rFonts w:ascii="Arial" w:hAnsi="Arial"/>
                <w:b w:val="0"/>
                <w:sz w:val="20"/>
              </w:rPr>
            </w:pPr>
            <w:r>
              <w:rPr>
                <w:rFonts w:ascii="Arial" w:hAnsi="Arial"/>
                <w:b w:val="0"/>
                <w:color w:val="000000"/>
                <w:sz w:val="20"/>
              </w:rPr>
              <w:fldChar w:fldCharType="begin">
                <w:ffData>
                  <w:name w:val="Text1"/>
                  <w:enabled/>
                  <w:calcOnExit w:val="0"/>
                  <w:textInput/>
                </w:ffData>
              </w:fldChar>
            </w:r>
            <w:r>
              <w:rPr>
                <w:rFonts w:ascii="Arial" w:hAnsi="Arial"/>
                <w:b w:val="0"/>
                <w:color w:val="000000"/>
                <w:sz w:val="20"/>
              </w:rPr>
              <w:instrText xml:space="preserve"> FORMTEXT </w:instrText>
            </w:r>
            <w:r>
              <w:rPr>
                <w:rFonts w:ascii="Arial" w:hAnsi="Arial"/>
                <w:b w:val="0"/>
                <w:color w:val="000000"/>
                <w:sz w:val="20"/>
              </w:rPr>
            </w:r>
            <w:r>
              <w:rPr>
                <w:rFonts w:ascii="Arial" w:hAnsi="Arial"/>
                <w:b w:val="0"/>
                <w:color w:val="000000"/>
                <w:sz w:val="20"/>
              </w:rPr>
              <w:fldChar w:fldCharType="separate"/>
            </w:r>
            <w:r>
              <w:rPr>
                <w:rFonts w:ascii="Arial" w:hAnsi="Arial"/>
                <w:b w:val="0"/>
                <w:color w:val="000000"/>
                <w:sz w:val="20"/>
              </w:rPr>
              <w:t>834</w:t>
            </w:r>
            <w:r>
              <w:rPr>
                <w:rFonts w:ascii="Arial" w:hAnsi="Arial"/>
                <w:b w:val="0"/>
                <w:color w:val="000000"/>
                <w:sz w:val="20"/>
              </w:rPr>
              <w:fldChar w:fldCharType="end"/>
            </w:r>
          </w:p>
        </w:tc>
      </w:tr>
      <w:tr w:rsidR="001D200D" w:rsidTr="001D200D">
        <w:tblPrEx>
          <w:tblCellMar>
            <w:left w:w="70" w:type="dxa"/>
            <w:right w:w="70" w:type="dxa"/>
          </w:tblCellMar>
        </w:tblPrEx>
        <w:trPr>
          <w:trHeight w:hRule="exact" w:val="480"/>
        </w:trPr>
        <w:tc>
          <w:tcPr>
            <w:tcW w:w="2252" w:type="dxa"/>
          </w:tcPr>
          <w:p w:rsidR="001D200D" w:rsidRDefault="001D200D">
            <w:pPr>
              <w:pStyle w:val="Betreff"/>
              <w:tabs>
                <w:tab w:val="clear" w:pos="5800"/>
              </w:tabs>
              <w:spacing w:before="0" w:after="0"/>
              <w:rPr>
                <w:rFonts w:ascii="Arial" w:hAnsi="Arial"/>
                <w:b w:val="0"/>
                <w:sz w:val="20"/>
              </w:rPr>
            </w:pPr>
            <w:r>
              <w:rPr>
                <w:rFonts w:ascii="Arial" w:hAnsi="Arial"/>
                <w:b w:val="0"/>
                <w:sz w:val="20"/>
              </w:rPr>
              <w:t xml:space="preserve">der Gemeinde </w:t>
            </w:r>
          </w:p>
        </w:tc>
        <w:tc>
          <w:tcPr>
            <w:tcW w:w="6964" w:type="dxa"/>
            <w:gridSpan w:val="4"/>
          </w:tcPr>
          <w:p w:rsidR="001D200D" w:rsidRDefault="001D200D">
            <w:pPr>
              <w:pStyle w:val="Betreff"/>
              <w:tabs>
                <w:tab w:val="clear" w:pos="5800"/>
              </w:tabs>
              <w:spacing w:before="0" w:after="0"/>
              <w:rPr>
                <w:rFonts w:ascii="Arial" w:hAnsi="Arial"/>
                <w:b w:val="0"/>
                <w:sz w:val="20"/>
              </w:rPr>
            </w:pPr>
            <w:r>
              <w:rPr>
                <w:rFonts w:ascii="Arial" w:hAnsi="Arial"/>
                <w:b w:val="0"/>
                <w:color w:val="000000"/>
                <w:sz w:val="20"/>
              </w:rPr>
              <w:fldChar w:fldCharType="begin">
                <w:ffData>
                  <w:name w:val="Text1"/>
                  <w:enabled/>
                  <w:calcOnExit w:val="0"/>
                  <w:textInput/>
                </w:ffData>
              </w:fldChar>
            </w:r>
            <w:r>
              <w:rPr>
                <w:rFonts w:ascii="Arial" w:hAnsi="Arial"/>
                <w:b w:val="0"/>
                <w:color w:val="000000"/>
                <w:sz w:val="20"/>
              </w:rPr>
              <w:instrText xml:space="preserve"> FORMTEXT </w:instrText>
            </w:r>
            <w:r>
              <w:rPr>
                <w:rFonts w:ascii="Arial" w:hAnsi="Arial"/>
                <w:b w:val="0"/>
                <w:color w:val="000000"/>
                <w:sz w:val="20"/>
              </w:rPr>
            </w:r>
            <w:r>
              <w:rPr>
                <w:rFonts w:ascii="Arial" w:hAnsi="Arial"/>
                <w:b w:val="0"/>
                <w:color w:val="000000"/>
                <w:sz w:val="20"/>
              </w:rPr>
              <w:fldChar w:fldCharType="separate"/>
            </w:r>
            <w:r>
              <w:rPr>
                <w:rFonts w:ascii="Arial" w:hAnsi="Arial"/>
                <w:b w:val="0"/>
                <w:color w:val="000000"/>
                <w:sz w:val="20"/>
              </w:rPr>
              <w:t>Seldwyla</w:t>
            </w:r>
            <w:r>
              <w:rPr>
                <w:rFonts w:ascii="Arial" w:hAnsi="Arial"/>
                <w:b w:val="0"/>
                <w:color w:val="000000"/>
                <w:sz w:val="20"/>
              </w:rPr>
              <w:fldChar w:fldCharType="end"/>
            </w:r>
          </w:p>
        </w:tc>
      </w:tr>
      <w:tr w:rsidR="001D200D" w:rsidTr="001D200D">
        <w:tblPrEx>
          <w:tblCellMar>
            <w:left w:w="70" w:type="dxa"/>
            <w:right w:w="70" w:type="dxa"/>
          </w:tblCellMar>
        </w:tblPrEx>
        <w:trPr>
          <w:cantSplit/>
          <w:trHeight w:hRule="exact" w:val="720"/>
        </w:trPr>
        <w:tc>
          <w:tcPr>
            <w:tcW w:w="2252" w:type="dxa"/>
          </w:tcPr>
          <w:p w:rsidR="001D200D" w:rsidRDefault="001D200D">
            <w:pPr>
              <w:pStyle w:val="Betreff"/>
              <w:tabs>
                <w:tab w:val="left" w:pos="2269"/>
              </w:tabs>
              <w:spacing w:before="0" w:after="0"/>
              <w:rPr>
                <w:rFonts w:ascii="Arial" w:hAnsi="Arial"/>
                <w:b w:val="0"/>
                <w:sz w:val="20"/>
              </w:rPr>
            </w:pPr>
            <w:r>
              <w:rPr>
                <w:rFonts w:ascii="Arial" w:hAnsi="Arial"/>
                <w:b w:val="0"/>
                <w:sz w:val="20"/>
              </w:rPr>
              <w:t xml:space="preserve">im Eigentum von </w:t>
            </w:r>
          </w:p>
        </w:tc>
        <w:tc>
          <w:tcPr>
            <w:tcW w:w="6964" w:type="dxa"/>
            <w:gridSpan w:val="4"/>
          </w:tcPr>
          <w:p w:rsidR="001D200D" w:rsidRDefault="001D200D">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color w:val="000000"/>
              </w:rPr>
              <w:t>Moser Hans</w:t>
            </w:r>
            <w:r>
              <w:rPr>
                <w:color w:val="000000"/>
              </w:rPr>
              <w:fldChar w:fldCharType="end"/>
            </w:r>
          </w:p>
        </w:tc>
      </w:tr>
      <w:tr w:rsidR="001D200D" w:rsidTr="001D200D">
        <w:tblPrEx>
          <w:tblCellMar>
            <w:left w:w="70" w:type="dxa"/>
            <w:right w:w="70" w:type="dxa"/>
          </w:tblCellMar>
        </w:tblPrEx>
        <w:trPr>
          <w:trHeight w:hRule="exact" w:val="200"/>
        </w:trPr>
        <w:tc>
          <w:tcPr>
            <w:tcW w:w="9216" w:type="dxa"/>
            <w:gridSpan w:val="5"/>
          </w:tcPr>
          <w:p w:rsidR="001D200D" w:rsidRDefault="001D200D"/>
        </w:tc>
      </w:tr>
      <w:tr w:rsidR="001D200D" w:rsidTr="001D200D">
        <w:tblPrEx>
          <w:tblCellMar>
            <w:left w:w="70" w:type="dxa"/>
            <w:right w:w="70" w:type="dxa"/>
          </w:tblCellMar>
        </w:tblPrEx>
        <w:trPr>
          <w:trHeight w:hRule="exact" w:val="240"/>
        </w:trPr>
        <w:tc>
          <w:tcPr>
            <w:tcW w:w="9216" w:type="dxa"/>
            <w:gridSpan w:val="5"/>
          </w:tcPr>
          <w:p w:rsidR="001D200D" w:rsidRDefault="001D200D">
            <w:pPr>
              <w:rPr>
                <w:sz w:val="16"/>
              </w:rPr>
            </w:pPr>
            <w:r>
              <w:t xml:space="preserve">zustehende Recht </w:t>
            </w:r>
            <w:r>
              <w:rPr>
                <w:sz w:val="16"/>
              </w:rPr>
              <w:t>(Art/Errichtungsdatum/Beleg)</w:t>
            </w:r>
          </w:p>
        </w:tc>
      </w:tr>
      <w:tr w:rsidR="001D200D" w:rsidTr="001D200D">
        <w:tblPrEx>
          <w:tblCellMar>
            <w:left w:w="70" w:type="dxa"/>
            <w:right w:w="70" w:type="dxa"/>
          </w:tblCellMar>
        </w:tblPrEx>
        <w:trPr>
          <w:trHeight w:hRule="exact" w:val="200"/>
        </w:trPr>
        <w:tc>
          <w:tcPr>
            <w:tcW w:w="9216" w:type="dxa"/>
            <w:gridSpan w:val="5"/>
          </w:tcPr>
          <w:p w:rsidR="001D200D" w:rsidRDefault="001D200D"/>
        </w:tc>
      </w:tr>
      <w:tr w:rsidR="001D200D" w:rsidTr="001D200D">
        <w:tblPrEx>
          <w:tblCellMar>
            <w:left w:w="70" w:type="dxa"/>
            <w:right w:w="70" w:type="dxa"/>
          </w:tblCellMar>
        </w:tblPrEx>
        <w:trPr>
          <w:trHeight w:hRule="exact" w:val="1920"/>
        </w:trPr>
        <w:tc>
          <w:tcPr>
            <w:tcW w:w="9216" w:type="dxa"/>
            <w:gridSpan w:val="5"/>
          </w:tcPr>
          <w:p w:rsidR="001D200D" w:rsidRDefault="001D200D">
            <w:pPr>
              <w:rPr>
                <w:color w:val="000000"/>
              </w:rPr>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color w:val="000000"/>
              </w:rPr>
              <w:t>Landwirtschaftlicher Hochbau Nr. 34399-2, Umbau Oekonomiegebäude; Bewilligungspflicht für Handänderungen bis 31.12.2027 (13.06.2006, 2006/22603/0)</w:t>
            </w:r>
          </w:p>
          <w:p w:rsidR="001D200D" w:rsidRDefault="001D200D">
            <w:pPr>
              <w:rPr>
                <w:color w:val="000000"/>
              </w:rPr>
            </w:pPr>
          </w:p>
          <w:p w:rsidR="001D200D" w:rsidRDefault="001D200D">
            <w:r>
              <w:rPr>
                <w:color w:val="000000"/>
              </w:rPr>
              <w:t>Teil-Löschung auf Abgang von 2'189 m2 von GB-Nr. 834 an Nr. 835</w:t>
            </w:r>
            <w:r>
              <w:rPr>
                <w:color w:val="000000"/>
              </w:rPr>
              <w:fldChar w:fldCharType="end"/>
            </w:r>
          </w:p>
        </w:tc>
      </w:tr>
      <w:tr w:rsidR="001D200D" w:rsidTr="001D200D">
        <w:tblPrEx>
          <w:tblCellMar>
            <w:left w:w="70" w:type="dxa"/>
            <w:right w:w="70" w:type="dxa"/>
          </w:tblCellMar>
        </w:tblPrEx>
        <w:trPr>
          <w:trHeight w:hRule="exact" w:val="200"/>
        </w:trPr>
        <w:tc>
          <w:tcPr>
            <w:tcW w:w="9216" w:type="dxa"/>
            <w:gridSpan w:val="5"/>
          </w:tcPr>
          <w:p w:rsidR="001D200D" w:rsidRDefault="001D200D">
            <w:pPr>
              <w:tabs>
                <w:tab w:val="left" w:pos="2836"/>
              </w:tabs>
            </w:pPr>
          </w:p>
        </w:tc>
      </w:tr>
      <w:tr w:rsidR="001D200D" w:rsidTr="001D200D">
        <w:tblPrEx>
          <w:tblCellMar>
            <w:left w:w="70" w:type="dxa"/>
            <w:right w:w="70" w:type="dxa"/>
          </w:tblCellMar>
        </w:tblPrEx>
        <w:trPr>
          <w:trHeight w:hRule="exact" w:val="520"/>
        </w:trPr>
        <w:tc>
          <w:tcPr>
            <w:tcW w:w="5389" w:type="dxa"/>
            <w:gridSpan w:val="4"/>
          </w:tcPr>
          <w:p w:rsidR="001D200D" w:rsidRDefault="001D200D">
            <w:pPr>
              <w:tabs>
                <w:tab w:val="left" w:pos="2836"/>
              </w:tabs>
            </w:pPr>
            <w:r>
              <w:t xml:space="preserve">Ort/Datum: </w:t>
            </w: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color w:val="000000"/>
              </w:rPr>
              <w:t> </w:t>
            </w:r>
            <w:r>
              <w:rPr>
                <w:color w:val="000000"/>
              </w:rPr>
              <w:t> </w:t>
            </w:r>
            <w:r>
              <w:rPr>
                <w:color w:val="000000"/>
              </w:rPr>
              <w:t> </w:t>
            </w:r>
            <w:r>
              <w:rPr>
                <w:color w:val="000000"/>
              </w:rPr>
              <w:t> </w:t>
            </w:r>
            <w:r>
              <w:rPr>
                <w:color w:val="000000"/>
              </w:rPr>
              <w:t> </w:t>
            </w:r>
            <w:r>
              <w:rPr>
                <w:color w:val="000000"/>
              </w:rPr>
              <w:fldChar w:fldCharType="end"/>
            </w:r>
          </w:p>
        </w:tc>
        <w:tc>
          <w:tcPr>
            <w:tcW w:w="3827" w:type="dxa"/>
          </w:tcPr>
          <w:p w:rsidR="001D200D" w:rsidRDefault="001D200D">
            <w:pPr>
              <w:tabs>
                <w:tab w:val="left" w:pos="2836"/>
              </w:tabs>
              <w:rPr>
                <w:position w:val="6"/>
                <w:sz w:val="16"/>
              </w:rPr>
            </w:pPr>
            <w:r>
              <w:rPr>
                <w:b/>
              </w:rPr>
              <w:t xml:space="preserve">Der/Die Berechtigte: </w:t>
            </w:r>
            <w:r>
              <w:rPr>
                <w:position w:val="6"/>
                <w:sz w:val="16"/>
              </w:rPr>
              <w:t>1)</w:t>
            </w:r>
          </w:p>
          <w:p w:rsidR="001D200D" w:rsidRDefault="001D200D">
            <w:pPr>
              <w:tabs>
                <w:tab w:val="left" w:pos="2836"/>
              </w:tabs>
            </w:pPr>
            <w:r>
              <w:rPr>
                <w:sz w:val="16"/>
              </w:rPr>
              <w:t>(Name, Adresse und Unterschrift)</w:t>
            </w:r>
          </w:p>
        </w:tc>
      </w:tr>
      <w:tr w:rsidR="001D200D" w:rsidTr="001D200D">
        <w:tblPrEx>
          <w:tblCellMar>
            <w:left w:w="70" w:type="dxa"/>
            <w:right w:w="70" w:type="dxa"/>
          </w:tblCellMar>
        </w:tblPrEx>
        <w:trPr>
          <w:trHeight w:hRule="exact" w:val="1680"/>
        </w:trPr>
        <w:tc>
          <w:tcPr>
            <w:tcW w:w="5389" w:type="dxa"/>
            <w:gridSpan w:val="4"/>
            <w:tcBorders>
              <w:bottom w:val="single" w:sz="6" w:space="0" w:color="auto"/>
            </w:tcBorders>
          </w:tcPr>
          <w:p w:rsidR="001D200D" w:rsidRDefault="001D200D">
            <w:pPr>
              <w:tabs>
                <w:tab w:val="left" w:pos="2836"/>
              </w:tabs>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color w:val="000000"/>
              </w:rPr>
              <w:t> </w:t>
            </w:r>
            <w:r>
              <w:rPr>
                <w:color w:val="000000"/>
              </w:rPr>
              <w:t> </w:t>
            </w:r>
            <w:r>
              <w:rPr>
                <w:color w:val="000000"/>
              </w:rPr>
              <w:t> </w:t>
            </w:r>
            <w:r>
              <w:rPr>
                <w:color w:val="000000"/>
              </w:rPr>
              <w:t> </w:t>
            </w:r>
            <w:r>
              <w:rPr>
                <w:color w:val="000000"/>
              </w:rPr>
              <w:t> </w:t>
            </w:r>
            <w:r>
              <w:rPr>
                <w:color w:val="000000"/>
              </w:rPr>
              <w:fldChar w:fldCharType="end"/>
            </w:r>
          </w:p>
        </w:tc>
        <w:tc>
          <w:tcPr>
            <w:tcW w:w="3827" w:type="dxa"/>
            <w:tcBorders>
              <w:bottom w:val="single" w:sz="6" w:space="0" w:color="auto"/>
            </w:tcBorders>
          </w:tcPr>
          <w:p w:rsidR="001D200D" w:rsidRDefault="001D200D">
            <w:pPr>
              <w:tabs>
                <w:tab w:val="left" w:pos="2836"/>
              </w:tabs>
              <w:rPr>
                <w:color w:val="000000"/>
              </w:rPr>
            </w:pP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color w:val="000000"/>
              </w:rPr>
              <w:t>Amt für Landwirtschaft Kt. Bern</w:t>
            </w:r>
          </w:p>
          <w:p w:rsidR="001D200D" w:rsidRDefault="001D200D">
            <w:pPr>
              <w:tabs>
                <w:tab w:val="left" w:pos="2836"/>
              </w:tabs>
              <w:rPr>
                <w:color w:val="000000"/>
              </w:rPr>
            </w:pPr>
            <w:r>
              <w:rPr>
                <w:color w:val="000000"/>
              </w:rPr>
              <w:t>Strukturverbesserungen</w:t>
            </w:r>
          </w:p>
          <w:p w:rsidR="001D200D" w:rsidRDefault="001D200D">
            <w:pPr>
              <w:tabs>
                <w:tab w:val="left" w:pos="2836"/>
              </w:tabs>
              <w:rPr>
                <w:color w:val="000000"/>
              </w:rPr>
            </w:pPr>
            <w:r>
              <w:rPr>
                <w:color w:val="000000"/>
              </w:rPr>
              <w:t>Schwand</w:t>
            </w:r>
          </w:p>
          <w:p w:rsidR="001D200D" w:rsidRDefault="001D200D">
            <w:pPr>
              <w:tabs>
                <w:tab w:val="left" w:pos="2836"/>
              </w:tabs>
            </w:pPr>
            <w:r>
              <w:rPr>
                <w:color w:val="000000"/>
              </w:rPr>
              <w:t>3110 Münsingen:</w:t>
            </w:r>
            <w:r>
              <w:rPr>
                <w:color w:val="000000"/>
              </w:rPr>
              <w:fldChar w:fldCharType="end"/>
            </w:r>
          </w:p>
        </w:tc>
      </w:tr>
      <w:tr w:rsidR="001D200D" w:rsidTr="001D200D">
        <w:tblPrEx>
          <w:tblCellMar>
            <w:left w:w="70" w:type="dxa"/>
            <w:right w:w="70" w:type="dxa"/>
          </w:tblCellMar>
        </w:tblPrEx>
        <w:trPr>
          <w:trHeight w:hRule="exact" w:val="240"/>
        </w:trPr>
        <w:tc>
          <w:tcPr>
            <w:tcW w:w="9216" w:type="dxa"/>
            <w:gridSpan w:val="5"/>
          </w:tcPr>
          <w:p w:rsidR="001D200D" w:rsidRDefault="001D200D">
            <w:pPr>
              <w:tabs>
                <w:tab w:val="left" w:pos="2836"/>
              </w:tabs>
            </w:pPr>
          </w:p>
        </w:tc>
      </w:tr>
      <w:tr w:rsidR="001D200D" w:rsidTr="001D200D">
        <w:tblPrEx>
          <w:tblCellMar>
            <w:left w:w="70" w:type="dxa"/>
            <w:right w:w="70" w:type="dxa"/>
          </w:tblCellMar>
        </w:tblPrEx>
        <w:trPr>
          <w:trHeight w:hRule="exact" w:val="240"/>
        </w:trPr>
        <w:tc>
          <w:tcPr>
            <w:tcW w:w="9216" w:type="dxa"/>
            <w:gridSpan w:val="5"/>
          </w:tcPr>
          <w:p w:rsidR="001D200D" w:rsidRDefault="001D200D">
            <w:pPr>
              <w:rPr>
                <w:b/>
              </w:rPr>
            </w:pPr>
            <w:r>
              <w:rPr>
                <w:b/>
              </w:rPr>
              <w:t xml:space="preserve">Erklärung des Eigentümers/der Eigentümerin </w:t>
            </w:r>
            <w:r>
              <w:rPr>
                <w:sz w:val="18"/>
              </w:rPr>
              <w:t>(nur bei Löschung von Grundpfandrechten)</w:t>
            </w:r>
          </w:p>
        </w:tc>
      </w:tr>
      <w:tr w:rsidR="001D200D" w:rsidTr="001D200D">
        <w:tblPrEx>
          <w:tblCellMar>
            <w:left w:w="70" w:type="dxa"/>
            <w:right w:w="70" w:type="dxa"/>
          </w:tblCellMar>
        </w:tblPrEx>
        <w:trPr>
          <w:trHeight w:hRule="exact" w:val="240"/>
        </w:trPr>
        <w:tc>
          <w:tcPr>
            <w:tcW w:w="9216" w:type="dxa"/>
            <w:gridSpan w:val="5"/>
          </w:tcPr>
          <w:p w:rsidR="001D200D" w:rsidRDefault="001D200D"/>
        </w:tc>
      </w:tr>
      <w:tr w:rsidR="001D200D" w:rsidTr="001D200D">
        <w:tblPrEx>
          <w:tblCellMar>
            <w:left w:w="70" w:type="dxa"/>
            <w:right w:w="70" w:type="dxa"/>
          </w:tblCellMar>
        </w:tblPrEx>
        <w:trPr>
          <w:trHeight w:hRule="exact" w:val="480"/>
        </w:trPr>
        <w:tc>
          <w:tcPr>
            <w:tcW w:w="9216" w:type="dxa"/>
            <w:gridSpan w:val="5"/>
          </w:tcPr>
          <w:p w:rsidR="001D200D" w:rsidRDefault="001D200D">
            <w:r>
              <w:t xml:space="preserve">Zur beantragten Löschung wird die Einwilligung erteilt; auf die Eintragung einer leeren Pfandstelle wird verzichtet. </w:t>
            </w:r>
          </w:p>
        </w:tc>
      </w:tr>
      <w:tr w:rsidR="001D200D" w:rsidTr="001D200D">
        <w:tblPrEx>
          <w:tblCellMar>
            <w:left w:w="70" w:type="dxa"/>
            <w:right w:w="70" w:type="dxa"/>
          </w:tblCellMar>
        </w:tblPrEx>
        <w:trPr>
          <w:trHeight w:hRule="exact" w:val="240"/>
        </w:trPr>
        <w:tc>
          <w:tcPr>
            <w:tcW w:w="9216" w:type="dxa"/>
            <w:gridSpan w:val="5"/>
          </w:tcPr>
          <w:p w:rsidR="001D200D" w:rsidRDefault="001D200D"/>
        </w:tc>
      </w:tr>
      <w:tr w:rsidR="001D200D" w:rsidTr="001D200D">
        <w:tblPrEx>
          <w:tblCellMar>
            <w:left w:w="70" w:type="dxa"/>
            <w:right w:w="70" w:type="dxa"/>
          </w:tblCellMar>
        </w:tblPrEx>
        <w:trPr>
          <w:trHeight w:hRule="exact" w:val="240"/>
        </w:trPr>
        <w:tc>
          <w:tcPr>
            <w:tcW w:w="5389" w:type="dxa"/>
            <w:gridSpan w:val="4"/>
          </w:tcPr>
          <w:p w:rsidR="001D200D" w:rsidRDefault="001D200D">
            <w:r>
              <w:t xml:space="preserve">Ort/Datum: </w:t>
            </w:r>
            <w:r>
              <w:rPr>
                <w:color w:val="000000"/>
              </w:rPr>
              <w:fldChar w:fldCharType="begin">
                <w:ffData>
                  <w:name w:val=""/>
                  <w:enabled/>
                  <w:calcOnExit w:val="0"/>
                  <w:textInput/>
                </w:ffData>
              </w:fldChar>
            </w:r>
            <w:r>
              <w:rPr>
                <w:color w:val="000000"/>
              </w:rPr>
              <w:instrText xml:space="preserve"> FORMTEXT </w:instrText>
            </w:r>
            <w:r>
              <w:rPr>
                <w:color w:val="000000"/>
              </w:rPr>
            </w:r>
            <w:r>
              <w:rPr>
                <w:color w:val="000000"/>
              </w:rPr>
              <w:fldChar w:fldCharType="separate"/>
            </w:r>
            <w:r>
              <w:rPr>
                <w:color w:val="000000"/>
              </w:rPr>
              <w:t> </w:t>
            </w:r>
            <w:r>
              <w:rPr>
                <w:color w:val="000000"/>
              </w:rPr>
              <w:t> </w:t>
            </w:r>
            <w:r>
              <w:rPr>
                <w:color w:val="000000"/>
              </w:rPr>
              <w:t> </w:t>
            </w:r>
            <w:r>
              <w:rPr>
                <w:color w:val="000000"/>
              </w:rPr>
              <w:t> </w:t>
            </w:r>
            <w:r>
              <w:rPr>
                <w:color w:val="000000"/>
              </w:rPr>
              <w:t> </w:t>
            </w:r>
            <w:r>
              <w:rPr>
                <w:color w:val="000000"/>
              </w:rPr>
              <w:fldChar w:fldCharType="end"/>
            </w:r>
          </w:p>
        </w:tc>
        <w:tc>
          <w:tcPr>
            <w:tcW w:w="3827" w:type="dxa"/>
          </w:tcPr>
          <w:p w:rsidR="001D200D" w:rsidRDefault="001D200D">
            <w:r>
              <w:rPr>
                <w:b/>
              </w:rPr>
              <w:t>Der/Die Eigentümer/in:</w:t>
            </w:r>
          </w:p>
        </w:tc>
      </w:tr>
    </w:tbl>
    <w:p w:rsidR="001D200D" w:rsidRDefault="001D200D">
      <w:pPr>
        <w:rPr>
          <w:sz w:val="10"/>
        </w:rPr>
      </w:pPr>
    </w:p>
    <w:p w:rsidR="00902C4B" w:rsidRDefault="00902C4B" w:rsidP="00902C4B">
      <w:pPr>
        <w:rPr>
          <w:szCs w:val="22"/>
        </w:rPr>
      </w:pPr>
    </w:p>
    <w:p w:rsidR="00902C4B" w:rsidRDefault="00902C4B" w:rsidP="00902C4B">
      <w:pPr>
        <w:spacing w:after="200"/>
        <w:rPr>
          <w:szCs w:val="22"/>
        </w:rPr>
      </w:pPr>
      <w:r>
        <w:rPr>
          <w:szCs w:val="22"/>
        </w:rPr>
        <w:br w:type="page"/>
      </w:r>
    </w:p>
    <w:tbl>
      <w:tblPr>
        <w:tblW w:w="9500" w:type="dxa"/>
        <w:tblInd w:w="68" w:type="dxa"/>
        <w:tblLayout w:type="fixed"/>
        <w:tblCellMar>
          <w:left w:w="70" w:type="dxa"/>
          <w:right w:w="70" w:type="dxa"/>
        </w:tblCellMar>
        <w:tblLook w:val="0000" w:firstRow="0" w:lastRow="0" w:firstColumn="0" w:lastColumn="0" w:noHBand="0" w:noVBand="0"/>
      </w:tblPr>
      <w:tblGrid>
        <w:gridCol w:w="2321"/>
        <w:gridCol w:w="1225"/>
        <w:gridCol w:w="1843"/>
        <w:gridCol w:w="28"/>
        <w:gridCol w:w="4083"/>
      </w:tblGrid>
      <w:tr w:rsidR="001D200D" w:rsidTr="001D200D">
        <w:trPr>
          <w:trHeight w:hRule="exact" w:val="920"/>
        </w:trPr>
        <w:tc>
          <w:tcPr>
            <w:tcW w:w="3546" w:type="dxa"/>
            <w:gridSpan w:val="2"/>
          </w:tcPr>
          <w:p w:rsidR="001D200D" w:rsidRDefault="001D200D">
            <w:pPr>
              <w:tabs>
                <w:tab w:val="left" w:pos="5103"/>
              </w:tabs>
              <w:rPr>
                <w:b/>
                <w:sz w:val="18"/>
              </w:rPr>
            </w:pPr>
            <w:r>
              <w:rPr>
                <w:b/>
                <w:sz w:val="18"/>
              </w:rPr>
              <w:lastRenderedPageBreak/>
              <w:t>Name, Vorname und Adresse</w:t>
            </w:r>
          </w:p>
          <w:p w:rsidR="001D200D" w:rsidRDefault="001D200D">
            <w:pPr>
              <w:tabs>
                <w:tab w:val="left" w:pos="5103"/>
              </w:tabs>
              <w:rPr>
                <w:b/>
                <w:sz w:val="18"/>
              </w:rPr>
            </w:pPr>
            <w:r>
              <w:rPr>
                <w:b/>
                <w:sz w:val="18"/>
              </w:rPr>
              <w:t>der anmeldenden Person</w:t>
            </w:r>
          </w:p>
        </w:tc>
        <w:tc>
          <w:tcPr>
            <w:tcW w:w="1843" w:type="dxa"/>
          </w:tcPr>
          <w:p w:rsidR="001D200D" w:rsidRDefault="001D200D">
            <w:pPr>
              <w:tabs>
                <w:tab w:val="left" w:pos="1985"/>
              </w:tabs>
              <w:spacing w:line="271" w:lineRule="auto"/>
              <w:rPr>
                <w:color w:val="000000"/>
                <w:lang w:val="de-DE"/>
              </w:rPr>
            </w:pPr>
          </w:p>
        </w:tc>
        <w:tc>
          <w:tcPr>
            <w:tcW w:w="4111" w:type="dxa"/>
            <w:gridSpan w:val="2"/>
          </w:tcPr>
          <w:p w:rsidR="001D200D" w:rsidRDefault="001D200D">
            <w:pPr>
              <w:tabs>
                <w:tab w:val="left" w:pos="5103"/>
              </w:tabs>
              <w:rPr>
                <w:sz w:val="18"/>
              </w:rPr>
            </w:pPr>
            <w:r>
              <w:t>Beleg Nr.</w:t>
            </w:r>
          </w:p>
          <w:p w:rsidR="001D200D" w:rsidRDefault="001D200D">
            <w:pPr>
              <w:tabs>
                <w:tab w:val="left" w:pos="5103"/>
              </w:tabs>
              <w:ind w:left="11"/>
              <w:rPr>
                <w:sz w:val="18"/>
              </w:rPr>
            </w:pPr>
            <w:r>
              <w:t>Eingang</w:t>
            </w:r>
          </w:p>
        </w:tc>
      </w:tr>
      <w:tr w:rsidR="001D200D" w:rsidTr="00155965">
        <w:trPr>
          <w:trHeight w:hRule="exact" w:val="1304"/>
        </w:trPr>
        <w:tc>
          <w:tcPr>
            <w:tcW w:w="3546" w:type="dxa"/>
            <w:gridSpan w:val="2"/>
          </w:tcPr>
          <w:p w:rsidR="001D200D" w:rsidRDefault="001D200D">
            <w:pPr>
              <w:tabs>
                <w:tab w:val="left" w:pos="1985"/>
              </w:tabs>
              <w:spacing w:line="271" w:lineRule="auto"/>
              <w:rPr>
                <w:noProof/>
                <w:color w:val="000000"/>
              </w:rPr>
            </w:pPr>
            <w:r>
              <w:rPr>
                <w:color w:val="000000"/>
                <w:lang w:val="de-DE"/>
              </w:rPr>
              <w:fldChar w:fldCharType="begin">
                <w:ffData>
                  <w:name w:val=""/>
                  <w:enabled/>
                  <w:calcOnExit w:val="0"/>
                  <w:textInput/>
                </w:ffData>
              </w:fldChar>
            </w:r>
            <w:r>
              <w:rPr>
                <w:color w:val="000000"/>
                <w:lang w:val="de-DE"/>
              </w:rPr>
              <w:instrText xml:space="preserve"> FORMTEXT </w:instrText>
            </w:r>
            <w:r>
              <w:rPr>
                <w:color w:val="000000"/>
                <w:lang w:val="de-DE"/>
              </w:rPr>
            </w:r>
            <w:r>
              <w:rPr>
                <w:color w:val="000000"/>
                <w:lang w:val="de-DE"/>
              </w:rPr>
              <w:fldChar w:fldCharType="separate"/>
            </w:r>
            <w:r w:rsidRPr="00B36270">
              <w:rPr>
                <w:noProof/>
                <w:color w:val="000000"/>
              </w:rPr>
              <w:t>Notariat</w:t>
            </w:r>
          </w:p>
          <w:p w:rsidR="001D200D" w:rsidRDefault="001D200D">
            <w:pPr>
              <w:tabs>
                <w:tab w:val="left" w:pos="1985"/>
              </w:tabs>
              <w:spacing w:line="271" w:lineRule="auto"/>
              <w:rPr>
                <w:noProof/>
                <w:color w:val="000000"/>
              </w:rPr>
            </w:pPr>
            <w:r>
              <w:rPr>
                <w:noProof/>
                <w:color w:val="000000"/>
              </w:rPr>
              <w:t>A.B.</w:t>
            </w:r>
          </w:p>
          <w:p w:rsidR="001D200D" w:rsidRDefault="001D200D">
            <w:pPr>
              <w:tabs>
                <w:tab w:val="left" w:pos="1985"/>
              </w:tabs>
              <w:spacing w:line="271" w:lineRule="auto"/>
            </w:pPr>
            <w:r>
              <w:rPr>
                <w:noProof/>
                <w:color w:val="000000"/>
              </w:rPr>
              <w:t>Bern</w:t>
            </w:r>
            <w:r>
              <w:rPr>
                <w:color w:val="000000"/>
                <w:lang w:val="de-DE"/>
              </w:rPr>
              <w:fldChar w:fldCharType="end"/>
            </w:r>
          </w:p>
        </w:tc>
        <w:tc>
          <w:tcPr>
            <w:tcW w:w="1843" w:type="dxa"/>
          </w:tcPr>
          <w:p w:rsidR="001D200D" w:rsidRDefault="001D200D">
            <w:pPr>
              <w:tabs>
                <w:tab w:val="left" w:pos="5103"/>
              </w:tabs>
            </w:pPr>
            <w:r>
              <w:t xml:space="preserve">                            </w:t>
            </w:r>
            <w:r>
              <w:rPr>
                <w:b/>
              </w:rPr>
              <w:t>.</w:t>
            </w:r>
          </w:p>
        </w:tc>
        <w:tc>
          <w:tcPr>
            <w:tcW w:w="4111" w:type="dxa"/>
            <w:gridSpan w:val="2"/>
          </w:tcPr>
          <w:p w:rsidR="001D200D" w:rsidRDefault="001D200D">
            <w:pPr>
              <w:tabs>
                <w:tab w:val="left" w:pos="1985"/>
              </w:tabs>
              <w:spacing w:line="271" w:lineRule="auto"/>
              <w:rPr>
                <w:color w:val="000000"/>
                <w:lang w:val="de-DE"/>
              </w:rPr>
            </w:pPr>
          </w:p>
          <w:p w:rsidR="001D200D" w:rsidRDefault="001D200D">
            <w:pPr>
              <w:tabs>
                <w:tab w:val="left" w:pos="1985"/>
              </w:tabs>
              <w:spacing w:line="271" w:lineRule="auto"/>
              <w:rPr>
                <w:color w:val="000000"/>
                <w:lang w:val="de-DE"/>
              </w:rPr>
            </w:pPr>
            <w:r>
              <w:rPr>
                <w:color w:val="000000"/>
                <w:lang w:val="de-DE"/>
              </w:rPr>
              <w:fldChar w:fldCharType="begin">
                <w:ffData>
                  <w:name w:val=""/>
                  <w:enabled/>
                  <w:calcOnExit w:val="0"/>
                  <w:textInput/>
                </w:ffData>
              </w:fldChar>
            </w:r>
            <w:r>
              <w:rPr>
                <w:color w:val="000000"/>
                <w:lang w:val="de-DE"/>
              </w:rPr>
              <w:instrText xml:space="preserve"> FORMTEXT </w:instrText>
            </w:r>
            <w:r>
              <w:rPr>
                <w:color w:val="000000"/>
                <w:lang w:val="de-DE"/>
              </w:rPr>
            </w:r>
            <w:r>
              <w:rPr>
                <w:color w:val="000000"/>
                <w:lang w:val="de-DE"/>
              </w:rPr>
              <w:fldChar w:fldCharType="separate"/>
            </w:r>
            <w:r>
              <w:rPr>
                <w:color w:val="000000"/>
                <w:lang w:val="de-DE"/>
              </w:rPr>
              <w:t>Grundbuchamt</w:t>
            </w:r>
          </w:p>
          <w:p w:rsidR="001D200D" w:rsidRDefault="001D200D" w:rsidP="001D200D">
            <w:pPr>
              <w:tabs>
                <w:tab w:val="left" w:pos="1985"/>
              </w:tabs>
              <w:spacing w:line="271" w:lineRule="auto"/>
            </w:pPr>
            <w:r>
              <w:rPr>
                <w:color w:val="000000"/>
                <w:lang w:val="de-DE"/>
              </w:rPr>
              <w:t>Waldsee</w:t>
            </w:r>
            <w:r>
              <w:rPr>
                <w:color w:val="000000"/>
                <w:lang w:val="de-DE"/>
              </w:rPr>
              <w:fldChar w:fldCharType="end"/>
            </w:r>
          </w:p>
        </w:tc>
      </w:tr>
      <w:tr w:rsidR="001D200D" w:rsidTr="001D200D">
        <w:trPr>
          <w:trHeight w:hRule="exact" w:val="400"/>
        </w:trPr>
        <w:tc>
          <w:tcPr>
            <w:tcW w:w="9500" w:type="dxa"/>
            <w:gridSpan w:val="5"/>
          </w:tcPr>
          <w:p w:rsidR="001D200D" w:rsidRDefault="001D200D">
            <w:pPr>
              <w:tabs>
                <w:tab w:val="left" w:pos="5103"/>
              </w:tabs>
            </w:pPr>
            <w:r>
              <w:rPr>
                <w:b/>
                <w:sz w:val="28"/>
              </w:rPr>
              <w:t>Grundbuchanmeldung</w:t>
            </w:r>
          </w:p>
        </w:tc>
      </w:tr>
      <w:tr w:rsidR="001D200D" w:rsidTr="001D200D">
        <w:trPr>
          <w:trHeight w:hRule="exact" w:val="800"/>
        </w:trPr>
        <w:tc>
          <w:tcPr>
            <w:tcW w:w="9500" w:type="dxa"/>
            <w:gridSpan w:val="5"/>
          </w:tcPr>
          <w:p w:rsidR="001D200D" w:rsidRDefault="001D200D">
            <w:pPr>
              <w:tabs>
                <w:tab w:val="left" w:pos="5103"/>
              </w:tabs>
              <w:spacing w:line="271" w:lineRule="auto"/>
              <w:rPr>
                <w:u w:val="single"/>
              </w:rPr>
            </w:pPr>
            <w:r>
              <w:t>Der/Die Unterzeichnende ersucht um Vornahme der folgenden Einschreibungen in das Grun</w:t>
            </w:r>
            <w:r>
              <w:t>d</w:t>
            </w:r>
            <w:r>
              <w:t>buch:</w:t>
            </w:r>
          </w:p>
          <w:p w:rsidR="001D200D" w:rsidRDefault="001D200D">
            <w:pPr>
              <w:tabs>
                <w:tab w:val="left" w:pos="5103"/>
              </w:tabs>
              <w:spacing w:line="271" w:lineRule="auto"/>
            </w:pPr>
            <w:r>
              <w:rPr>
                <w:i/>
                <w:sz w:val="18"/>
              </w:rPr>
              <w:t xml:space="preserve">(Es sind alle von einer Einschreibung oder Löschung betroffenen Grundstücke anzugeben; </w:t>
            </w:r>
            <w:r>
              <w:rPr>
                <w:b/>
                <w:i/>
                <w:sz w:val="18"/>
              </w:rPr>
              <w:t>Einschreibungen oder Löschungen werden nur auf den aufgeführten Grundstücken vorgenommen</w:t>
            </w:r>
            <w:r>
              <w:rPr>
                <w:i/>
                <w:sz w:val="18"/>
              </w:rPr>
              <w:t>)</w:t>
            </w:r>
          </w:p>
        </w:tc>
      </w:tr>
      <w:tr w:rsidR="001D200D" w:rsidTr="001D200D">
        <w:trPr>
          <w:trHeight w:hRule="exact" w:val="240"/>
        </w:trPr>
        <w:tc>
          <w:tcPr>
            <w:tcW w:w="2321" w:type="dxa"/>
          </w:tcPr>
          <w:p w:rsidR="001D200D" w:rsidRDefault="001D200D">
            <w:pPr>
              <w:tabs>
                <w:tab w:val="left" w:pos="1985"/>
              </w:tabs>
              <w:spacing w:line="271" w:lineRule="auto"/>
            </w:pPr>
            <w:r>
              <w:t>Gemeinde</w:t>
            </w:r>
          </w:p>
        </w:tc>
        <w:tc>
          <w:tcPr>
            <w:tcW w:w="7179" w:type="dxa"/>
            <w:gridSpan w:val="4"/>
          </w:tcPr>
          <w:p w:rsidR="001D200D" w:rsidRDefault="001D200D">
            <w:pPr>
              <w:tabs>
                <w:tab w:val="left" w:pos="1985"/>
              </w:tabs>
              <w:spacing w:line="271" w:lineRule="auto"/>
            </w:pPr>
            <w:r>
              <w:rPr>
                <w:color w:val="000000"/>
                <w:lang w:val="de-DE"/>
              </w:rPr>
              <w:fldChar w:fldCharType="begin">
                <w:ffData>
                  <w:name w:val="Text1"/>
                  <w:enabled/>
                  <w:calcOnExit w:val="0"/>
                  <w:textInput/>
                </w:ffData>
              </w:fldChar>
            </w:r>
            <w:r>
              <w:rPr>
                <w:color w:val="000000"/>
                <w:lang w:val="de-DE"/>
              </w:rPr>
              <w:instrText xml:space="preserve"> FORMTEXT </w:instrText>
            </w:r>
            <w:r>
              <w:rPr>
                <w:color w:val="000000"/>
                <w:lang w:val="de-DE"/>
              </w:rPr>
            </w:r>
            <w:r>
              <w:rPr>
                <w:color w:val="000000"/>
                <w:lang w:val="de-DE"/>
              </w:rPr>
              <w:fldChar w:fldCharType="separate"/>
            </w:r>
            <w:r>
              <w:rPr>
                <w:color w:val="000000"/>
                <w:lang w:val="de-DE"/>
              </w:rPr>
              <w:t>Seldwyla</w:t>
            </w:r>
            <w:r>
              <w:rPr>
                <w:color w:val="000000"/>
                <w:lang w:val="de-DE"/>
              </w:rPr>
              <w:fldChar w:fldCharType="end"/>
            </w:r>
          </w:p>
        </w:tc>
      </w:tr>
      <w:tr w:rsidR="001D200D" w:rsidTr="001D200D">
        <w:trPr>
          <w:trHeight w:hRule="exact" w:val="760"/>
        </w:trPr>
        <w:tc>
          <w:tcPr>
            <w:tcW w:w="2321" w:type="dxa"/>
          </w:tcPr>
          <w:p w:rsidR="001D200D" w:rsidRDefault="001D200D">
            <w:pPr>
              <w:tabs>
                <w:tab w:val="left" w:pos="1985"/>
              </w:tabs>
              <w:spacing w:line="271" w:lineRule="auto"/>
            </w:pPr>
            <w:r>
              <w:t>Grundbuchblatt Nr.</w:t>
            </w:r>
          </w:p>
        </w:tc>
        <w:tc>
          <w:tcPr>
            <w:tcW w:w="7179" w:type="dxa"/>
            <w:gridSpan w:val="4"/>
          </w:tcPr>
          <w:p w:rsidR="001D200D" w:rsidRDefault="001D200D">
            <w:pPr>
              <w:tabs>
                <w:tab w:val="left" w:pos="1985"/>
              </w:tabs>
              <w:spacing w:line="271" w:lineRule="auto"/>
            </w:pPr>
            <w:r>
              <w:rPr>
                <w:color w:val="000000"/>
                <w:lang w:val="de-DE"/>
              </w:rPr>
              <w:fldChar w:fldCharType="begin">
                <w:ffData>
                  <w:name w:val="Text1"/>
                  <w:enabled/>
                  <w:calcOnExit w:val="0"/>
                  <w:textInput/>
                </w:ffData>
              </w:fldChar>
            </w:r>
            <w:r>
              <w:rPr>
                <w:color w:val="000000"/>
                <w:lang w:val="de-DE"/>
              </w:rPr>
              <w:instrText xml:space="preserve"> FORMTEXT </w:instrText>
            </w:r>
            <w:r>
              <w:rPr>
                <w:color w:val="000000"/>
                <w:lang w:val="de-DE"/>
              </w:rPr>
            </w:r>
            <w:r>
              <w:rPr>
                <w:color w:val="000000"/>
                <w:lang w:val="de-DE"/>
              </w:rPr>
              <w:fldChar w:fldCharType="separate"/>
            </w:r>
            <w:r>
              <w:rPr>
                <w:color w:val="000000"/>
                <w:lang w:val="de-DE"/>
              </w:rPr>
              <w:t>470, 834, 483-1, 483-2, 835-1, 835-2</w:t>
            </w:r>
            <w:r>
              <w:rPr>
                <w:color w:val="000000"/>
                <w:lang w:val="de-DE"/>
              </w:rPr>
              <w:fldChar w:fldCharType="end"/>
            </w:r>
          </w:p>
        </w:tc>
      </w:tr>
      <w:tr w:rsidR="001D200D" w:rsidTr="001D200D">
        <w:trPr>
          <w:trHeight w:hRule="exact" w:val="320"/>
        </w:trPr>
        <w:tc>
          <w:tcPr>
            <w:tcW w:w="9500" w:type="dxa"/>
            <w:gridSpan w:val="5"/>
          </w:tcPr>
          <w:p w:rsidR="001D200D" w:rsidRDefault="001D200D">
            <w:pPr>
              <w:tabs>
                <w:tab w:val="left" w:pos="1985"/>
                <w:tab w:val="left" w:pos="2127"/>
                <w:tab w:val="left" w:pos="5103"/>
              </w:tabs>
              <w:spacing w:line="271" w:lineRule="auto"/>
              <w:rPr>
                <w:b/>
              </w:rPr>
            </w:pPr>
            <w:r>
              <w:rPr>
                <w:b/>
              </w:rPr>
              <w:t>Rechtsgrundausweis</w:t>
            </w:r>
          </w:p>
        </w:tc>
      </w:tr>
      <w:tr w:rsidR="001D200D" w:rsidTr="001D200D">
        <w:trPr>
          <w:trHeight w:hRule="exact" w:val="240"/>
        </w:trPr>
        <w:tc>
          <w:tcPr>
            <w:tcW w:w="2321" w:type="dxa"/>
          </w:tcPr>
          <w:p w:rsidR="001D200D" w:rsidRDefault="001D200D">
            <w:pPr>
              <w:spacing w:line="271" w:lineRule="auto"/>
            </w:pPr>
            <w:r>
              <w:t>Urschrift Nr.</w:t>
            </w:r>
          </w:p>
        </w:tc>
        <w:tc>
          <w:tcPr>
            <w:tcW w:w="7179" w:type="dxa"/>
            <w:gridSpan w:val="4"/>
          </w:tcPr>
          <w:p w:rsidR="001D200D" w:rsidRDefault="001D200D">
            <w:pPr>
              <w:spacing w:line="271" w:lineRule="auto"/>
            </w:pPr>
            <w:r>
              <w:rPr>
                <w:color w:val="000000"/>
                <w:lang w:val="de-DE"/>
              </w:rPr>
              <w:fldChar w:fldCharType="begin">
                <w:ffData>
                  <w:name w:val="Text1"/>
                  <w:enabled/>
                  <w:calcOnExit w:val="0"/>
                  <w:textInput/>
                </w:ffData>
              </w:fldChar>
            </w:r>
            <w:r>
              <w:rPr>
                <w:color w:val="000000"/>
                <w:lang w:val="de-DE"/>
              </w:rPr>
              <w:instrText xml:space="preserve"> FORMTEXT </w:instrText>
            </w:r>
            <w:r>
              <w:rPr>
                <w:color w:val="000000"/>
                <w:lang w:val="de-DE"/>
              </w:rPr>
            </w:r>
            <w:r>
              <w:rPr>
                <w:color w:val="000000"/>
                <w:lang w:val="de-DE"/>
              </w:rPr>
              <w:fldChar w:fldCharType="separate"/>
            </w:r>
            <w:r>
              <w:rPr>
                <w:color w:val="000000"/>
                <w:lang w:val="de-DE"/>
              </w:rPr>
              <w:t>1600</w:t>
            </w:r>
            <w:r>
              <w:rPr>
                <w:color w:val="000000"/>
                <w:lang w:val="de-DE"/>
              </w:rPr>
              <w:fldChar w:fldCharType="end"/>
            </w:r>
          </w:p>
        </w:tc>
      </w:tr>
      <w:tr w:rsidR="001D200D" w:rsidTr="001D200D">
        <w:trPr>
          <w:trHeight w:hRule="exact" w:val="240"/>
        </w:trPr>
        <w:tc>
          <w:tcPr>
            <w:tcW w:w="2321" w:type="dxa"/>
          </w:tcPr>
          <w:p w:rsidR="001D200D" w:rsidRDefault="001D200D">
            <w:pPr>
              <w:spacing w:line="271" w:lineRule="auto"/>
            </w:pPr>
            <w:r>
              <w:t>Geschäftsart</w:t>
            </w:r>
          </w:p>
        </w:tc>
        <w:tc>
          <w:tcPr>
            <w:tcW w:w="7179" w:type="dxa"/>
            <w:gridSpan w:val="4"/>
          </w:tcPr>
          <w:p w:rsidR="001D200D" w:rsidRDefault="001D200D">
            <w:pPr>
              <w:spacing w:line="271" w:lineRule="auto"/>
            </w:pPr>
            <w:r>
              <w:rPr>
                <w:color w:val="000000"/>
                <w:lang w:val="de-DE"/>
              </w:rPr>
              <w:fldChar w:fldCharType="begin">
                <w:ffData>
                  <w:name w:val="Text1"/>
                  <w:enabled/>
                  <w:calcOnExit w:val="0"/>
                  <w:textInput/>
                </w:ffData>
              </w:fldChar>
            </w:r>
            <w:r>
              <w:rPr>
                <w:color w:val="000000"/>
                <w:lang w:val="de-DE"/>
              </w:rPr>
              <w:instrText xml:space="preserve"> FORMTEXT </w:instrText>
            </w:r>
            <w:r>
              <w:rPr>
                <w:color w:val="000000"/>
                <w:lang w:val="de-DE"/>
              </w:rPr>
            </w:r>
            <w:r>
              <w:rPr>
                <w:color w:val="000000"/>
                <w:lang w:val="de-DE"/>
              </w:rPr>
              <w:fldChar w:fldCharType="separate"/>
            </w:r>
            <w:r>
              <w:rPr>
                <w:color w:val="000000"/>
                <w:lang w:val="de-DE"/>
              </w:rPr>
              <w:t>Tauschvertrag</w:t>
            </w:r>
            <w:r>
              <w:rPr>
                <w:color w:val="000000"/>
                <w:lang w:val="de-DE"/>
              </w:rPr>
              <w:fldChar w:fldCharType="end"/>
            </w:r>
          </w:p>
        </w:tc>
      </w:tr>
      <w:tr w:rsidR="001D200D" w:rsidTr="001D200D">
        <w:trPr>
          <w:trHeight w:hRule="exact" w:val="800"/>
        </w:trPr>
        <w:tc>
          <w:tcPr>
            <w:tcW w:w="2321" w:type="dxa"/>
          </w:tcPr>
          <w:p w:rsidR="001D200D" w:rsidRDefault="001D200D">
            <w:pPr>
              <w:spacing w:line="271" w:lineRule="auto"/>
            </w:pPr>
            <w:r>
              <w:t xml:space="preserve">Parteien </w:t>
            </w:r>
            <w:r>
              <w:rPr>
                <w:sz w:val="18"/>
              </w:rPr>
              <w:t>(</w:t>
            </w:r>
            <w:r>
              <w:rPr>
                <w:b/>
                <w:sz w:val="18"/>
              </w:rPr>
              <w:t>summarisch</w:t>
            </w:r>
            <w:r>
              <w:rPr>
                <w:sz w:val="18"/>
              </w:rPr>
              <w:t>)</w:t>
            </w:r>
          </w:p>
        </w:tc>
        <w:tc>
          <w:tcPr>
            <w:tcW w:w="7179" w:type="dxa"/>
            <w:gridSpan w:val="4"/>
          </w:tcPr>
          <w:p w:rsidR="001D200D" w:rsidRDefault="001D200D" w:rsidP="001D200D">
            <w:pPr>
              <w:spacing w:line="271" w:lineRule="auto"/>
            </w:pPr>
            <w:r>
              <w:rPr>
                <w:color w:val="000000"/>
                <w:lang w:val="de-DE"/>
              </w:rPr>
              <w:fldChar w:fldCharType="begin">
                <w:ffData>
                  <w:name w:val="Text1"/>
                  <w:enabled/>
                  <w:calcOnExit w:val="0"/>
                  <w:textInput/>
                </w:ffData>
              </w:fldChar>
            </w:r>
            <w:r>
              <w:rPr>
                <w:color w:val="000000"/>
                <w:lang w:val="de-DE"/>
              </w:rPr>
              <w:instrText xml:space="preserve"> FORMTEXT </w:instrText>
            </w:r>
            <w:r>
              <w:rPr>
                <w:color w:val="000000"/>
                <w:lang w:val="de-DE"/>
              </w:rPr>
            </w:r>
            <w:r>
              <w:rPr>
                <w:color w:val="000000"/>
                <w:lang w:val="de-DE"/>
              </w:rPr>
              <w:fldChar w:fldCharType="separate"/>
            </w:r>
            <w:r>
              <w:rPr>
                <w:color w:val="000000"/>
                <w:lang w:val="de-DE"/>
              </w:rPr>
              <w:t>Moser Hans, Kuhweid, Seldwyla; Muster Max, Kuhweid, Seldwyla</w:t>
            </w:r>
            <w:r>
              <w:rPr>
                <w:color w:val="000000"/>
                <w:lang w:val="de-DE"/>
              </w:rPr>
              <w:fldChar w:fldCharType="end"/>
            </w:r>
          </w:p>
        </w:tc>
      </w:tr>
      <w:tr w:rsidR="001D200D" w:rsidTr="001D200D">
        <w:trPr>
          <w:trHeight w:hRule="exact" w:val="800"/>
        </w:trPr>
        <w:tc>
          <w:tcPr>
            <w:tcW w:w="9500" w:type="dxa"/>
            <w:gridSpan w:val="5"/>
          </w:tcPr>
          <w:p w:rsidR="001D200D" w:rsidRDefault="001D200D">
            <w:pPr>
              <w:tabs>
                <w:tab w:val="left" w:pos="1985"/>
                <w:tab w:val="left" w:pos="2127"/>
                <w:tab w:val="left" w:pos="5103"/>
              </w:tabs>
              <w:spacing w:line="271" w:lineRule="auto"/>
            </w:pPr>
            <w:r>
              <w:rPr>
                <w:b/>
              </w:rPr>
              <w:t>Vorzunehmende Einschreibungen</w:t>
            </w:r>
          </w:p>
          <w:p w:rsidR="001D200D" w:rsidRDefault="001D200D">
            <w:pPr>
              <w:tabs>
                <w:tab w:val="left" w:pos="1985"/>
                <w:tab w:val="left" w:pos="2127"/>
                <w:tab w:val="left" w:pos="5103"/>
              </w:tabs>
              <w:spacing w:line="271" w:lineRule="auto"/>
            </w:pPr>
            <w:r>
              <w:rPr>
                <w:i/>
                <w:sz w:val="18"/>
              </w:rPr>
              <w:t xml:space="preserve">(Gemäss Art. 12 Abs. 2 GBV muss jede vorzunehmende Einschreibung einzeln aufgeführt werden; </w:t>
            </w:r>
            <w:r>
              <w:rPr>
                <w:b/>
                <w:i/>
                <w:sz w:val="18"/>
              </w:rPr>
              <w:t>es werden nur die beantragten Einschreibungen vorgenommen</w:t>
            </w:r>
            <w:r>
              <w:rPr>
                <w:i/>
                <w:sz w:val="18"/>
              </w:rPr>
              <w:t>)</w:t>
            </w:r>
          </w:p>
        </w:tc>
      </w:tr>
      <w:tr w:rsidR="001D200D" w:rsidTr="001D200D">
        <w:trPr>
          <w:trHeight w:hRule="exact" w:val="3600"/>
        </w:trPr>
        <w:tc>
          <w:tcPr>
            <w:tcW w:w="9500" w:type="dxa"/>
            <w:gridSpan w:val="5"/>
          </w:tcPr>
          <w:p w:rsidR="001D200D" w:rsidRDefault="001D200D">
            <w:pPr>
              <w:tabs>
                <w:tab w:val="left" w:pos="1985"/>
                <w:tab w:val="left" w:pos="2127"/>
                <w:tab w:val="left" w:pos="5103"/>
              </w:tabs>
              <w:spacing w:line="271" w:lineRule="auto"/>
              <w:rPr>
                <w:color w:val="000000"/>
                <w:lang w:val="de-DE"/>
              </w:rPr>
            </w:pPr>
            <w:r>
              <w:rPr>
                <w:color w:val="000000"/>
                <w:lang w:val="de-DE"/>
              </w:rPr>
              <w:fldChar w:fldCharType="begin">
                <w:ffData>
                  <w:name w:val=""/>
                  <w:enabled/>
                  <w:calcOnExit w:val="0"/>
                  <w:textInput/>
                </w:ffData>
              </w:fldChar>
            </w:r>
            <w:r>
              <w:rPr>
                <w:color w:val="000000"/>
                <w:lang w:val="de-DE"/>
              </w:rPr>
              <w:instrText xml:space="preserve"> FORMTEXT </w:instrText>
            </w:r>
            <w:r>
              <w:rPr>
                <w:color w:val="000000"/>
                <w:lang w:val="de-DE"/>
              </w:rPr>
            </w:r>
            <w:r>
              <w:rPr>
                <w:color w:val="000000"/>
                <w:lang w:val="de-DE"/>
              </w:rPr>
              <w:fldChar w:fldCharType="separate"/>
            </w:r>
            <w:r>
              <w:rPr>
                <w:color w:val="000000"/>
                <w:lang w:val="de-DE"/>
              </w:rPr>
              <w:t>Eigentum an GB-Nr. 483 (bzw. Nrn. 483-1 und 483-2) an Hans Moser und Vereinigung mit Nr. 470</w:t>
            </w:r>
          </w:p>
          <w:p w:rsidR="001D200D" w:rsidRDefault="001D200D">
            <w:pPr>
              <w:tabs>
                <w:tab w:val="left" w:pos="1985"/>
                <w:tab w:val="left" w:pos="2127"/>
                <w:tab w:val="left" w:pos="5103"/>
              </w:tabs>
              <w:spacing w:line="271" w:lineRule="auto"/>
              <w:rPr>
                <w:color w:val="000000"/>
                <w:lang w:val="de-DE"/>
              </w:rPr>
            </w:pPr>
            <w:r>
              <w:rPr>
                <w:color w:val="000000"/>
                <w:lang w:val="de-DE"/>
              </w:rPr>
              <w:t>Bereinigungen (und Schliessung GB 483)</w:t>
            </w:r>
          </w:p>
          <w:p w:rsidR="001D200D" w:rsidRDefault="001D200D">
            <w:pPr>
              <w:tabs>
                <w:tab w:val="left" w:pos="1985"/>
                <w:tab w:val="left" w:pos="2127"/>
                <w:tab w:val="left" w:pos="5103"/>
              </w:tabs>
              <w:spacing w:line="271" w:lineRule="auto"/>
              <w:rPr>
                <w:color w:val="000000"/>
                <w:lang w:val="de-DE"/>
              </w:rPr>
            </w:pPr>
          </w:p>
          <w:p w:rsidR="001D200D" w:rsidRDefault="001D200D">
            <w:pPr>
              <w:tabs>
                <w:tab w:val="left" w:pos="1985"/>
                <w:tab w:val="left" w:pos="2127"/>
                <w:tab w:val="left" w:pos="5103"/>
              </w:tabs>
              <w:spacing w:line="271" w:lineRule="auto"/>
              <w:rPr>
                <w:color w:val="000000"/>
                <w:lang w:val="de-DE"/>
              </w:rPr>
            </w:pPr>
            <w:r>
              <w:rPr>
                <w:color w:val="000000"/>
                <w:lang w:val="de-DE"/>
              </w:rPr>
              <w:t>Eigentum an 2'189 m2 Land von GB Nr. 834 an Max Muster und Vereinigung mit Nr. 835 (bzw. 835-1 und 835-2)</w:t>
            </w:r>
          </w:p>
          <w:p w:rsidR="001D200D" w:rsidRDefault="001D200D">
            <w:pPr>
              <w:tabs>
                <w:tab w:val="left" w:pos="1985"/>
                <w:tab w:val="left" w:pos="2127"/>
                <w:tab w:val="left" w:pos="5103"/>
              </w:tabs>
              <w:spacing w:line="271" w:lineRule="auto"/>
              <w:rPr>
                <w:color w:val="000000"/>
                <w:lang w:val="de-DE"/>
              </w:rPr>
            </w:pPr>
            <w:r>
              <w:rPr>
                <w:color w:val="000000"/>
                <w:lang w:val="de-DE"/>
              </w:rPr>
              <w:t>Bereinigungen</w:t>
            </w:r>
          </w:p>
          <w:p w:rsidR="001D200D" w:rsidRDefault="001D200D">
            <w:pPr>
              <w:tabs>
                <w:tab w:val="left" w:pos="1985"/>
                <w:tab w:val="left" w:pos="2127"/>
                <w:tab w:val="left" w:pos="5103"/>
              </w:tabs>
              <w:spacing w:line="271" w:lineRule="auto"/>
              <w:rPr>
                <w:color w:val="000000"/>
                <w:lang w:val="de-DE"/>
              </w:rPr>
            </w:pPr>
          </w:p>
          <w:p w:rsidR="001D200D" w:rsidRDefault="001D200D">
            <w:pPr>
              <w:tabs>
                <w:tab w:val="left" w:pos="1985"/>
                <w:tab w:val="left" w:pos="2127"/>
                <w:tab w:val="left" w:pos="5103"/>
              </w:tabs>
              <w:spacing w:line="271" w:lineRule="auto"/>
              <w:rPr>
                <w:color w:val="000000"/>
                <w:lang w:val="de-DE"/>
              </w:rPr>
            </w:pPr>
            <w:r>
              <w:rPr>
                <w:color w:val="000000"/>
                <w:lang w:val="de-DE"/>
              </w:rPr>
              <w:t>Löschung Vormerkungen:</w:t>
            </w:r>
          </w:p>
          <w:p w:rsidR="001D200D" w:rsidRDefault="001D200D">
            <w:pPr>
              <w:tabs>
                <w:tab w:val="left" w:pos="1985"/>
                <w:tab w:val="left" w:pos="2127"/>
                <w:tab w:val="left" w:pos="5103"/>
              </w:tabs>
              <w:spacing w:line="271" w:lineRule="auto"/>
              <w:rPr>
                <w:color w:val="000000"/>
                <w:lang w:val="de-DE"/>
              </w:rPr>
            </w:pPr>
            <w:r>
              <w:rPr>
                <w:color w:val="000000"/>
                <w:lang w:val="de-DE"/>
              </w:rPr>
              <w:t>- Abänderung des gesetzlichen VKR (Miteig), 21.1.1983, Beleg …</w:t>
            </w:r>
          </w:p>
          <w:p w:rsidR="001D200D" w:rsidRDefault="001D200D">
            <w:pPr>
              <w:tabs>
                <w:tab w:val="left" w:pos="1985"/>
                <w:tab w:val="left" w:pos="2127"/>
                <w:tab w:val="left" w:pos="5103"/>
              </w:tabs>
              <w:spacing w:line="271" w:lineRule="auto"/>
              <w:rPr>
                <w:color w:val="000000"/>
                <w:lang w:val="de-DE"/>
              </w:rPr>
            </w:pPr>
            <w:r>
              <w:rPr>
                <w:color w:val="000000"/>
                <w:lang w:val="de-DE"/>
              </w:rPr>
              <w:t>- Gewinnanteilsrecht zG Miterben, 21.1.1983, Beleg …</w:t>
            </w:r>
          </w:p>
          <w:p w:rsidR="001D200D" w:rsidRDefault="001D200D">
            <w:pPr>
              <w:tabs>
                <w:tab w:val="left" w:pos="1985"/>
                <w:tab w:val="left" w:pos="2127"/>
                <w:tab w:val="left" w:pos="5103"/>
              </w:tabs>
              <w:spacing w:line="271" w:lineRule="auto"/>
            </w:pPr>
            <w:r>
              <w:rPr>
                <w:color w:val="000000"/>
                <w:lang w:val="de-DE"/>
              </w:rPr>
              <w:t>- Lim. VKR bis 31.3.2004 zG Muster Heinz, 31.3.1994, Beleg …</w:t>
            </w:r>
            <w:r>
              <w:rPr>
                <w:color w:val="000000"/>
                <w:lang w:val="de-DE"/>
              </w:rPr>
              <w:fldChar w:fldCharType="end"/>
            </w:r>
          </w:p>
        </w:tc>
      </w:tr>
      <w:tr w:rsidR="001D200D" w:rsidTr="001D200D">
        <w:trPr>
          <w:trHeight w:hRule="exact" w:val="80"/>
        </w:trPr>
        <w:tc>
          <w:tcPr>
            <w:tcW w:w="9500" w:type="dxa"/>
            <w:gridSpan w:val="5"/>
          </w:tcPr>
          <w:p w:rsidR="001D200D" w:rsidRDefault="001D200D">
            <w:pPr>
              <w:tabs>
                <w:tab w:val="left" w:pos="5103"/>
              </w:tabs>
              <w:spacing w:line="271" w:lineRule="auto"/>
            </w:pPr>
          </w:p>
        </w:tc>
      </w:tr>
      <w:tr w:rsidR="001D200D" w:rsidTr="001D200D">
        <w:trPr>
          <w:trHeight w:hRule="exact" w:val="480"/>
        </w:trPr>
        <w:tc>
          <w:tcPr>
            <w:tcW w:w="5417" w:type="dxa"/>
            <w:gridSpan w:val="4"/>
          </w:tcPr>
          <w:p w:rsidR="001D200D" w:rsidRDefault="001D200D">
            <w:pPr>
              <w:tabs>
                <w:tab w:val="left" w:pos="5103"/>
              </w:tabs>
              <w:rPr>
                <w:b/>
                <w:sz w:val="18"/>
              </w:rPr>
            </w:pPr>
            <w:r>
              <w:rPr>
                <w:b/>
                <w:sz w:val="18"/>
              </w:rPr>
              <w:t xml:space="preserve">Bitte    </w:t>
            </w:r>
            <w:r>
              <w:rPr>
                <w:b/>
                <w:color w:val="000000"/>
                <w:lang w:val="de-DE"/>
              </w:rPr>
              <w:fldChar w:fldCharType="begin">
                <w:ffData>
                  <w:name w:val="Text1"/>
                  <w:enabled/>
                  <w:calcOnExit w:val="0"/>
                  <w:textInput/>
                </w:ffData>
              </w:fldChar>
            </w:r>
            <w:r>
              <w:rPr>
                <w:b/>
                <w:color w:val="000000"/>
                <w:lang w:val="de-DE"/>
              </w:rPr>
              <w:instrText xml:space="preserve"> FORMTEXT </w:instrText>
            </w:r>
            <w:r>
              <w:rPr>
                <w:b/>
                <w:color w:val="000000"/>
                <w:lang w:val="de-DE"/>
              </w:rPr>
            </w:r>
            <w:r>
              <w:rPr>
                <w:b/>
                <w:color w:val="000000"/>
                <w:lang w:val="de-DE"/>
              </w:rPr>
              <w:fldChar w:fldCharType="separate"/>
            </w:r>
            <w:r>
              <w:rPr>
                <w:b/>
                <w:color w:val="000000"/>
                <w:lang w:val="de-DE"/>
              </w:rPr>
              <w:t>0</w:t>
            </w:r>
            <w:r>
              <w:rPr>
                <w:b/>
                <w:color w:val="000000"/>
                <w:lang w:val="de-DE"/>
              </w:rPr>
              <w:fldChar w:fldCharType="end"/>
            </w:r>
            <w:r>
              <w:rPr>
                <w:b/>
                <w:sz w:val="18"/>
              </w:rPr>
              <w:t xml:space="preserve">    Eintragungsbescheinigung(en) zustellen.</w:t>
            </w:r>
          </w:p>
          <w:p w:rsidR="001D200D" w:rsidRDefault="001D200D">
            <w:pPr>
              <w:tabs>
                <w:tab w:val="left" w:pos="5103"/>
              </w:tabs>
              <w:rPr>
                <w:sz w:val="18"/>
              </w:rPr>
            </w:pPr>
            <w:r>
              <w:rPr>
                <w:sz w:val="18"/>
              </w:rPr>
              <w:t>Eingereichte Schuldbriefe / Beilagen / Bemerkungen:</w:t>
            </w:r>
          </w:p>
        </w:tc>
        <w:tc>
          <w:tcPr>
            <w:tcW w:w="4083" w:type="dxa"/>
          </w:tcPr>
          <w:p w:rsidR="001D200D" w:rsidRDefault="001D200D">
            <w:pPr>
              <w:tabs>
                <w:tab w:val="left" w:pos="5103"/>
              </w:tabs>
            </w:pPr>
            <w:r>
              <w:rPr>
                <w:b/>
              </w:rPr>
              <w:t>Unterschrift</w:t>
            </w:r>
            <w:r>
              <w:t xml:space="preserve"> </w:t>
            </w:r>
            <w:r>
              <w:rPr>
                <w:b/>
              </w:rPr>
              <w:t>der anmeldenden Person</w:t>
            </w:r>
          </w:p>
        </w:tc>
      </w:tr>
      <w:tr w:rsidR="001D200D" w:rsidTr="001D200D">
        <w:trPr>
          <w:trHeight w:hRule="exact" w:val="2080"/>
        </w:trPr>
        <w:tc>
          <w:tcPr>
            <w:tcW w:w="5417" w:type="dxa"/>
            <w:gridSpan w:val="4"/>
          </w:tcPr>
          <w:p w:rsidR="001D200D" w:rsidRDefault="001D200D">
            <w:pPr>
              <w:pStyle w:val="BetreffA"/>
              <w:spacing w:before="0" w:after="0"/>
              <w:rPr>
                <w:rFonts w:ascii="Arial" w:hAnsi="Arial"/>
                <w:b w:val="0"/>
                <w:color w:val="000000"/>
                <w:sz w:val="20"/>
                <w:lang w:val="de-DE"/>
              </w:rPr>
            </w:pPr>
            <w:r>
              <w:rPr>
                <w:rFonts w:ascii="Arial" w:hAnsi="Arial"/>
                <w:b w:val="0"/>
                <w:color w:val="000000"/>
                <w:sz w:val="20"/>
                <w:lang w:val="de-DE"/>
              </w:rPr>
              <w:fldChar w:fldCharType="begin">
                <w:ffData>
                  <w:name w:val=""/>
                  <w:enabled/>
                  <w:calcOnExit w:val="0"/>
                  <w:textInput/>
                </w:ffData>
              </w:fldChar>
            </w:r>
            <w:r>
              <w:rPr>
                <w:rFonts w:ascii="Arial" w:hAnsi="Arial"/>
                <w:b w:val="0"/>
                <w:color w:val="000000"/>
                <w:sz w:val="20"/>
                <w:lang w:val="de-DE"/>
              </w:rPr>
              <w:instrText xml:space="preserve"> FORMTEXT </w:instrText>
            </w:r>
            <w:r>
              <w:rPr>
                <w:rFonts w:ascii="Arial" w:hAnsi="Arial"/>
                <w:b w:val="0"/>
                <w:color w:val="000000"/>
                <w:sz w:val="20"/>
                <w:lang w:val="de-DE"/>
              </w:rPr>
            </w:r>
            <w:r>
              <w:rPr>
                <w:rFonts w:ascii="Arial" w:hAnsi="Arial"/>
                <w:b w:val="0"/>
                <w:color w:val="000000"/>
                <w:sz w:val="20"/>
                <w:lang w:val="de-DE"/>
              </w:rPr>
              <w:fldChar w:fldCharType="separate"/>
            </w:r>
            <w:r>
              <w:rPr>
                <w:rFonts w:ascii="Arial" w:hAnsi="Arial"/>
                <w:b w:val="0"/>
                <w:color w:val="000000"/>
                <w:sz w:val="20"/>
                <w:lang w:val="de-DE"/>
              </w:rPr>
              <w:t>Bewilligung BGBB</w:t>
            </w:r>
          </w:p>
          <w:p w:rsidR="001D200D" w:rsidRDefault="001D200D">
            <w:pPr>
              <w:pStyle w:val="BetreffA"/>
              <w:spacing w:before="0" w:after="0"/>
              <w:rPr>
                <w:rFonts w:ascii="Arial" w:hAnsi="Arial"/>
                <w:b w:val="0"/>
                <w:color w:val="000000"/>
                <w:sz w:val="20"/>
                <w:lang w:val="de-DE"/>
              </w:rPr>
            </w:pPr>
            <w:r>
              <w:rPr>
                <w:rFonts w:ascii="Arial" w:hAnsi="Arial"/>
                <w:b w:val="0"/>
                <w:color w:val="000000"/>
                <w:sz w:val="20"/>
                <w:lang w:val="de-DE"/>
              </w:rPr>
              <w:t>2 Grundpfandtitel auf Nrn. 470 und 834</w:t>
            </w:r>
          </w:p>
          <w:p w:rsidR="001D200D" w:rsidRDefault="001D200D">
            <w:pPr>
              <w:pStyle w:val="BetreffA"/>
              <w:spacing w:before="0" w:after="0"/>
              <w:rPr>
                <w:rFonts w:ascii="Arial" w:hAnsi="Arial"/>
                <w:b w:val="0"/>
                <w:color w:val="000000"/>
                <w:sz w:val="20"/>
                <w:lang w:val="de-DE"/>
              </w:rPr>
            </w:pPr>
            <w:r>
              <w:rPr>
                <w:rFonts w:ascii="Arial" w:hAnsi="Arial"/>
                <w:b w:val="0"/>
                <w:color w:val="000000"/>
                <w:sz w:val="20"/>
                <w:lang w:val="de-DE"/>
              </w:rPr>
              <w:t>7 Grundpfandtitel auf Nrn. 483, 835, usw.</w:t>
            </w:r>
          </w:p>
          <w:p w:rsidR="001D200D" w:rsidRDefault="001D200D">
            <w:pPr>
              <w:pStyle w:val="BetreffA"/>
              <w:spacing w:before="0" w:after="0"/>
              <w:rPr>
                <w:rFonts w:ascii="Arial" w:hAnsi="Arial"/>
                <w:b w:val="0"/>
                <w:color w:val="000000"/>
                <w:sz w:val="20"/>
                <w:lang w:val="de-DE"/>
              </w:rPr>
            </w:pPr>
            <w:r>
              <w:rPr>
                <w:rFonts w:ascii="Arial" w:hAnsi="Arial"/>
                <w:b w:val="0"/>
                <w:color w:val="000000"/>
                <w:sz w:val="20"/>
                <w:lang w:val="de-DE"/>
              </w:rPr>
              <w:t>Erbenscheine Moser Ernst und Muster Ernst sel.</w:t>
            </w:r>
          </w:p>
          <w:p w:rsidR="001D200D" w:rsidRDefault="001D200D">
            <w:pPr>
              <w:pStyle w:val="BetreffA"/>
              <w:spacing w:before="0" w:after="0"/>
              <w:rPr>
                <w:rFonts w:ascii="Arial" w:hAnsi="Arial"/>
                <w:b w:val="0"/>
                <w:color w:val="000000"/>
                <w:sz w:val="20"/>
                <w:lang w:val="de-DE"/>
              </w:rPr>
            </w:pPr>
            <w:r>
              <w:rPr>
                <w:rFonts w:ascii="Arial" w:hAnsi="Arial"/>
                <w:b w:val="0"/>
                <w:color w:val="000000"/>
                <w:sz w:val="20"/>
                <w:lang w:val="de-DE"/>
              </w:rPr>
              <w:t>Pfandentlassungsbewilligungen</w:t>
            </w:r>
          </w:p>
          <w:p w:rsidR="001D200D" w:rsidRDefault="001D200D">
            <w:pPr>
              <w:pStyle w:val="BetreffA"/>
              <w:spacing w:before="0" w:after="0"/>
              <w:rPr>
                <w:rFonts w:ascii="Arial" w:hAnsi="Arial"/>
                <w:b w:val="0"/>
                <w:color w:val="000000"/>
                <w:sz w:val="20"/>
                <w:lang w:val="de-DE"/>
              </w:rPr>
            </w:pPr>
            <w:r>
              <w:rPr>
                <w:rFonts w:ascii="Arial" w:hAnsi="Arial"/>
                <w:b w:val="0"/>
                <w:color w:val="000000"/>
                <w:sz w:val="20"/>
                <w:lang w:val="de-DE"/>
              </w:rPr>
              <w:t>Teil-Löschungsbewilligungen</w:t>
            </w:r>
          </w:p>
          <w:p w:rsidR="001D200D" w:rsidRDefault="001D200D">
            <w:pPr>
              <w:pStyle w:val="BetreffA"/>
              <w:spacing w:before="0" w:after="0"/>
              <w:rPr>
                <w:rFonts w:ascii="Arial" w:hAnsi="Arial"/>
                <w:b w:val="0"/>
                <w:color w:val="000000"/>
                <w:sz w:val="20"/>
                <w:lang w:val="de-DE"/>
              </w:rPr>
            </w:pPr>
            <w:r>
              <w:rPr>
                <w:rFonts w:ascii="Arial" w:hAnsi="Arial"/>
                <w:b w:val="0"/>
                <w:color w:val="000000"/>
                <w:sz w:val="20"/>
                <w:lang w:val="de-DE"/>
              </w:rPr>
              <w:t>Löschungsbewilligungen</w:t>
            </w:r>
            <w:r>
              <w:rPr>
                <w:rFonts w:ascii="Arial" w:hAnsi="Arial"/>
                <w:b w:val="0"/>
                <w:color w:val="000000"/>
                <w:sz w:val="20"/>
                <w:lang w:val="de-DE"/>
              </w:rPr>
              <w:fldChar w:fldCharType="end"/>
            </w:r>
          </w:p>
        </w:tc>
        <w:tc>
          <w:tcPr>
            <w:tcW w:w="4083" w:type="dxa"/>
          </w:tcPr>
          <w:p w:rsidR="001D200D" w:rsidRDefault="001D200D">
            <w:pPr>
              <w:pStyle w:val="BetreffA"/>
              <w:spacing w:before="0" w:after="0"/>
              <w:rPr>
                <w:b w:val="0"/>
                <w:sz w:val="20"/>
              </w:rPr>
            </w:pPr>
            <w:r>
              <w:rPr>
                <w:rFonts w:ascii="Arial" w:hAnsi="Arial"/>
                <w:b w:val="0"/>
                <w:color w:val="000000"/>
                <w:sz w:val="20"/>
                <w:lang w:val="de-DE"/>
              </w:rPr>
              <w:fldChar w:fldCharType="begin">
                <w:ffData>
                  <w:name w:val=""/>
                  <w:enabled/>
                  <w:calcOnExit w:val="0"/>
                  <w:textInput/>
                </w:ffData>
              </w:fldChar>
            </w:r>
            <w:r>
              <w:rPr>
                <w:rFonts w:ascii="Arial" w:hAnsi="Arial"/>
                <w:b w:val="0"/>
                <w:color w:val="000000"/>
                <w:sz w:val="20"/>
                <w:lang w:val="de-DE"/>
              </w:rPr>
              <w:instrText xml:space="preserve"> FORMTEXT </w:instrText>
            </w:r>
            <w:r>
              <w:rPr>
                <w:rFonts w:ascii="Arial" w:hAnsi="Arial"/>
                <w:b w:val="0"/>
                <w:color w:val="000000"/>
                <w:sz w:val="20"/>
                <w:lang w:val="de-DE"/>
              </w:rPr>
            </w:r>
            <w:r>
              <w:rPr>
                <w:rFonts w:ascii="Arial" w:hAnsi="Arial"/>
                <w:b w:val="0"/>
                <w:color w:val="000000"/>
                <w:sz w:val="20"/>
                <w:lang w:val="de-DE"/>
              </w:rPr>
              <w:fldChar w:fldCharType="separate"/>
            </w:r>
            <w:r>
              <w:rPr>
                <w:rFonts w:ascii="Arial" w:hAnsi="Arial"/>
                <w:b w:val="0"/>
                <w:color w:val="000000"/>
                <w:sz w:val="20"/>
                <w:lang w:val="de-DE"/>
              </w:rPr>
              <w:t> </w:t>
            </w:r>
            <w:r>
              <w:rPr>
                <w:rFonts w:ascii="Arial" w:hAnsi="Arial"/>
                <w:b w:val="0"/>
                <w:color w:val="000000"/>
                <w:sz w:val="20"/>
                <w:lang w:val="de-DE"/>
              </w:rPr>
              <w:t> </w:t>
            </w:r>
            <w:r>
              <w:rPr>
                <w:rFonts w:ascii="Arial" w:hAnsi="Arial"/>
                <w:b w:val="0"/>
                <w:color w:val="000000"/>
                <w:sz w:val="20"/>
                <w:lang w:val="de-DE"/>
              </w:rPr>
              <w:t> </w:t>
            </w:r>
            <w:r>
              <w:rPr>
                <w:rFonts w:ascii="Arial" w:hAnsi="Arial"/>
                <w:b w:val="0"/>
                <w:color w:val="000000"/>
                <w:sz w:val="20"/>
                <w:lang w:val="de-DE"/>
              </w:rPr>
              <w:t> </w:t>
            </w:r>
            <w:r>
              <w:rPr>
                <w:rFonts w:ascii="Arial" w:hAnsi="Arial"/>
                <w:b w:val="0"/>
                <w:color w:val="000000"/>
                <w:sz w:val="20"/>
                <w:lang w:val="de-DE"/>
              </w:rPr>
              <w:t> </w:t>
            </w:r>
            <w:r>
              <w:rPr>
                <w:rFonts w:ascii="Arial" w:hAnsi="Arial"/>
                <w:b w:val="0"/>
                <w:color w:val="000000"/>
                <w:sz w:val="20"/>
                <w:lang w:val="de-DE"/>
              </w:rPr>
              <w:fldChar w:fldCharType="end"/>
            </w:r>
          </w:p>
        </w:tc>
      </w:tr>
    </w:tbl>
    <w:p w:rsidR="00902C4B" w:rsidRDefault="00902C4B" w:rsidP="00902C4B">
      <w:pPr>
        <w:rPr>
          <w:szCs w:val="22"/>
        </w:rPr>
      </w:pPr>
    </w:p>
    <w:p w:rsidR="00902C4B" w:rsidRDefault="00902C4B" w:rsidP="00902C4B">
      <w:pPr>
        <w:spacing w:after="200"/>
        <w:rPr>
          <w:szCs w:val="22"/>
        </w:rPr>
      </w:pPr>
      <w:r>
        <w:rPr>
          <w:szCs w:val="22"/>
        </w:rPr>
        <w:br w:type="page"/>
      </w:r>
    </w:p>
    <w:p w:rsidR="00902C4B" w:rsidRDefault="00155965" w:rsidP="00902C4B">
      <w:pPr>
        <w:rPr>
          <w:szCs w:val="22"/>
        </w:rPr>
      </w:pPr>
      <w:r>
        <w:rPr>
          <w:noProof/>
          <w:szCs w:val="22"/>
          <w:lang w:eastAsia="de-CH"/>
        </w:rPr>
        <w:lastRenderedPageBreak/>
        <w:drawing>
          <wp:inline distT="0" distB="0" distL="0" distR="0">
            <wp:extent cx="5817870" cy="8231505"/>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Deklaration HG zum Tausch.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817870" cy="8231505"/>
                    </a:xfrm>
                    <a:prstGeom prst="rect">
                      <a:avLst/>
                    </a:prstGeom>
                  </pic:spPr>
                </pic:pic>
              </a:graphicData>
            </a:graphic>
          </wp:inline>
        </w:drawing>
      </w:r>
    </w:p>
    <w:p w:rsidR="00902C4B" w:rsidRDefault="00902C4B" w:rsidP="00902C4B">
      <w:pPr>
        <w:spacing w:after="200"/>
        <w:rPr>
          <w:szCs w:val="22"/>
        </w:rPr>
      </w:pPr>
      <w:r>
        <w:rPr>
          <w:szCs w:val="22"/>
        </w:rPr>
        <w:br w:type="page"/>
      </w:r>
    </w:p>
    <w:p w:rsidR="004502C3" w:rsidRPr="005F15DA" w:rsidRDefault="004502C3" w:rsidP="004502C3">
      <w:pPr>
        <w:pStyle w:val="berschrift2"/>
      </w:pPr>
      <w:bookmarkStart w:id="213" w:name="_Toc432175730"/>
      <w:r w:rsidRPr="005F15DA">
        <w:lastRenderedPageBreak/>
        <w:t>X</w:t>
      </w:r>
      <w:r>
        <w:t>II</w:t>
      </w:r>
      <w:r w:rsidRPr="005F15DA">
        <w:t xml:space="preserve">. </w:t>
      </w:r>
      <w:r>
        <w:t>Ausfüllen Steuererklärungen bei Todesfall</w:t>
      </w:r>
      <w:bookmarkEnd w:id="213"/>
    </w:p>
    <w:p w:rsidR="004502C3" w:rsidRDefault="004502C3" w:rsidP="004502C3">
      <w:pPr>
        <w:rPr>
          <w:szCs w:val="22"/>
        </w:rPr>
      </w:pPr>
    </w:p>
    <w:p w:rsidR="008F0A4F" w:rsidRDefault="008F0A4F" w:rsidP="008F0A4F">
      <w:pPr>
        <w:tabs>
          <w:tab w:val="left" w:pos="5400"/>
          <w:tab w:val="decimal" w:pos="6660"/>
          <w:tab w:val="left" w:pos="7200"/>
          <w:tab w:val="decimal" w:pos="8460"/>
        </w:tabs>
        <w:rPr>
          <w:rFonts w:ascii="Book Antiqua" w:hAnsi="Book Antiqua"/>
          <w:sz w:val="24"/>
        </w:rPr>
      </w:pPr>
    </w:p>
    <w:p w:rsidR="008F0A4F" w:rsidRPr="00971DED" w:rsidRDefault="008F0A4F" w:rsidP="008F0A4F">
      <w:pPr>
        <w:pStyle w:val="berschrift3"/>
      </w:pPr>
      <w:bookmarkStart w:id="214" w:name="_Toc431836417"/>
      <w:bookmarkStart w:id="215" w:name="_Toc432175731"/>
      <w:r>
        <w:t>A.</w:t>
      </w:r>
      <w:r>
        <w:tab/>
        <w:t>Mit Liegenschaft des überlebenden Ehegatten</w:t>
      </w:r>
      <w:bookmarkEnd w:id="214"/>
      <w:bookmarkEnd w:id="215"/>
    </w:p>
    <w:p w:rsidR="008F0A4F" w:rsidRPr="00971DED" w:rsidRDefault="008F0A4F" w:rsidP="008F0A4F">
      <w:pPr>
        <w:tabs>
          <w:tab w:val="left" w:pos="426"/>
          <w:tab w:val="right" w:pos="8222"/>
        </w:tabs>
        <w:rPr>
          <w:rFonts w:ascii="Book Antiqua" w:hAnsi="Book Antiqua"/>
          <w:sz w:val="24"/>
        </w:rPr>
      </w:pPr>
      <w:r w:rsidRPr="00971DED">
        <w:rPr>
          <w:rFonts w:ascii="Book Antiqua" w:hAnsi="Book Antiqua"/>
          <w:sz w:val="24"/>
        </w:rPr>
        <w:t>Die Errichtung eines Steuerinventars wurde verfügt.</w:t>
      </w:r>
    </w:p>
    <w:p w:rsidR="008F0A4F" w:rsidRPr="00971DED" w:rsidRDefault="008F0A4F" w:rsidP="008F0A4F">
      <w:pPr>
        <w:tabs>
          <w:tab w:val="left" w:pos="426"/>
          <w:tab w:val="right" w:pos="8222"/>
        </w:tabs>
        <w:rPr>
          <w:rFonts w:ascii="Book Antiqua" w:hAnsi="Book Antiqua"/>
          <w:sz w:val="24"/>
        </w:rPr>
      </w:pPr>
    </w:p>
    <w:p w:rsidR="008F0A4F" w:rsidRPr="00971DED" w:rsidRDefault="008F0A4F" w:rsidP="008F0A4F">
      <w:pPr>
        <w:tabs>
          <w:tab w:val="left" w:pos="426"/>
          <w:tab w:val="right" w:pos="8222"/>
        </w:tabs>
        <w:rPr>
          <w:rFonts w:ascii="Book Antiqua" w:hAnsi="Book Antiqua"/>
          <w:sz w:val="24"/>
        </w:rPr>
      </w:pPr>
      <w:r w:rsidRPr="00971DED">
        <w:rPr>
          <w:rFonts w:ascii="Book Antiqua" w:hAnsi="Book Antiqua"/>
          <w:sz w:val="24"/>
        </w:rPr>
        <w:t>Bei der Durchführung der Inventaraufnahme hat der Notar folgende Feststellungen getroffen:</w:t>
      </w:r>
    </w:p>
    <w:p w:rsidR="008F0A4F" w:rsidRPr="00971DED" w:rsidRDefault="008F0A4F" w:rsidP="008F0A4F">
      <w:pPr>
        <w:tabs>
          <w:tab w:val="left" w:pos="426"/>
          <w:tab w:val="right" w:pos="8222"/>
        </w:tabs>
        <w:rPr>
          <w:rFonts w:ascii="Book Antiqua" w:hAnsi="Book Antiqua"/>
          <w:sz w:val="24"/>
        </w:rPr>
      </w:pPr>
    </w:p>
    <w:p w:rsidR="008F0A4F" w:rsidRPr="00971DED" w:rsidRDefault="008F0A4F" w:rsidP="008F0A4F">
      <w:pPr>
        <w:tabs>
          <w:tab w:val="left" w:pos="426"/>
          <w:tab w:val="right" w:pos="8222"/>
        </w:tabs>
        <w:rPr>
          <w:rFonts w:ascii="Book Antiqua" w:hAnsi="Book Antiqua"/>
          <w:sz w:val="24"/>
        </w:rPr>
      </w:pPr>
      <w:r w:rsidRPr="00971DED">
        <w:rPr>
          <w:rFonts w:ascii="Book Antiqua" w:hAnsi="Book Antiqua"/>
          <w:b/>
          <w:sz w:val="24"/>
        </w:rPr>
        <w:t>Eigengut Ehefrau</w:t>
      </w:r>
      <w:r w:rsidRPr="00971DED">
        <w:rPr>
          <w:rFonts w:ascii="Book Antiqua" w:hAnsi="Book Antiqua"/>
          <w:sz w:val="24"/>
        </w:rPr>
        <w:t>:</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w:t>
      </w:r>
      <w:r w:rsidRPr="00971DED">
        <w:rPr>
          <w:rFonts w:ascii="Book Antiqua" w:hAnsi="Book Antiqua"/>
          <w:sz w:val="24"/>
        </w:rPr>
        <w:tab/>
      </w:r>
      <w:r w:rsidRPr="00971DED">
        <w:rPr>
          <w:rFonts w:ascii="Book Antiqua" w:hAnsi="Book Antiqua"/>
          <w:sz w:val="24"/>
          <w:u w:val="single"/>
        </w:rPr>
        <w:t>Sparkonto</w:t>
      </w:r>
      <w:r w:rsidRPr="00971DED">
        <w:rPr>
          <w:rFonts w:ascii="Book Antiqua" w:hAnsi="Book Antiqua"/>
          <w:sz w:val="24"/>
        </w:rPr>
        <w:t xml:space="preserve"> BEKB, Kapital</w:t>
      </w:r>
      <w:r w:rsidRPr="00971DED">
        <w:rPr>
          <w:rFonts w:ascii="Book Antiqua" w:hAnsi="Book Antiqua"/>
          <w:sz w:val="24"/>
        </w:rPr>
        <w:tab/>
      </w:r>
      <w:r w:rsidRPr="00971DED">
        <w:rPr>
          <w:rFonts w:ascii="Book Antiqua" w:hAnsi="Book Antiqua"/>
          <w:sz w:val="24"/>
        </w:rPr>
        <w:tab/>
      </w:r>
      <w:r w:rsidRPr="00971DED">
        <w:rPr>
          <w:rFonts w:ascii="Book Antiqua" w:hAnsi="Book Antiqua"/>
          <w:sz w:val="24"/>
        </w:rPr>
        <w:tab/>
        <w:t>Fr.</w:t>
      </w:r>
      <w:r w:rsidRPr="00971DED">
        <w:rPr>
          <w:rFonts w:ascii="Book Antiqua" w:hAnsi="Book Antiqua"/>
          <w:sz w:val="24"/>
        </w:rPr>
        <w:tab/>
        <w:t>50'000.—</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t>Marchzins 12.9.</w:t>
      </w:r>
      <w:r w:rsidRPr="00971DED">
        <w:rPr>
          <w:rFonts w:ascii="Book Antiqua" w:hAnsi="Book Antiqua"/>
          <w:sz w:val="24"/>
        </w:rPr>
        <w:tab/>
        <w:t>Fr.</w:t>
      </w:r>
      <w:r w:rsidRPr="00971DED">
        <w:rPr>
          <w:rFonts w:ascii="Book Antiqua" w:hAnsi="Book Antiqua"/>
          <w:sz w:val="24"/>
        </w:rPr>
        <w:tab/>
        <w:t>200.—</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t>Zins brutto 1.1. - 31.12.</w:t>
      </w:r>
      <w:r w:rsidRPr="00971DED">
        <w:rPr>
          <w:rFonts w:ascii="Book Antiqua" w:hAnsi="Book Antiqua"/>
          <w:sz w:val="24"/>
        </w:rPr>
        <w:tab/>
        <w:t>Fr.</w:t>
      </w:r>
      <w:r w:rsidRPr="00971DED">
        <w:rPr>
          <w:rFonts w:ascii="Book Antiqua" w:hAnsi="Book Antiqua"/>
          <w:sz w:val="24"/>
        </w:rPr>
        <w:tab/>
        <w:t>300.—</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r>
      <w:proofErr w:type="spellStart"/>
      <w:r w:rsidRPr="00971DED">
        <w:rPr>
          <w:rFonts w:ascii="Book Antiqua" w:hAnsi="Book Antiqua"/>
          <w:sz w:val="24"/>
        </w:rPr>
        <w:t>VSt</w:t>
      </w:r>
      <w:proofErr w:type="spellEnd"/>
      <w:r w:rsidRPr="00971DED">
        <w:rPr>
          <w:rFonts w:ascii="Book Antiqua" w:hAnsi="Book Antiqua"/>
          <w:sz w:val="24"/>
        </w:rPr>
        <w:t xml:space="preserve"> 31.12.</w:t>
      </w:r>
      <w:r w:rsidRPr="00971DED">
        <w:rPr>
          <w:rFonts w:ascii="Book Antiqua" w:hAnsi="Book Antiqua"/>
          <w:sz w:val="24"/>
        </w:rPr>
        <w:tab/>
        <w:t>Fr.</w:t>
      </w:r>
      <w:r w:rsidRPr="00971DED">
        <w:rPr>
          <w:rFonts w:ascii="Book Antiqua" w:hAnsi="Book Antiqua"/>
          <w:sz w:val="24"/>
        </w:rPr>
        <w:tab/>
        <w:t>105.—</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t>Spesen 1.1. - 31.12.</w:t>
      </w:r>
      <w:r w:rsidRPr="00971DED">
        <w:rPr>
          <w:rFonts w:ascii="Book Antiqua" w:hAnsi="Book Antiqua"/>
          <w:sz w:val="24"/>
        </w:rPr>
        <w:tab/>
        <w:t>Fr.</w:t>
      </w:r>
      <w:r w:rsidRPr="00971DED">
        <w:rPr>
          <w:rFonts w:ascii="Book Antiqua" w:hAnsi="Book Antiqua"/>
          <w:sz w:val="24"/>
        </w:rPr>
        <w:tab/>
        <w:t>5.—</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w:t>
      </w:r>
      <w:r w:rsidRPr="00971DED">
        <w:rPr>
          <w:rFonts w:ascii="Book Antiqua" w:hAnsi="Book Antiqua"/>
          <w:sz w:val="24"/>
        </w:rPr>
        <w:tab/>
      </w:r>
      <w:r w:rsidRPr="00971DED">
        <w:rPr>
          <w:rFonts w:ascii="Book Antiqua" w:hAnsi="Book Antiqua"/>
          <w:sz w:val="24"/>
          <w:u w:val="single"/>
        </w:rPr>
        <w:t>Liegenschaft</w:t>
      </w:r>
      <w:r w:rsidRPr="00971DED">
        <w:rPr>
          <w:rFonts w:ascii="Book Antiqua" w:hAnsi="Book Antiqua"/>
          <w:sz w:val="24"/>
        </w:rPr>
        <w:t xml:space="preserve"> Seldwyla-GB 600, Amtlicher Wert</w:t>
      </w:r>
      <w:r w:rsidRPr="00971DED">
        <w:rPr>
          <w:rFonts w:ascii="Book Antiqua" w:hAnsi="Book Antiqua"/>
          <w:sz w:val="24"/>
        </w:rPr>
        <w:tab/>
      </w:r>
      <w:r w:rsidRPr="00971DED">
        <w:rPr>
          <w:rFonts w:ascii="Book Antiqua" w:hAnsi="Book Antiqua"/>
          <w:sz w:val="24"/>
        </w:rPr>
        <w:tab/>
        <w:t>Fr.</w:t>
      </w:r>
      <w:r w:rsidRPr="00971DED">
        <w:rPr>
          <w:rFonts w:ascii="Book Antiqua" w:hAnsi="Book Antiqua"/>
          <w:sz w:val="24"/>
        </w:rPr>
        <w:tab/>
        <w:t>250'000.—</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t>Hypothek</w:t>
      </w:r>
      <w:r w:rsidRPr="00971DED">
        <w:rPr>
          <w:rFonts w:ascii="Book Antiqua" w:hAnsi="Book Antiqua"/>
          <w:sz w:val="24"/>
        </w:rPr>
        <w:tab/>
        <w:t>Fr.</w:t>
      </w:r>
      <w:r w:rsidRPr="00971DED">
        <w:rPr>
          <w:rFonts w:ascii="Book Antiqua" w:hAnsi="Book Antiqua"/>
          <w:sz w:val="24"/>
        </w:rPr>
        <w:tab/>
        <w:t>100'000.—</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t>Marchzins 1.7. - 12.9.</w:t>
      </w:r>
      <w:r w:rsidRPr="00971DED">
        <w:rPr>
          <w:rFonts w:ascii="Book Antiqua" w:hAnsi="Book Antiqua"/>
          <w:sz w:val="24"/>
        </w:rPr>
        <w:tab/>
        <w:t>Fr.</w:t>
      </w:r>
      <w:r w:rsidRPr="00971DED">
        <w:rPr>
          <w:rFonts w:ascii="Book Antiqua" w:hAnsi="Book Antiqua"/>
          <w:sz w:val="24"/>
        </w:rPr>
        <w:tab/>
        <w:t>300.—</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t>Zins 1.1. – 31.12. (4 x 750</w:t>
      </w:r>
      <w:proofErr w:type="gramStart"/>
      <w:r w:rsidRPr="00971DED">
        <w:rPr>
          <w:rFonts w:ascii="Book Antiqua" w:hAnsi="Book Antiqua"/>
          <w:sz w:val="24"/>
        </w:rPr>
        <w:t>.—</w:t>
      </w:r>
      <w:proofErr w:type="gramEnd"/>
      <w:r w:rsidRPr="00971DED">
        <w:rPr>
          <w:rFonts w:ascii="Book Antiqua" w:hAnsi="Book Antiqua"/>
          <w:sz w:val="24"/>
        </w:rPr>
        <w:t>)</w:t>
      </w:r>
      <w:r w:rsidRPr="00971DED">
        <w:rPr>
          <w:rFonts w:ascii="Book Antiqua" w:hAnsi="Book Antiqua"/>
          <w:sz w:val="24"/>
        </w:rPr>
        <w:tab/>
        <w:t>Fr.</w:t>
      </w:r>
      <w:r w:rsidRPr="00971DED">
        <w:rPr>
          <w:rFonts w:ascii="Book Antiqua" w:hAnsi="Book Antiqua"/>
          <w:sz w:val="24"/>
        </w:rPr>
        <w:tab/>
        <w:t>3'000.—</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t>Prämie Gebäudeversicherung pro Jahr,</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t>bezahlt am 1.1.</w:t>
      </w:r>
      <w:r w:rsidRPr="00971DED">
        <w:rPr>
          <w:rFonts w:ascii="Book Antiqua" w:hAnsi="Book Antiqua"/>
          <w:sz w:val="24"/>
        </w:rPr>
        <w:tab/>
        <w:t>Fr.</w:t>
      </w:r>
      <w:r w:rsidRPr="00971DED">
        <w:rPr>
          <w:rFonts w:ascii="Book Antiqua" w:hAnsi="Book Antiqua"/>
          <w:sz w:val="24"/>
        </w:rPr>
        <w:tab/>
        <w:t>500</w:t>
      </w:r>
      <w:proofErr w:type="gramStart"/>
      <w:r w:rsidRPr="00971DED">
        <w:rPr>
          <w:rFonts w:ascii="Book Antiqua" w:hAnsi="Book Antiqua"/>
          <w:sz w:val="24"/>
        </w:rPr>
        <w:t>.—</w:t>
      </w:r>
      <w:proofErr w:type="gramEnd"/>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t>Eigenmietwert pro Jahr</w:t>
      </w:r>
      <w:r w:rsidRPr="00971DED">
        <w:rPr>
          <w:rFonts w:ascii="Book Antiqua" w:hAnsi="Book Antiqua"/>
          <w:sz w:val="24"/>
        </w:rPr>
        <w:tab/>
        <w:t>Fr.</w:t>
      </w:r>
      <w:r w:rsidRPr="00971DED">
        <w:rPr>
          <w:rFonts w:ascii="Book Antiqua" w:hAnsi="Book Antiqua"/>
          <w:sz w:val="24"/>
        </w:rPr>
        <w:tab/>
        <w:t>6'000.—</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t>Liegenschaftsunterhalt</w:t>
      </w:r>
      <w:r w:rsidRPr="00971DED">
        <w:rPr>
          <w:rFonts w:ascii="Book Antiqua" w:hAnsi="Book Antiqua"/>
          <w:sz w:val="24"/>
        </w:rPr>
        <w:tab/>
        <w:t>Fr.</w:t>
      </w:r>
      <w:r w:rsidRPr="00971DED">
        <w:rPr>
          <w:rFonts w:ascii="Book Antiqua" w:hAnsi="Book Antiqua"/>
          <w:sz w:val="24"/>
        </w:rPr>
        <w:tab/>
        <w:t>0.—</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b/>
          <w:sz w:val="24"/>
        </w:rPr>
        <w:t>Eigengut Ehemann</w:t>
      </w:r>
      <w:r w:rsidRPr="00971DED">
        <w:rPr>
          <w:rFonts w:ascii="Book Antiqua" w:hAnsi="Book Antiqua"/>
          <w:sz w:val="24"/>
        </w:rPr>
        <w:t>:</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w:t>
      </w:r>
      <w:r w:rsidRPr="00971DED">
        <w:rPr>
          <w:rFonts w:ascii="Book Antiqua" w:hAnsi="Book Antiqua"/>
          <w:sz w:val="24"/>
        </w:rPr>
        <w:tab/>
        <w:t>Keines</w:t>
      </w:r>
      <w:r w:rsidRPr="00971DED">
        <w:rPr>
          <w:rFonts w:ascii="Book Antiqua" w:hAnsi="Book Antiqua"/>
          <w:sz w:val="24"/>
        </w:rPr>
        <w:tab/>
      </w:r>
      <w:r w:rsidRPr="00971DED">
        <w:rPr>
          <w:rFonts w:ascii="Book Antiqua" w:hAnsi="Book Antiqua"/>
          <w:sz w:val="24"/>
        </w:rPr>
        <w:tab/>
      </w:r>
      <w:r w:rsidRPr="00971DED">
        <w:rPr>
          <w:rFonts w:ascii="Book Antiqua" w:hAnsi="Book Antiqua"/>
          <w:sz w:val="24"/>
        </w:rPr>
        <w:tab/>
        <w:t>Fr.</w:t>
      </w:r>
      <w:r w:rsidRPr="00971DED">
        <w:rPr>
          <w:rFonts w:ascii="Book Antiqua" w:hAnsi="Book Antiqua"/>
          <w:sz w:val="24"/>
        </w:rPr>
        <w:tab/>
        <w:t>0.—</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b/>
          <w:sz w:val="24"/>
        </w:rPr>
        <w:t>Errungenschaft Ehefrau</w:t>
      </w:r>
      <w:r w:rsidRPr="00971DED">
        <w:rPr>
          <w:rFonts w:ascii="Book Antiqua" w:hAnsi="Book Antiqua"/>
          <w:sz w:val="24"/>
        </w:rPr>
        <w:t>:</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w:t>
      </w:r>
      <w:r w:rsidRPr="00971DED">
        <w:rPr>
          <w:rFonts w:ascii="Book Antiqua" w:hAnsi="Book Antiqua"/>
          <w:sz w:val="24"/>
        </w:rPr>
        <w:tab/>
      </w:r>
      <w:r w:rsidRPr="00971DED">
        <w:rPr>
          <w:rFonts w:ascii="Book Antiqua" w:hAnsi="Book Antiqua"/>
          <w:sz w:val="24"/>
          <w:u w:val="single"/>
        </w:rPr>
        <w:t>Sparkonto</w:t>
      </w:r>
      <w:r w:rsidRPr="00971DED">
        <w:rPr>
          <w:rFonts w:ascii="Book Antiqua" w:hAnsi="Book Antiqua"/>
          <w:sz w:val="24"/>
        </w:rPr>
        <w:t xml:space="preserve"> UBS AG, Kapital</w:t>
      </w:r>
      <w:r w:rsidRPr="00971DED">
        <w:rPr>
          <w:rFonts w:ascii="Book Antiqua" w:hAnsi="Book Antiqua"/>
          <w:sz w:val="24"/>
        </w:rPr>
        <w:tab/>
      </w:r>
      <w:r w:rsidRPr="00971DED">
        <w:rPr>
          <w:rFonts w:ascii="Book Antiqua" w:hAnsi="Book Antiqua"/>
          <w:sz w:val="24"/>
        </w:rPr>
        <w:tab/>
      </w:r>
      <w:r w:rsidRPr="00971DED">
        <w:rPr>
          <w:rFonts w:ascii="Book Antiqua" w:hAnsi="Book Antiqua"/>
          <w:sz w:val="24"/>
        </w:rPr>
        <w:tab/>
        <w:t>Fr.</w:t>
      </w:r>
      <w:r w:rsidRPr="00971DED">
        <w:rPr>
          <w:rFonts w:ascii="Book Antiqua" w:hAnsi="Book Antiqua"/>
          <w:sz w:val="24"/>
        </w:rPr>
        <w:tab/>
        <w:t>10'000.—</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t>Marchzins per 12.9.</w:t>
      </w:r>
      <w:r w:rsidRPr="00971DED">
        <w:rPr>
          <w:rFonts w:ascii="Book Antiqua" w:hAnsi="Book Antiqua"/>
          <w:sz w:val="24"/>
        </w:rPr>
        <w:tab/>
        <w:t>Fr.</w:t>
      </w:r>
      <w:r w:rsidRPr="00971DED">
        <w:rPr>
          <w:rFonts w:ascii="Book Antiqua" w:hAnsi="Book Antiqua"/>
          <w:sz w:val="24"/>
        </w:rPr>
        <w:tab/>
        <w:t>80.—</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t>Zins 1.1. – 31.12.</w:t>
      </w:r>
      <w:r w:rsidRPr="00971DED">
        <w:rPr>
          <w:rFonts w:ascii="Book Antiqua" w:hAnsi="Book Antiqua"/>
          <w:sz w:val="24"/>
        </w:rPr>
        <w:tab/>
        <w:t>Fr.</w:t>
      </w:r>
      <w:r w:rsidRPr="00971DED">
        <w:rPr>
          <w:rFonts w:ascii="Book Antiqua" w:hAnsi="Book Antiqua"/>
          <w:sz w:val="24"/>
        </w:rPr>
        <w:tab/>
        <w:t>100.—</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r>
      <w:proofErr w:type="spellStart"/>
      <w:r w:rsidRPr="00971DED">
        <w:rPr>
          <w:rFonts w:ascii="Book Antiqua" w:hAnsi="Book Antiqua"/>
          <w:sz w:val="24"/>
        </w:rPr>
        <w:t>VSt</w:t>
      </w:r>
      <w:proofErr w:type="spellEnd"/>
      <w:r w:rsidRPr="00971DED">
        <w:rPr>
          <w:rFonts w:ascii="Book Antiqua" w:hAnsi="Book Antiqua"/>
          <w:sz w:val="24"/>
        </w:rPr>
        <w:tab/>
        <w:t>Fr.</w:t>
      </w:r>
      <w:r w:rsidRPr="00971DED">
        <w:rPr>
          <w:rFonts w:ascii="Book Antiqua" w:hAnsi="Book Antiqua"/>
          <w:sz w:val="24"/>
        </w:rPr>
        <w:tab/>
        <w:t>35.—</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t>Spesen</w:t>
      </w:r>
      <w:r w:rsidRPr="00971DED">
        <w:rPr>
          <w:rFonts w:ascii="Book Antiqua" w:hAnsi="Book Antiqua"/>
          <w:sz w:val="24"/>
        </w:rPr>
        <w:tab/>
        <w:t>Fr.</w:t>
      </w:r>
      <w:r w:rsidRPr="00971DED">
        <w:rPr>
          <w:rFonts w:ascii="Book Antiqua" w:hAnsi="Book Antiqua"/>
          <w:sz w:val="24"/>
        </w:rPr>
        <w:tab/>
        <w:t>5.—</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b/>
          <w:sz w:val="24"/>
        </w:rPr>
        <w:t>Errungenschaft Ehemann</w:t>
      </w:r>
      <w:r w:rsidRPr="00971DED">
        <w:rPr>
          <w:rFonts w:ascii="Book Antiqua" w:hAnsi="Book Antiqua"/>
          <w:sz w:val="24"/>
        </w:rPr>
        <w:t>:</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w:t>
      </w:r>
      <w:r w:rsidRPr="00971DED">
        <w:rPr>
          <w:rFonts w:ascii="Book Antiqua" w:hAnsi="Book Antiqua"/>
          <w:sz w:val="24"/>
        </w:rPr>
        <w:tab/>
      </w:r>
      <w:r w:rsidRPr="00971DED">
        <w:rPr>
          <w:rFonts w:ascii="Book Antiqua" w:hAnsi="Book Antiqua"/>
          <w:sz w:val="24"/>
          <w:u w:val="single"/>
        </w:rPr>
        <w:t>Sparkonto</w:t>
      </w:r>
      <w:r w:rsidRPr="00971DED">
        <w:rPr>
          <w:rFonts w:ascii="Book Antiqua" w:hAnsi="Book Antiqua"/>
          <w:sz w:val="24"/>
        </w:rPr>
        <w:t xml:space="preserve"> UBS AG, Kapital</w:t>
      </w:r>
      <w:r w:rsidRPr="00971DED">
        <w:rPr>
          <w:rFonts w:ascii="Book Antiqua" w:hAnsi="Book Antiqua"/>
          <w:sz w:val="24"/>
        </w:rPr>
        <w:tab/>
      </w:r>
      <w:r w:rsidRPr="00971DED">
        <w:rPr>
          <w:rFonts w:ascii="Book Antiqua" w:hAnsi="Book Antiqua"/>
          <w:sz w:val="24"/>
        </w:rPr>
        <w:tab/>
      </w:r>
      <w:r w:rsidRPr="00971DED">
        <w:rPr>
          <w:rFonts w:ascii="Book Antiqua" w:hAnsi="Book Antiqua"/>
          <w:sz w:val="24"/>
        </w:rPr>
        <w:tab/>
        <w:t>Fr.</w:t>
      </w:r>
      <w:r w:rsidRPr="00971DED">
        <w:rPr>
          <w:rFonts w:ascii="Book Antiqua" w:hAnsi="Book Antiqua"/>
          <w:sz w:val="24"/>
        </w:rPr>
        <w:tab/>
        <w:t>100'000.—</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t>Marchzins per 12.9.</w:t>
      </w:r>
      <w:r w:rsidRPr="00971DED">
        <w:rPr>
          <w:rFonts w:ascii="Book Antiqua" w:hAnsi="Book Antiqua"/>
          <w:sz w:val="24"/>
        </w:rPr>
        <w:tab/>
        <w:t>Fr.</w:t>
      </w:r>
      <w:r w:rsidRPr="00971DED">
        <w:rPr>
          <w:rFonts w:ascii="Book Antiqua" w:hAnsi="Book Antiqua"/>
          <w:sz w:val="24"/>
        </w:rPr>
        <w:tab/>
        <w:t>750.—</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t>Zins 1.1. – 31.12.</w:t>
      </w:r>
      <w:r w:rsidRPr="00971DED">
        <w:rPr>
          <w:rFonts w:ascii="Book Antiqua" w:hAnsi="Book Antiqua"/>
          <w:sz w:val="24"/>
        </w:rPr>
        <w:tab/>
        <w:t>Fr.</w:t>
      </w:r>
      <w:r w:rsidRPr="00971DED">
        <w:rPr>
          <w:rFonts w:ascii="Book Antiqua" w:hAnsi="Book Antiqua"/>
          <w:sz w:val="24"/>
        </w:rPr>
        <w:tab/>
        <w:t>1'000.—</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r>
      <w:proofErr w:type="spellStart"/>
      <w:r w:rsidRPr="00971DED">
        <w:rPr>
          <w:rFonts w:ascii="Book Antiqua" w:hAnsi="Book Antiqua"/>
          <w:sz w:val="24"/>
        </w:rPr>
        <w:t>VSt</w:t>
      </w:r>
      <w:proofErr w:type="spellEnd"/>
      <w:r w:rsidRPr="00971DED">
        <w:rPr>
          <w:rFonts w:ascii="Book Antiqua" w:hAnsi="Book Antiqua"/>
          <w:sz w:val="24"/>
        </w:rPr>
        <w:t xml:space="preserve"> 1.1. - 31.12.</w:t>
      </w:r>
      <w:r w:rsidRPr="00971DED">
        <w:rPr>
          <w:rFonts w:ascii="Book Antiqua" w:hAnsi="Book Antiqua"/>
          <w:sz w:val="24"/>
        </w:rPr>
        <w:tab/>
        <w:t>Fr.</w:t>
      </w:r>
      <w:r w:rsidRPr="00971DED">
        <w:rPr>
          <w:rFonts w:ascii="Book Antiqua" w:hAnsi="Book Antiqua"/>
          <w:sz w:val="24"/>
        </w:rPr>
        <w:tab/>
        <w:t>350.—</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t>Spesen 1.1. - 31.12.</w:t>
      </w:r>
      <w:r w:rsidRPr="00971DED">
        <w:rPr>
          <w:rFonts w:ascii="Book Antiqua" w:hAnsi="Book Antiqua"/>
          <w:sz w:val="24"/>
        </w:rPr>
        <w:tab/>
        <w:t>Fr.</w:t>
      </w:r>
      <w:r w:rsidRPr="00971DED">
        <w:rPr>
          <w:rFonts w:ascii="Book Antiqua" w:hAnsi="Book Antiqua"/>
          <w:sz w:val="24"/>
        </w:rPr>
        <w:tab/>
        <w:t>10.—</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lastRenderedPageBreak/>
        <w:t>-</w:t>
      </w:r>
      <w:r w:rsidRPr="00971DED">
        <w:rPr>
          <w:rFonts w:ascii="Book Antiqua" w:hAnsi="Book Antiqua"/>
          <w:sz w:val="24"/>
        </w:rPr>
        <w:tab/>
      </w:r>
      <w:r w:rsidRPr="00971DED">
        <w:rPr>
          <w:rFonts w:ascii="Book Antiqua" w:hAnsi="Book Antiqua"/>
          <w:sz w:val="24"/>
          <w:u w:val="single"/>
        </w:rPr>
        <w:t>Aktien</w:t>
      </w:r>
      <w:r w:rsidRPr="00971DED">
        <w:rPr>
          <w:rFonts w:ascii="Book Antiqua" w:hAnsi="Book Antiqua"/>
          <w:sz w:val="24"/>
        </w:rPr>
        <w:t xml:space="preserve"> UBS AG, Steuerwert (12.09. bzw. 31.12.)</w:t>
      </w:r>
      <w:r w:rsidRPr="00971DED">
        <w:rPr>
          <w:rFonts w:ascii="Book Antiqua" w:hAnsi="Book Antiqua"/>
          <w:sz w:val="24"/>
        </w:rPr>
        <w:tab/>
      </w:r>
      <w:r w:rsidRPr="00971DED">
        <w:rPr>
          <w:rFonts w:ascii="Book Antiqua" w:hAnsi="Book Antiqua"/>
          <w:sz w:val="24"/>
        </w:rPr>
        <w:tab/>
        <w:t>Fr.</w:t>
      </w:r>
      <w:r w:rsidRPr="00971DED">
        <w:rPr>
          <w:rFonts w:ascii="Book Antiqua" w:hAnsi="Book Antiqua"/>
          <w:sz w:val="24"/>
        </w:rPr>
        <w:tab/>
        <w:t>100'000.—</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t>Dividende ausbezahlt am 1.5.</w:t>
      </w:r>
      <w:r w:rsidRPr="00971DED">
        <w:rPr>
          <w:rFonts w:ascii="Book Antiqua" w:hAnsi="Book Antiqua"/>
          <w:sz w:val="24"/>
        </w:rPr>
        <w:tab/>
        <w:t>Fr.</w:t>
      </w:r>
      <w:r w:rsidRPr="00971DED">
        <w:rPr>
          <w:rFonts w:ascii="Book Antiqua" w:hAnsi="Book Antiqua"/>
          <w:sz w:val="24"/>
        </w:rPr>
        <w:tab/>
        <w:t>2'500</w:t>
      </w:r>
      <w:proofErr w:type="gramStart"/>
      <w:r w:rsidRPr="00971DED">
        <w:rPr>
          <w:rFonts w:ascii="Book Antiqua" w:hAnsi="Book Antiqua"/>
          <w:sz w:val="24"/>
        </w:rPr>
        <w:t>.—</w:t>
      </w:r>
      <w:proofErr w:type="gramEnd"/>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w:t>
      </w:r>
      <w:r w:rsidRPr="00971DED">
        <w:rPr>
          <w:rFonts w:ascii="Book Antiqua" w:hAnsi="Book Antiqua"/>
          <w:sz w:val="24"/>
        </w:rPr>
        <w:tab/>
      </w:r>
      <w:r w:rsidRPr="00971DED">
        <w:rPr>
          <w:rFonts w:ascii="Book Antiqua" w:hAnsi="Book Antiqua"/>
          <w:sz w:val="24"/>
          <w:u w:val="single"/>
        </w:rPr>
        <w:t>Liegenschaft</w:t>
      </w:r>
      <w:r w:rsidRPr="00971DED">
        <w:rPr>
          <w:rFonts w:ascii="Book Antiqua" w:hAnsi="Book Antiqua"/>
          <w:sz w:val="24"/>
        </w:rPr>
        <w:t xml:space="preserve"> Seldwyla 100, Amtlicher Wert</w:t>
      </w:r>
      <w:r w:rsidRPr="00971DED">
        <w:rPr>
          <w:rFonts w:ascii="Book Antiqua" w:hAnsi="Book Antiqua"/>
          <w:sz w:val="24"/>
        </w:rPr>
        <w:tab/>
      </w:r>
      <w:r w:rsidRPr="00971DED">
        <w:rPr>
          <w:rFonts w:ascii="Book Antiqua" w:hAnsi="Book Antiqua"/>
          <w:sz w:val="24"/>
        </w:rPr>
        <w:tab/>
      </w:r>
      <w:r w:rsidRPr="00971DED">
        <w:rPr>
          <w:rFonts w:ascii="Book Antiqua" w:hAnsi="Book Antiqua"/>
          <w:sz w:val="24"/>
        </w:rPr>
        <w:tab/>
        <w:t>Fr.</w:t>
      </w:r>
      <w:r w:rsidRPr="00971DED">
        <w:rPr>
          <w:rFonts w:ascii="Book Antiqua" w:hAnsi="Book Antiqua"/>
          <w:sz w:val="24"/>
        </w:rPr>
        <w:tab/>
        <w:t>100'000.—</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t>Keine Hypotheken</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t>Prämie Gebäudeversicherung pro Jahr</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t>bezahlt am 1.1.</w:t>
      </w:r>
      <w:r w:rsidRPr="00971DED">
        <w:rPr>
          <w:rFonts w:ascii="Book Antiqua" w:hAnsi="Book Antiqua"/>
          <w:sz w:val="24"/>
        </w:rPr>
        <w:tab/>
        <w:t>Fr.</w:t>
      </w:r>
      <w:r w:rsidRPr="00971DED">
        <w:rPr>
          <w:rFonts w:ascii="Book Antiqua" w:hAnsi="Book Antiqua"/>
          <w:sz w:val="24"/>
        </w:rPr>
        <w:tab/>
        <w:t>200</w:t>
      </w:r>
      <w:proofErr w:type="gramStart"/>
      <w:r w:rsidRPr="00971DED">
        <w:rPr>
          <w:rFonts w:ascii="Book Antiqua" w:hAnsi="Book Antiqua"/>
          <w:sz w:val="24"/>
        </w:rPr>
        <w:t>.—</w:t>
      </w:r>
      <w:proofErr w:type="gramEnd"/>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t>Mietzinsertrag pro Jahr</w:t>
      </w:r>
      <w:r w:rsidRPr="00971DED">
        <w:rPr>
          <w:rFonts w:ascii="Book Antiqua" w:hAnsi="Book Antiqua"/>
          <w:sz w:val="24"/>
        </w:rPr>
        <w:tab/>
        <w:t>Fr.</w:t>
      </w:r>
      <w:r w:rsidRPr="00971DED">
        <w:rPr>
          <w:rFonts w:ascii="Book Antiqua" w:hAnsi="Book Antiqua"/>
          <w:sz w:val="24"/>
        </w:rPr>
        <w:tab/>
        <w:t>12'000.—</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t>Bezahlte Unterhaltskosten 1.1.-12.9.</w:t>
      </w:r>
      <w:r w:rsidRPr="00971DED">
        <w:rPr>
          <w:rFonts w:ascii="Book Antiqua" w:hAnsi="Book Antiqua"/>
          <w:sz w:val="24"/>
        </w:rPr>
        <w:tab/>
        <w:t>Fr.</w:t>
      </w:r>
      <w:r w:rsidRPr="00971DED">
        <w:rPr>
          <w:rFonts w:ascii="Book Antiqua" w:hAnsi="Book Antiqua"/>
          <w:sz w:val="24"/>
        </w:rPr>
        <w:tab/>
        <w:t>3'500.—</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t>Bezahlte Unterhaltskosten 13.9.-31.12.</w:t>
      </w:r>
      <w:r w:rsidRPr="00971DED">
        <w:rPr>
          <w:rFonts w:ascii="Book Antiqua" w:hAnsi="Book Antiqua"/>
          <w:sz w:val="24"/>
        </w:rPr>
        <w:tab/>
        <w:t>Fr.</w:t>
      </w:r>
      <w:r w:rsidRPr="00971DED">
        <w:rPr>
          <w:rFonts w:ascii="Book Antiqua" w:hAnsi="Book Antiqua"/>
          <w:sz w:val="24"/>
        </w:rPr>
        <w:tab/>
        <w:t>500.—</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p>
    <w:p w:rsidR="008F0A4F" w:rsidRPr="00971DED" w:rsidRDefault="008F0A4F" w:rsidP="008F0A4F">
      <w:pPr>
        <w:rPr>
          <w:rFonts w:ascii="Book Antiqua" w:hAnsi="Book Antiqua"/>
          <w:sz w:val="24"/>
        </w:rPr>
      </w:pP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b/>
          <w:sz w:val="24"/>
        </w:rPr>
        <w:t>Weitere Angaben</w:t>
      </w:r>
      <w:r w:rsidRPr="00971DED">
        <w:rPr>
          <w:rFonts w:ascii="Book Antiqua" w:hAnsi="Book Antiqua"/>
          <w:sz w:val="24"/>
        </w:rPr>
        <w:t>:</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w:t>
      </w:r>
      <w:r w:rsidRPr="00971DED">
        <w:rPr>
          <w:rFonts w:ascii="Book Antiqua" w:hAnsi="Book Antiqua"/>
          <w:sz w:val="24"/>
        </w:rPr>
        <w:tab/>
        <w:t>AHV-Rente Ehefrau pro Monat</w:t>
      </w:r>
      <w:r w:rsidRPr="00971DED">
        <w:rPr>
          <w:rFonts w:ascii="Book Antiqua" w:hAnsi="Book Antiqua"/>
          <w:sz w:val="24"/>
        </w:rPr>
        <w:tab/>
      </w:r>
      <w:r w:rsidRPr="00971DED">
        <w:rPr>
          <w:rFonts w:ascii="Book Antiqua" w:hAnsi="Book Antiqua"/>
          <w:sz w:val="24"/>
        </w:rPr>
        <w:tab/>
      </w:r>
      <w:r w:rsidRPr="00971DED">
        <w:rPr>
          <w:rFonts w:ascii="Book Antiqua" w:hAnsi="Book Antiqua"/>
          <w:sz w:val="24"/>
        </w:rPr>
        <w:tab/>
        <w:t>Fr.</w:t>
      </w:r>
      <w:r w:rsidRPr="00971DED">
        <w:rPr>
          <w:rFonts w:ascii="Book Antiqua" w:hAnsi="Book Antiqua"/>
          <w:sz w:val="24"/>
        </w:rPr>
        <w:tab/>
        <w:t>1'800.—</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w:t>
      </w:r>
      <w:r w:rsidRPr="00971DED">
        <w:rPr>
          <w:rFonts w:ascii="Book Antiqua" w:hAnsi="Book Antiqua"/>
          <w:sz w:val="24"/>
        </w:rPr>
        <w:tab/>
        <w:t>AHV-Rente Ehemann pro Monat</w:t>
      </w:r>
      <w:r w:rsidRPr="00971DED">
        <w:rPr>
          <w:rFonts w:ascii="Book Antiqua" w:hAnsi="Book Antiqua"/>
          <w:sz w:val="24"/>
        </w:rPr>
        <w:tab/>
      </w:r>
      <w:r w:rsidRPr="00971DED">
        <w:rPr>
          <w:rFonts w:ascii="Book Antiqua" w:hAnsi="Book Antiqua"/>
          <w:sz w:val="24"/>
        </w:rPr>
        <w:tab/>
      </w:r>
      <w:r w:rsidRPr="00971DED">
        <w:rPr>
          <w:rFonts w:ascii="Book Antiqua" w:hAnsi="Book Antiqua"/>
          <w:sz w:val="24"/>
        </w:rPr>
        <w:tab/>
        <w:t>Fr.</w:t>
      </w:r>
      <w:r w:rsidRPr="00971DED">
        <w:rPr>
          <w:rFonts w:ascii="Book Antiqua" w:hAnsi="Book Antiqua"/>
          <w:sz w:val="24"/>
        </w:rPr>
        <w:tab/>
        <w:t>1'800.—</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w:t>
      </w:r>
      <w:r w:rsidRPr="00971DED">
        <w:rPr>
          <w:rFonts w:ascii="Book Antiqua" w:hAnsi="Book Antiqua"/>
          <w:sz w:val="24"/>
        </w:rPr>
        <w:tab/>
        <w:t>AHV-Rente des überlebenden Ehemannes pro Monat</w:t>
      </w:r>
      <w:r w:rsidRPr="00971DED">
        <w:rPr>
          <w:rFonts w:ascii="Book Antiqua" w:hAnsi="Book Antiqua"/>
          <w:sz w:val="24"/>
        </w:rPr>
        <w:tab/>
      </w:r>
      <w:r w:rsidRPr="00971DED">
        <w:rPr>
          <w:rFonts w:ascii="Book Antiqua" w:hAnsi="Book Antiqua"/>
          <w:sz w:val="24"/>
        </w:rPr>
        <w:tab/>
        <w:t>Fr.</w:t>
      </w:r>
      <w:r w:rsidRPr="00971DED">
        <w:rPr>
          <w:rFonts w:ascii="Book Antiqua" w:hAnsi="Book Antiqua"/>
          <w:sz w:val="24"/>
        </w:rPr>
        <w:tab/>
        <w:t>2'800.—</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w:t>
      </w:r>
      <w:r w:rsidRPr="00971DED">
        <w:rPr>
          <w:rFonts w:ascii="Book Antiqua" w:hAnsi="Book Antiqua"/>
          <w:sz w:val="24"/>
        </w:rPr>
        <w:tab/>
        <w:t>Prämien Krankenkasse für jedes Fr. 1'200.— pro Monat</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w:t>
      </w:r>
      <w:r w:rsidRPr="00971DED">
        <w:rPr>
          <w:rFonts w:ascii="Book Antiqua" w:hAnsi="Book Antiqua"/>
          <w:sz w:val="24"/>
        </w:rPr>
        <w:tab/>
        <w:t>Guthaben Krankenkasse, erhalten per 30.9.</w:t>
      </w:r>
      <w:r w:rsidRPr="00971DED">
        <w:rPr>
          <w:rFonts w:ascii="Book Antiqua" w:hAnsi="Book Antiqua"/>
          <w:sz w:val="24"/>
        </w:rPr>
        <w:tab/>
      </w:r>
      <w:r w:rsidRPr="00971DED">
        <w:rPr>
          <w:rFonts w:ascii="Book Antiqua" w:hAnsi="Book Antiqua"/>
          <w:sz w:val="24"/>
        </w:rPr>
        <w:tab/>
      </w:r>
      <w:r w:rsidRPr="00971DED">
        <w:rPr>
          <w:rFonts w:ascii="Book Antiqua" w:hAnsi="Book Antiqua"/>
          <w:sz w:val="24"/>
        </w:rPr>
        <w:tab/>
        <w:t>Fr.</w:t>
      </w:r>
      <w:r w:rsidRPr="00971DED">
        <w:rPr>
          <w:rFonts w:ascii="Book Antiqua" w:hAnsi="Book Antiqua"/>
          <w:sz w:val="24"/>
        </w:rPr>
        <w:tab/>
        <w:t>2'500.—</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w:t>
      </w:r>
      <w:r w:rsidRPr="00971DED">
        <w:rPr>
          <w:rFonts w:ascii="Book Antiqua" w:hAnsi="Book Antiqua"/>
          <w:sz w:val="24"/>
        </w:rPr>
        <w:tab/>
        <w:t>Kurrentschulden (ohne Hypothekarzinse, mit Arztkosten)</w:t>
      </w:r>
      <w:r w:rsidRPr="00971DED">
        <w:rPr>
          <w:rFonts w:ascii="Book Antiqua" w:hAnsi="Book Antiqua"/>
          <w:sz w:val="24"/>
        </w:rPr>
        <w:tab/>
        <w:t>Fr.</w:t>
      </w:r>
      <w:r w:rsidRPr="00971DED">
        <w:rPr>
          <w:rFonts w:ascii="Book Antiqua" w:hAnsi="Book Antiqua"/>
          <w:sz w:val="24"/>
        </w:rPr>
        <w:tab/>
        <w:t>5'000</w:t>
      </w:r>
      <w:proofErr w:type="gramStart"/>
      <w:r w:rsidRPr="00971DED">
        <w:rPr>
          <w:rFonts w:ascii="Book Antiqua" w:hAnsi="Book Antiqua"/>
          <w:sz w:val="24"/>
        </w:rPr>
        <w:t>.—</w:t>
      </w:r>
      <w:proofErr w:type="gramEnd"/>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w:t>
      </w:r>
      <w:r w:rsidRPr="00971DED">
        <w:rPr>
          <w:rFonts w:ascii="Book Antiqua" w:hAnsi="Book Antiqua"/>
          <w:sz w:val="24"/>
        </w:rPr>
        <w:tab/>
        <w:t>Todesfall- und Bestattungskosten (Bezahlung per 20.12.)</w:t>
      </w:r>
      <w:r w:rsidRPr="00971DED">
        <w:rPr>
          <w:rFonts w:ascii="Book Antiqua" w:hAnsi="Book Antiqua"/>
          <w:sz w:val="24"/>
        </w:rPr>
        <w:tab/>
      </w:r>
      <w:r w:rsidRPr="00971DED">
        <w:rPr>
          <w:rFonts w:ascii="Book Antiqua" w:hAnsi="Book Antiqua"/>
          <w:sz w:val="24"/>
        </w:rPr>
        <w:tab/>
        <w:t>Fr.</w:t>
      </w:r>
      <w:r w:rsidRPr="00971DED">
        <w:rPr>
          <w:rFonts w:ascii="Book Antiqua" w:hAnsi="Book Antiqua"/>
          <w:sz w:val="24"/>
        </w:rPr>
        <w:tab/>
        <w:t>8'000.—</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w:t>
      </w:r>
      <w:r w:rsidRPr="00971DED">
        <w:rPr>
          <w:rFonts w:ascii="Book Antiqua" w:hAnsi="Book Antiqua"/>
          <w:sz w:val="24"/>
        </w:rPr>
        <w:tab/>
        <w:t xml:space="preserve">Rückstellungen (Grabstein, -Unterhalt, Notariat, usw.) </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t>(Bezahlung im Folgejahr)</w:t>
      </w:r>
      <w:r w:rsidRPr="00971DED">
        <w:rPr>
          <w:rFonts w:ascii="Book Antiqua" w:hAnsi="Book Antiqua"/>
          <w:sz w:val="24"/>
        </w:rPr>
        <w:tab/>
      </w:r>
      <w:r w:rsidRPr="00971DED">
        <w:rPr>
          <w:rFonts w:ascii="Book Antiqua" w:hAnsi="Book Antiqua"/>
          <w:sz w:val="24"/>
        </w:rPr>
        <w:tab/>
      </w:r>
      <w:r w:rsidRPr="00971DED">
        <w:rPr>
          <w:rFonts w:ascii="Book Antiqua" w:hAnsi="Book Antiqua"/>
          <w:sz w:val="24"/>
        </w:rPr>
        <w:tab/>
        <w:t>Fr.</w:t>
      </w:r>
      <w:r w:rsidRPr="00971DED">
        <w:rPr>
          <w:rFonts w:ascii="Book Antiqua" w:hAnsi="Book Antiqua"/>
          <w:sz w:val="24"/>
        </w:rPr>
        <w:tab/>
        <w:t>12'000.—</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b/>
          <w:sz w:val="24"/>
        </w:rPr>
        <w:t>2 Kinder</w:t>
      </w:r>
      <w:r w:rsidRPr="00971DED">
        <w:rPr>
          <w:rFonts w:ascii="Book Antiqua" w:hAnsi="Book Antiqua"/>
          <w:sz w:val="24"/>
        </w:rPr>
        <w:t>, beide volljährig und selber erwerbstätig.</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b/>
          <w:sz w:val="24"/>
        </w:rPr>
        <w:t xml:space="preserve">Tod der Ehefrau per 12.9. …. </w:t>
      </w:r>
      <w:r w:rsidRPr="00971DED">
        <w:rPr>
          <w:rFonts w:ascii="Book Antiqua" w:hAnsi="Book Antiqua"/>
          <w:sz w:val="24"/>
        </w:rPr>
        <w:t>. Kein Ehe- oder Erbvertrag, kein Testament.</w:t>
      </w: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p>
    <w:p w:rsidR="008F0A4F" w:rsidRPr="00971DED" w:rsidRDefault="008F0A4F" w:rsidP="008F0A4F">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b/>
          <w:sz w:val="24"/>
          <w:u w:val="single"/>
        </w:rPr>
        <w:t>Aufgaben</w:t>
      </w:r>
      <w:r w:rsidRPr="00971DED">
        <w:rPr>
          <w:rFonts w:ascii="Book Antiqua" w:hAnsi="Book Antiqua"/>
          <w:sz w:val="24"/>
        </w:rPr>
        <w:t>:</w:t>
      </w:r>
    </w:p>
    <w:p w:rsidR="008F0A4F" w:rsidRPr="00971DED" w:rsidRDefault="008F0A4F" w:rsidP="008F0A4F">
      <w:pPr>
        <w:tabs>
          <w:tab w:val="left" w:pos="426"/>
          <w:tab w:val="left" w:pos="5103"/>
          <w:tab w:val="decimal" w:pos="6521"/>
          <w:tab w:val="left" w:pos="7088"/>
          <w:tab w:val="decimal" w:pos="8364"/>
        </w:tabs>
        <w:ind w:left="426" w:hanging="426"/>
        <w:rPr>
          <w:rFonts w:ascii="Book Antiqua" w:hAnsi="Book Antiqua"/>
          <w:sz w:val="24"/>
        </w:rPr>
      </w:pPr>
      <w:r w:rsidRPr="00971DED">
        <w:rPr>
          <w:rFonts w:ascii="Book Antiqua" w:hAnsi="Book Antiqua"/>
          <w:sz w:val="24"/>
        </w:rPr>
        <w:t>1.</w:t>
      </w:r>
      <w:r w:rsidRPr="00971DED">
        <w:rPr>
          <w:rFonts w:ascii="Book Antiqua" w:hAnsi="Book Antiqua"/>
          <w:sz w:val="24"/>
        </w:rPr>
        <w:tab/>
        <w:t>Berechnung der Ansprüche der Erben (Analog Erstellen Steuer- oder Erbschafts-Inventar) als Grundlage zum Ausfüllen der notwendigen Steuererklärungen</w:t>
      </w:r>
      <w:r>
        <w:rPr>
          <w:rFonts w:ascii="Book Antiqua" w:hAnsi="Book Antiqua"/>
          <w:sz w:val="24"/>
        </w:rPr>
        <w:t>.</w:t>
      </w:r>
    </w:p>
    <w:p w:rsidR="008F0A4F" w:rsidRPr="00971DED" w:rsidRDefault="008F0A4F" w:rsidP="008F0A4F">
      <w:pPr>
        <w:tabs>
          <w:tab w:val="left" w:pos="426"/>
          <w:tab w:val="left" w:pos="5103"/>
          <w:tab w:val="decimal" w:pos="6521"/>
          <w:tab w:val="left" w:pos="7088"/>
          <w:tab w:val="decimal" w:pos="8364"/>
        </w:tabs>
        <w:ind w:left="426" w:hanging="426"/>
        <w:rPr>
          <w:rFonts w:ascii="Book Antiqua" w:hAnsi="Book Antiqua"/>
          <w:sz w:val="24"/>
        </w:rPr>
      </w:pPr>
    </w:p>
    <w:p w:rsidR="008F0A4F" w:rsidRDefault="008F0A4F">
      <w:pPr>
        <w:spacing w:after="200"/>
        <w:rPr>
          <w:rFonts w:ascii="Book Antiqua" w:hAnsi="Book Antiqua"/>
          <w:sz w:val="24"/>
        </w:rPr>
      </w:pPr>
      <w:r>
        <w:rPr>
          <w:rFonts w:ascii="Book Antiqua" w:hAnsi="Book Antiqua"/>
          <w:sz w:val="24"/>
        </w:rPr>
        <w:br w:type="page"/>
      </w:r>
    </w:p>
    <w:p w:rsidR="008F0A4F" w:rsidRPr="00971DED" w:rsidRDefault="008F0A4F" w:rsidP="008F0A4F">
      <w:pPr>
        <w:tabs>
          <w:tab w:val="left" w:pos="426"/>
          <w:tab w:val="left" w:pos="5103"/>
          <w:tab w:val="decimal" w:pos="6521"/>
          <w:tab w:val="left" w:pos="7088"/>
          <w:tab w:val="decimal" w:pos="8364"/>
        </w:tabs>
        <w:ind w:left="426" w:hanging="426"/>
        <w:rPr>
          <w:rFonts w:ascii="Book Antiqua" w:hAnsi="Book Antiqua"/>
          <w:sz w:val="24"/>
        </w:rPr>
      </w:pPr>
      <w:r w:rsidRPr="00971DED">
        <w:rPr>
          <w:rFonts w:ascii="Book Antiqua" w:hAnsi="Book Antiqua"/>
          <w:sz w:val="24"/>
        </w:rPr>
        <w:lastRenderedPageBreak/>
        <w:t>2.</w:t>
      </w:r>
      <w:r w:rsidRPr="00971DED">
        <w:rPr>
          <w:rFonts w:ascii="Book Antiqua" w:hAnsi="Book Antiqua"/>
          <w:sz w:val="24"/>
        </w:rPr>
        <w:tab/>
        <w:t>Welche Steuererklärungen müssen im Todesjahr von wem ausgefüllt werden?</w:t>
      </w:r>
    </w:p>
    <w:p w:rsidR="008F0A4F" w:rsidRPr="00971DED" w:rsidRDefault="008F0A4F" w:rsidP="008F0A4F">
      <w:pPr>
        <w:tabs>
          <w:tab w:val="left" w:pos="426"/>
          <w:tab w:val="left" w:pos="5103"/>
          <w:tab w:val="decimal" w:pos="6521"/>
          <w:tab w:val="left" w:pos="7088"/>
          <w:tab w:val="decimal" w:pos="8364"/>
        </w:tabs>
        <w:ind w:left="426" w:hanging="426"/>
        <w:rPr>
          <w:rFonts w:ascii="Book Antiqua" w:hAnsi="Book Antiqua"/>
          <w:sz w:val="24"/>
        </w:rPr>
      </w:pPr>
    </w:p>
    <w:p w:rsidR="008F0A4F" w:rsidRPr="00971DED" w:rsidRDefault="008F0A4F" w:rsidP="008F0A4F">
      <w:pPr>
        <w:tabs>
          <w:tab w:val="left" w:pos="426"/>
          <w:tab w:val="left" w:pos="5103"/>
          <w:tab w:val="decimal" w:pos="6521"/>
          <w:tab w:val="left" w:pos="7088"/>
          <w:tab w:val="decimal" w:pos="8364"/>
        </w:tabs>
        <w:ind w:left="426" w:hanging="426"/>
        <w:rPr>
          <w:rFonts w:ascii="Book Antiqua" w:hAnsi="Book Antiqua"/>
          <w:sz w:val="24"/>
        </w:rPr>
      </w:pPr>
      <w:r w:rsidRPr="00971DED">
        <w:rPr>
          <w:rFonts w:ascii="Book Antiqua" w:hAnsi="Book Antiqua"/>
          <w:sz w:val="24"/>
        </w:rPr>
        <w:tab/>
        <w:t>_____________________________________________________________________</w:t>
      </w:r>
    </w:p>
    <w:p w:rsidR="008F0A4F" w:rsidRPr="00971DED" w:rsidRDefault="008F0A4F" w:rsidP="008F0A4F">
      <w:pPr>
        <w:tabs>
          <w:tab w:val="left" w:pos="426"/>
          <w:tab w:val="left" w:pos="5103"/>
          <w:tab w:val="decimal" w:pos="6521"/>
          <w:tab w:val="left" w:pos="7088"/>
          <w:tab w:val="decimal" w:pos="8364"/>
        </w:tabs>
        <w:ind w:left="426" w:hanging="426"/>
        <w:rPr>
          <w:rFonts w:ascii="Book Antiqua" w:hAnsi="Book Antiqua"/>
          <w:sz w:val="24"/>
        </w:rPr>
      </w:pPr>
    </w:p>
    <w:p w:rsidR="008F0A4F" w:rsidRPr="00971DED" w:rsidRDefault="008F0A4F" w:rsidP="008F0A4F">
      <w:pPr>
        <w:tabs>
          <w:tab w:val="left" w:pos="426"/>
          <w:tab w:val="left" w:pos="5103"/>
          <w:tab w:val="decimal" w:pos="6521"/>
          <w:tab w:val="left" w:pos="7088"/>
          <w:tab w:val="decimal" w:pos="8364"/>
        </w:tabs>
        <w:ind w:left="426" w:hanging="426"/>
        <w:rPr>
          <w:rFonts w:ascii="Book Antiqua" w:hAnsi="Book Antiqua"/>
          <w:sz w:val="24"/>
        </w:rPr>
      </w:pPr>
      <w:r w:rsidRPr="00971DED">
        <w:rPr>
          <w:rFonts w:ascii="Book Antiqua" w:hAnsi="Book Antiqua"/>
          <w:sz w:val="24"/>
        </w:rPr>
        <w:tab/>
        <w:t>_____________________________________________________________________</w:t>
      </w:r>
    </w:p>
    <w:p w:rsidR="008F0A4F" w:rsidRPr="00971DED" w:rsidRDefault="008F0A4F" w:rsidP="008F0A4F">
      <w:pPr>
        <w:tabs>
          <w:tab w:val="left" w:pos="426"/>
          <w:tab w:val="left" w:pos="5103"/>
          <w:tab w:val="decimal" w:pos="6521"/>
          <w:tab w:val="left" w:pos="7088"/>
          <w:tab w:val="decimal" w:pos="8364"/>
        </w:tabs>
        <w:ind w:left="426" w:hanging="426"/>
        <w:rPr>
          <w:rFonts w:ascii="Book Antiqua" w:hAnsi="Book Antiqua"/>
          <w:sz w:val="24"/>
        </w:rPr>
      </w:pPr>
    </w:p>
    <w:p w:rsidR="008F0A4F" w:rsidRPr="00971DED" w:rsidRDefault="008F0A4F" w:rsidP="008F0A4F">
      <w:pPr>
        <w:tabs>
          <w:tab w:val="left" w:pos="426"/>
          <w:tab w:val="left" w:pos="5103"/>
          <w:tab w:val="decimal" w:pos="6521"/>
          <w:tab w:val="left" w:pos="7088"/>
          <w:tab w:val="decimal" w:pos="8364"/>
        </w:tabs>
        <w:ind w:left="426" w:hanging="426"/>
        <w:rPr>
          <w:rFonts w:ascii="Book Antiqua" w:hAnsi="Book Antiqua"/>
          <w:sz w:val="24"/>
        </w:rPr>
      </w:pPr>
      <w:r w:rsidRPr="00971DED">
        <w:rPr>
          <w:rFonts w:ascii="Book Antiqua" w:hAnsi="Book Antiqua"/>
          <w:sz w:val="24"/>
        </w:rPr>
        <w:tab/>
        <w:t>_____________________________________________________________________</w:t>
      </w:r>
    </w:p>
    <w:p w:rsidR="008F0A4F" w:rsidRPr="00971DED" w:rsidRDefault="008F0A4F" w:rsidP="008F0A4F">
      <w:pPr>
        <w:tabs>
          <w:tab w:val="left" w:pos="426"/>
          <w:tab w:val="left" w:pos="5103"/>
          <w:tab w:val="decimal" w:pos="6521"/>
          <w:tab w:val="left" w:pos="7088"/>
          <w:tab w:val="decimal" w:pos="8364"/>
        </w:tabs>
        <w:ind w:left="426" w:hanging="426"/>
        <w:rPr>
          <w:rFonts w:ascii="Book Antiqua" w:hAnsi="Book Antiqua"/>
          <w:sz w:val="24"/>
        </w:rPr>
      </w:pPr>
    </w:p>
    <w:p w:rsidR="008F0A4F" w:rsidRPr="00971DED" w:rsidRDefault="008F0A4F" w:rsidP="008F0A4F">
      <w:pPr>
        <w:tabs>
          <w:tab w:val="left" w:pos="426"/>
          <w:tab w:val="left" w:pos="5103"/>
          <w:tab w:val="decimal" w:pos="6521"/>
          <w:tab w:val="left" w:pos="7088"/>
          <w:tab w:val="decimal" w:pos="8364"/>
        </w:tabs>
        <w:ind w:left="426" w:hanging="426"/>
        <w:rPr>
          <w:rFonts w:ascii="Book Antiqua" w:hAnsi="Book Antiqua"/>
          <w:sz w:val="24"/>
        </w:rPr>
      </w:pPr>
      <w:r w:rsidRPr="00971DED">
        <w:rPr>
          <w:rFonts w:ascii="Book Antiqua" w:hAnsi="Book Antiqua"/>
          <w:sz w:val="24"/>
        </w:rPr>
        <w:t>3.</w:t>
      </w:r>
      <w:r w:rsidRPr="00971DED">
        <w:rPr>
          <w:rFonts w:ascii="Book Antiqua" w:hAnsi="Book Antiqua"/>
          <w:sz w:val="24"/>
        </w:rPr>
        <w:tab/>
        <w:t>Ausfüllen der notwendigen Steuererklärungen des laufenden Jahres (Jahr des T</w:t>
      </w:r>
      <w:r w:rsidRPr="00971DED">
        <w:rPr>
          <w:rFonts w:ascii="Book Antiqua" w:hAnsi="Book Antiqua"/>
          <w:sz w:val="24"/>
        </w:rPr>
        <w:t>o</w:t>
      </w:r>
      <w:r>
        <w:rPr>
          <w:rFonts w:ascii="Book Antiqua" w:hAnsi="Book Antiqua"/>
          <w:sz w:val="24"/>
        </w:rPr>
        <w:t>destages).</w:t>
      </w:r>
    </w:p>
    <w:p w:rsidR="008F0A4F" w:rsidRPr="00971DED" w:rsidRDefault="008F0A4F" w:rsidP="008F0A4F">
      <w:pPr>
        <w:tabs>
          <w:tab w:val="left" w:pos="426"/>
          <w:tab w:val="left" w:pos="5103"/>
          <w:tab w:val="decimal" w:pos="6521"/>
          <w:tab w:val="left" w:pos="7088"/>
          <w:tab w:val="decimal" w:pos="8364"/>
        </w:tabs>
        <w:ind w:left="426" w:hanging="426"/>
        <w:rPr>
          <w:rFonts w:ascii="Book Antiqua" w:hAnsi="Book Antiqua"/>
          <w:sz w:val="24"/>
        </w:rPr>
      </w:pPr>
    </w:p>
    <w:p w:rsidR="008F0A4F" w:rsidRPr="00971DED" w:rsidRDefault="008F0A4F" w:rsidP="008F0A4F">
      <w:pPr>
        <w:tabs>
          <w:tab w:val="left" w:pos="426"/>
          <w:tab w:val="left" w:pos="5103"/>
          <w:tab w:val="decimal" w:pos="6521"/>
          <w:tab w:val="left" w:pos="7088"/>
          <w:tab w:val="decimal" w:pos="8364"/>
        </w:tabs>
        <w:ind w:left="426" w:hanging="426"/>
        <w:rPr>
          <w:rFonts w:ascii="Book Antiqua" w:hAnsi="Book Antiqua"/>
          <w:sz w:val="24"/>
        </w:rPr>
      </w:pPr>
      <w:r w:rsidRPr="00971DED">
        <w:rPr>
          <w:rFonts w:ascii="Book Antiqua" w:hAnsi="Book Antiqua"/>
          <w:sz w:val="24"/>
        </w:rPr>
        <w:t>4.</w:t>
      </w:r>
      <w:r w:rsidRPr="00971DED">
        <w:rPr>
          <w:rFonts w:ascii="Book Antiqua" w:hAnsi="Book Antiqua"/>
          <w:sz w:val="24"/>
        </w:rPr>
        <w:tab/>
        <w:t>Welche Steuererklärungen müssen im Folgejahr von wem ausgefüllt werden?</w:t>
      </w:r>
    </w:p>
    <w:p w:rsidR="008F0A4F" w:rsidRPr="00971DED" w:rsidRDefault="008F0A4F" w:rsidP="008F0A4F">
      <w:pPr>
        <w:tabs>
          <w:tab w:val="left" w:pos="426"/>
          <w:tab w:val="left" w:pos="5103"/>
          <w:tab w:val="decimal" w:pos="6521"/>
          <w:tab w:val="left" w:pos="7088"/>
          <w:tab w:val="decimal" w:pos="8364"/>
        </w:tabs>
        <w:ind w:left="426" w:hanging="426"/>
        <w:rPr>
          <w:rFonts w:ascii="Book Antiqua" w:hAnsi="Book Antiqua"/>
          <w:sz w:val="24"/>
        </w:rPr>
      </w:pPr>
    </w:p>
    <w:p w:rsidR="008F0A4F" w:rsidRPr="00971DED" w:rsidRDefault="008F0A4F" w:rsidP="008F0A4F">
      <w:pPr>
        <w:tabs>
          <w:tab w:val="left" w:pos="426"/>
          <w:tab w:val="left" w:pos="5103"/>
          <w:tab w:val="decimal" w:pos="6521"/>
          <w:tab w:val="left" w:pos="7088"/>
          <w:tab w:val="decimal" w:pos="8364"/>
        </w:tabs>
        <w:ind w:left="426" w:hanging="426"/>
        <w:rPr>
          <w:rFonts w:ascii="Book Antiqua" w:hAnsi="Book Antiqua"/>
          <w:sz w:val="24"/>
        </w:rPr>
      </w:pPr>
      <w:r w:rsidRPr="00971DED">
        <w:rPr>
          <w:rFonts w:ascii="Book Antiqua" w:hAnsi="Book Antiqua"/>
          <w:sz w:val="24"/>
        </w:rPr>
        <w:tab/>
        <w:t>_____________________________________________________________________</w:t>
      </w:r>
    </w:p>
    <w:p w:rsidR="008F0A4F" w:rsidRPr="00971DED" w:rsidRDefault="008F0A4F" w:rsidP="008F0A4F">
      <w:pPr>
        <w:tabs>
          <w:tab w:val="left" w:pos="426"/>
          <w:tab w:val="left" w:pos="5103"/>
          <w:tab w:val="decimal" w:pos="6521"/>
          <w:tab w:val="left" w:pos="7088"/>
          <w:tab w:val="decimal" w:pos="8364"/>
        </w:tabs>
        <w:ind w:left="426" w:hanging="426"/>
        <w:rPr>
          <w:rFonts w:ascii="Book Antiqua" w:hAnsi="Book Antiqua"/>
          <w:sz w:val="24"/>
        </w:rPr>
      </w:pPr>
    </w:p>
    <w:p w:rsidR="008F0A4F" w:rsidRPr="00971DED" w:rsidRDefault="008F0A4F" w:rsidP="008F0A4F">
      <w:pPr>
        <w:tabs>
          <w:tab w:val="left" w:pos="426"/>
          <w:tab w:val="left" w:pos="5103"/>
          <w:tab w:val="decimal" w:pos="6521"/>
          <w:tab w:val="left" w:pos="7088"/>
          <w:tab w:val="decimal" w:pos="8364"/>
        </w:tabs>
        <w:ind w:left="426" w:hanging="426"/>
        <w:rPr>
          <w:rFonts w:ascii="Book Antiqua" w:hAnsi="Book Antiqua"/>
          <w:sz w:val="24"/>
        </w:rPr>
      </w:pPr>
      <w:r w:rsidRPr="00971DED">
        <w:rPr>
          <w:rFonts w:ascii="Book Antiqua" w:hAnsi="Book Antiqua"/>
          <w:sz w:val="24"/>
        </w:rPr>
        <w:tab/>
        <w:t>_____________________________________________________________________</w:t>
      </w:r>
    </w:p>
    <w:p w:rsidR="008F0A4F" w:rsidRPr="00971DED" w:rsidRDefault="008F0A4F" w:rsidP="008F0A4F">
      <w:pPr>
        <w:tabs>
          <w:tab w:val="left" w:pos="426"/>
          <w:tab w:val="left" w:pos="5103"/>
          <w:tab w:val="decimal" w:pos="6521"/>
          <w:tab w:val="left" w:pos="7088"/>
          <w:tab w:val="decimal" w:pos="8364"/>
        </w:tabs>
        <w:ind w:left="426" w:hanging="426"/>
        <w:rPr>
          <w:rFonts w:ascii="Book Antiqua" w:hAnsi="Book Antiqua"/>
          <w:sz w:val="24"/>
        </w:rPr>
      </w:pPr>
    </w:p>
    <w:p w:rsidR="008F0A4F" w:rsidRPr="00971DED" w:rsidRDefault="008F0A4F" w:rsidP="008F0A4F">
      <w:pPr>
        <w:tabs>
          <w:tab w:val="left" w:pos="426"/>
          <w:tab w:val="left" w:pos="5103"/>
          <w:tab w:val="decimal" w:pos="6521"/>
          <w:tab w:val="left" w:pos="7088"/>
          <w:tab w:val="decimal" w:pos="8364"/>
        </w:tabs>
        <w:ind w:left="426" w:hanging="426"/>
        <w:rPr>
          <w:rFonts w:ascii="Book Antiqua" w:hAnsi="Book Antiqua"/>
          <w:sz w:val="24"/>
        </w:rPr>
      </w:pPr>
      <w:r w:rsidRPr="00971DED">
        <w:rPr>
          <w:rFonts w:ascii="Book Antiqua" w:hAnsi="Book Antiqua"/>
          <w:sz w:val="24"/>
        </w:rPr>
        <w:tab/>
        <w:t>_____________________________________________________________________</w:t>
      </w:r>
    </w:p>
    <w:p w:rsidR="008F0A4F" w:rsidRPr="00971DED" w:rsidRDefault="008F0A4F" w:rsidP="008F0A4F">
      <w:pPr>
        <w:tabs>
          <w:tab w:val="left" w:pos="426"/>
          <w:tab w:val="left" w:pos="5103"/>
          <w:tab w:val="decimal" w:pos="6521"/>
          <w:tab w:val="left" w:pos="7088"/>
          <w:tab w:val="decimal" w:pos="8364"/>
        </w:tabs>
        <w:ind w:left="426" w:hanging="426"/>
        <w:rPr>
          <w:rFonts w:ascii="Book Antiqua" w:hAnsi="Book Antiqua"/>
          <w:sz w:val="24"/>
        </w:rPr>
      </w:pPr>
    </w:p>
    <w:p w:rsidR="008F0A4F" w:rsidRPr="00971DED" w:rsidRDefault="008F0A4F" w:rsidP="008F0A4F">
      <w:pPr>
        <w:tabs>
          <w:tab w:val="left" w:pos="426"/>
          <w:tab w:val="left" w:pos="5103"/>
          <w:tab w:val="decimal" w:pos="6521"/>
          <w:tab w:val="left" w:pos="7088"/>
          <w:tab w:val="decimal" w:pos="8364"/>
        </w:tabs>
        <w:ind w:left="426" w:hanging="426"/>
        <w:rPr>
          <w:rFonts w:ascii="Book Antiqua" w:hAnsi="Book Antiqua"/>
          <w:sz w:val="24"/>
        </w:rPr>
      </w:pPr>
      <w:r w:rsidRPr="00971DED">
        <w:rPr>
          <w:rFonts w:ascii="Book Antiqua" w:hAnsi="Book Antiqua"/>
          <w:sz w:val="24"/>
        </w:rPr>
        <w:t>5.</w:t>
      </w:r>
      <w:r w:rsidRPr="00971DED">
        <w:rPr>
          <w:rFonts w:ascii="Book Antiqua" w:hAnsi="Book Antiqua"/>
          <w:sz w:val="24"/>
        </w:rPr>
        <w:tab/>
        <w:t>Hat die Erbteilung einen Einfluss auf das Ausfüllen der Steuererklärungen?</w:t>
      </w:r>
    </w:p>
    <w:p w:rsidR="008F0A4F" w:rsidRPr="00971DED" w:rsidRDefault="008F0A4F" w:rsidP="008F0A4F">
      <w:pPr>
        <w:tabs>
          <w:tab w:val="left" w:pos="426"/>
          <w:tab w:val="left" w:pos="5103"/>
          <w:tab w:val="decimal" w:pos="6521"/>
          <w:tab w:val="left" w:pos="7088"/>
          <w:tab w:val="decimal" w:pos="8364"/>
        </w:tabs>
        <w:ind w:left="426" w:hanging="426"/>
        <w:rPr>
          <w:rFonts w:ascii="Book Antiqua" w:hAnsi="Book Antiqua"/>
          <w:sz w:val="24"/>
        </w:rPr>
      </w:pPr>
    </w:p>
    <w:p w:rsidR="008F0A4F" w:rsidRPr="00971DED" w:rsidRDefault="008F0A4F" w:rsidP="008F0A4F">
      <w:pPr>
        <w:tabs>
          <w:tab w:val="left" w:pos="426"/>
          <w:tab w:val="left" w:pos="5103"/>
          <w:tab w:val="decimal" w:pos="6521"/>
          <w:tab w:val="left" w:pos="7088"/>
          <w:tab w:val="decimal" w:pos="8364"/>
        </w:tabs>
        <w:ind w:left="426" w:hanging="426"/>
        <w:rPr>
          <w:rFonts w:ascii="Book Antiqua" w:hAnsi="Book Antiqua"/>
          <w:sz w:val="24"/>
        </w:rPr>
      </w:pPr>
      <w:r w:rsidRPr="00971DED">
        <w:rPr>
          <w:rFonts w:ascii="Book Antiqua" w:hAnsi="Book Antiqua"/>
          <w:sz w:val="24"/>
        </w:rPr>
        <w:tab/>
        <w:t>_____________________________________________________________________</w:t>
      </w:r>
    </w:p>
    <w:p w:rsidR="008F0A4F" w:rsidRPr="00971DED" w:rsidRDefault="008F0A4F" w:rsidP="008F0A4F">
      <w:pPr>
        <w:tabs>
          <w:tab w:val="left" w:pos="426"/>
          <w:tab w:val="left" w:pos="5103"/>
          <w:tab w:val="decimal" w:pos="6521"/>
          <w:tab w:val="left" w:pos="7088"/>
          <w:tab w:val="decimal" w:pos="8364"/>
        </w:tabs>
        <w:ind w:left="426" w:hanging="426"/>
        <w:rPr>
          <w:rFonts w:ascii="Book Antiqua" w:hAnsi="Book Antiqua"/>
          <w:sz w:val="24"/>
        </w:rPr>
      </w:pPr>
    </w:p>
    <w:p w:rsidR="008F0A4F" w:rsidRPr="00971DED" w:rsidRDefault="008F0A4F" w:rsidP="008F0A4F">
      <w:pPr>
        <w:tabs>
          <w:tab w:val="left" w:pos="426"/>
          <w:tab w:val="left" w:pos="5103"/>
          <w:tab w:val="decimal" w:pos="6521"/>
          <w:tab w:val="left" w:pos="7088"/>
          <w:tab w:val="decimal" w:pos="8364"/>
        </w:tabs>
        <w:ind w:left="426" w:hanging="426"/>
        <w:rPr>
          <w:rFonts w:ascii="Book Antiqua" w:hAnsi="Book Antiqua"/>
          <w:sz w:val="24"/>
        </w:rPr>
      </w:pPr>
      <w:r w:rsidRPr="00971DED">
        <w:rPr>
          <w:rFonts w:ascii="Book Antiqua" w:hAnsi="Book Antiqua"/>
          <w:sz w:val="24"/>
        </w:rPr>
        <w:tab/>
        <w:t>_____________________________________________________________________</w:t>
      </w:r>
    </w:p>
    <w:p w:rsidR="00902C4B" w:rsidRDefault="00902C4B" w:rsidP="00902C4B">
      <w:pPr>
        <w:rPr>
          <w:szCs w:val="22"/>
        </w:rPr>
      </w:pPr>
    </w:p>
    <w:p w:rsidR="00902C4B" w:rsidRDefault="00902C4B" w:rsidP="00902C4B">
      <w:pPr>
        <w:spacing w:after="200"/>
        <w:rPr>
          <w:szCs w:val="22"/>
        </w:rPr>
      </w:pPr>
      <w:r>
        <w:rPr>
          <w:szCs w:val="22"/>
        </w:rPr>
        <w:br w:type="page"/>
      </w:r>
    </w:p>
    <w:p w:rsidR="00902C4B" w:rsidRDefault="00C278A1" w:rsidP="00902C4B">
      <w:pPr>
        <w:rPr>
          <w:szCs w:val="22"/>
        </w:rPr>
      </w:pPr>
      <w:r>
        <w:rPr>
          <w:noProof/>
          <w:szCs w:val="22"/>
          <w:lang w:eastAsia="de-CH"/>
        </w:rPr>
        <w:lastRenderedPageBreak/>
        <w:drawing>
          <wp:inline distT="0" distB="0" distL="0" distR="0">
            <wp:extent cx="5817870" cy="8223885"/>
            <wp:effectExtent l="0" t="0" r="0" b="571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füllen Steuererklärungen_Seite_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817870" cy="8223885"/>
                    </a:xfrm>
                    <a:prstGeom prst="rect">
                      <a:avLst/>
                    </a:prstGeom>
                  </pic:spPr>
                </pic:pic>
              </a:graphicData>
            </a:graphic>
          </wp:inline>
        </w:drawing>
      </w:r>
    </w:p>
    <w:p w:rsidR="00902C4B" w:rsidRDefault="00902C4B" w:rsidP="00902C4B">
      <w:pPr>
        <w:spacing w:after="200"/>
        <w:rPr>
          <w:szCs w:val="22"/>
        </w:rPr>
      </w:pPr>
      <w:r>
        <w:rPr>
          <w:szCs w:val="22"/>
        </w:rPr>
        <w:br w:type="page"/>
      </w:r>
    </w:p>
    <w:p w:rsidR="00902C4B" w:rsidRDefault="00C278A1" w:rsidP="00902C4B">
      <w:pPr>
        <w:rPr>
          <w:szCs w:val="22"/>
        </w:rPr>
      </w:pPr>
      <w:r>
        <w:rPr>
          <w:noProof/>
          <w:szCs w:val="22"/>
          <w:lang w:eastAsia="de-CH"/>
        </w:rPr>
        <w:lastRenderedPageBreak/>
        <w:drawing>
          <wp:inline distT="0" distB="0" distL="0" distR="0">
            <wp:extent cx="5817870" cy="8223885"/>
            <wp:effectExtent l="0" t="0" r="0" b="5715"/>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füllen Steuererklärungen_Seite_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817870" cy="8223885"/>
                    </a:xfrm>
                    <a:prstGeom prst="rect">
                      <a:avLst/>
                    </a:prstGeom>
                  </pic:spPr>
                </pic:pic>
              </a:graphicData>
            </a:graphic>
          </wp:inline>
        </w:drawing>
      </w:r>
    </w:p>
    <w:p w:rsidR="00902C4B" w:rsidRDefault="00902C4B" w:rsidP="00902C4B">
      <w:pPr>
        <w:spacing w:after="200"/>
        <w:rPr>
          <w:szCs w:val="22"/>
        </w:rPr>
      </w:pPr>
      <w:r>
        <w:rPr>
          <w:szCs w:val="22"/>
        </w:rPr>
        <w:br w:type="page"/>
      </w:r>
    </w:p>
    <w:p w:rsidR="00902C4B" w:rsidRDefault="00C278A1" w:rsidP="00902C4B">
      <w:pPr>
        <w:rPr>
          <w:szCs w:val="22"/>
        </w:rPr>
      </w:pPr>
      <w:r>
        <w:rPr>
          <w:noProof/>
          <w:szCs w:val="22"/>
          <w:lang w:eastAsia="de-CH"/>
        </w:rPr>
        <w:lastRenderedPageBreak/>
        <w:drawing>
          <wp:inline distT="0" distB="0" distL="0" distR="0">
            <wp:extent cx="5817870" cy="8223885"/>
            <wp:effectExtent l="0" t="0" r="0" b="5715"/>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füllen Steuererklärungen_Seite_3.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817870" cy="8223885"/>
                    </a:xfrm>
                    <a:prstGeom prst="rect">
                      <a:avLst/>
                    </a:prstGeom>
                  </pic:spPr>
                </pic:pic>
              </a:graphicData>
            </a:graphic>
          </wp:inline>
        </w:drawing>
      </w:r>
    </w:p>
    <w:p w:rsidR="00902C4B" w:rsidRDefault="00902C4B" w:rsidP="00902C4B">
      <w:pPr>
        <w:spacing w:after="200"/>
        <w:rPr>
          <w:szCs w:val="22"/>
        </w:rPr>
      </w:pPr>
      <w:r>
        <w:rPr>
          <w:szCs w:val="22"/>
        </w:rPr>
        <w:br w:type="page"/>
      </w:r>
    </w:p>
    <w:p w:rsidR="00902C4B" w:rsidRDefault="00C278A1" w:rsidP="00902C4B">
      <w:pPr>
        <w:rPr>
          <w:szCs w:val="22"/>
        </w:rPr>
      </w:pPr>
      <w:r>
        <w:rPr>
          <w:noProof/>
          <w:szCs w:val="22"/>
          <w:lang w:eastAsia="de-CH"/>
        </w:rPr>
        <w:lastRenderedPageBreak/>
        <w:drawing>
          <wp:inline distT="0" distB="0" distL="0" distR="0">
            <wp:extent cx="5817870" cy="8223885"/>
            <wp:effectExtent l="0" t="0" r="0" b="5715"/>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füllen Steuererklärungen_Seite_4.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817870" cy="8223885"/>
                    </a:xfrm>
                    <a:prstGeom prst="rect">
                      <a:avLst/>
                    </a:prstGeom>
                  </pic:spPr>
                </pic:pic>
              </a:graphicData>
            </a:graphic>
          </wp:inline>
        </w:drawing>
      </w:r>
    </w:p>
    <w:p w:rsidR="00902C4B" w:rsidRDefault="00902C4B" w:rsidP="00902C4B">
      <w:pPr>
        <w:spacing w:after="200"/>
        <w:rPr>
          <w:szCs w:val="22"/>
        </w:rPr>
      </w:pPr>
      <w:r>
        <w:rPr>
          <w:szCs w:val="22"/>
        </w:rPr>
        <w:br w:type="page"/>
      </w:r>
    </w:p>
    <w:p w:rsidR="00902C4B" w:rsidRDefault="00C278A1" w:rsidP="00902C4B">
      <w:pPr>
        <w:rPr>
          <w:szCs w:val="22"/>
        </w:rPr>
      </w:pPr>
      <w:r>
        <w:rPr>
          <w:noProof/>
          <w:szCs w:val="22"/>
          <w:lang w:eastAsia="de-CH"/>
        </w:rPr>
        <w:lastRenderedPageBreak/>
        <w:drawing>
          <wp:inline distT="0" distB="0" distL="0" distR="0">
            <wp:extent cx="5817870" cy="8223885"/>
            <wp:effectExtent l="0" t="0" r="0" b="5715"/>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füllen Steuererklärungen_Seite_5.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817870" cy="8223885"/>
                    </a:xfrm>
                    <a:prstGeom prst="rect">
                      <a:avLst/>
                    </a:prstGeom>
                  </pic:spPr>
                </pic:pic>
              </a:graphicData>
            </a:graphic>
          </wp:inline>
        </w:drawing>
      </w:r>
    </w:p>
    <w:p w:rsidR="00902C4B" w:rsidRDefault="00902C4B" w:rsidP="00902C4B">
      <w:pPr>
        <w:spacing w:after="200"/>
        <w:rPr>
          <w:szCs w:val="22"/>
        </w:rPr>
      </w:pPr>
      <w:r>
        <w:rPr>
          <w:szCs w:val="22"/>
        </w:rPr>
        <w:br w:type="page"/>
      </w:r>
    </w:p>
    <w:p w:rsidR="00902C4B" w:rsidRDefault="00C278A1" w:rsidP="00902C4B">
      <w:pPr>
        <w:rPr>
          <w:szCs w:val="22"/>
        </w:rPr>
      </w:pPr>
      <w:r>
        <w:rPr>
          <w:noProof/>
          <w:szCs w:val="22"/>
          <w:lang w:eastAsia="de-CH"/>
        </w:rPr>
        <w:lastRenderedPageBreak/>
        <w:drawing>
          <wp:inline distT="0" distB="0" distL="0" distR="0">
            <wp:extent cx="5817870" cy="8223885"/>
            <wp:effectExtent l="0" t="0" r="0" b="5715"/>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füllen Steuererklärungen_Seite_6.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817870" cy="8223885"/>
                    </a:xfrm>
                    <a:prstGeom prst="rect">
                      <a:avLst/>
                    </a:prstGeom>
                  </pic:spPr>
                </pic:pic>
              </a:graphicData>
            </a:graphic>
          </wp:inline>
        </w:drawing>
      </w:r>
    </w:p>
    <w:p w:rsidR="00902C4B" w:rsidRDefault="00902C4B" w:rsidP="00902C4B">
      <w:pPr>
        <w:spacing w:after="200"/>
        <w:rPr>
          <w:szCs w:val="22"/>
        </w:rPr>
      </w:pPr>
      <w:r>
        <w:rPr>
          <w:szCs w:val="22"/>
        </w:rPr>
        <w:br w:type="page"/>
      </w:r>
    </w:p>
    <w:p w:rsidR="00902C4B" w:rsidRDefault="00C278A1" w:rsidP="00902C4B">
      <w:pPr>
        <w:rPr>
          <w:szCs w:val="22"/>
        </w:rPr>
      </w:pPr>
      <w:r>
        <w:rPr>
          <w:noProof/>
          <w:szCs w:val="22"/>
          <w:lang w:eastAsia="de-CH"/>
        </w:rPr>
        <w:lastRenderedPageBreak/>
        <w:drawing>
          <wp:inline distT="0" distB="0" distL="0" distR="0">
            <wp:extent cx="5817870" cy="8223885"/>
            <wp:effectExtent l="0" t="0" r="0" b="5715"/>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füllen Steuererklärungen_Seite_7.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817870" cy="8223885"/>
                    </a:xfrm>
                    <a:prstGeom prst="rect">
                      <a:avLst/>
                    </a:prstGeom>
                  </pic:spPr>
                </pic:pic>
              </a:graphicData>
            </a:graphic>
          </wp:inline>
        </w:drawing>
      </w:r>
    </w:p>
    <w:p w:rsidR="00902C4B" w:rsidRDefault="00902C4B" w:rsidP="00902C4B">
      <w:pPr>
        <w:spacing w:after="200"/>
        <w:rPr>
          <w:szCs w:val="22"/>
        </w:rPr>
      </w:pPr>
      <w:r>
        <w:rPr>
          <w:szCs w:val="22"/>
        </w:rPr>
        <w:br w:type="page"/>
      </w:r>
    </w:p>
    <w:p w:rsidR="00902C4B" w:rsidRDefault="00C278A1" w:rsidP="00902C4B">
      <w:pPr>
        <w:rPr>
          <w:szCs w:val="22"/>
        </w:rPr>
      </w:pPr>
      <w:r>
        <w:rPr>
          <w:noProof/>
          <w:szCs w:val="22"/>
          <w:lang w:eastAsia="de-CH"/>
        </w:rPr>
        <w:lastRenderedPageBreak/>
        <w:drawing>
          <wp:inline distT="0" distB="0" distL="0" distR="0">
            <wp:extent cx="5817870" cy="8223885"/>
            <wp:effectExtent l="0" t="0" r="0" b="5715"/>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füllen Steuererklärungen_Seite_8.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817870" cy="8223885"/>
                    </a:xfrm>
                    <a:prstGeom prst="rect">
                      <a:avLst/>
                    </a:prstGeom>
                  </pic:spPr>
                </pic:pic>
              </a:graphicData>
            </a:graphic>
          </wp:inline>
        </w:drawing>
      </w:r>
    </w:p>
    <w:p w:rsidR="00902C4B" w:rsidRDefault="00902C4B" w:rsidP="00902C4B">
      <w:pPr>
        <w:spacing w:after="200"/>
        <w:rPr>
          <w:szCs w:val="22"/>
        </w:rPr>
      </w:pPr>
      <w:r>
        <w:rPr>
          <w:szCs w:val="22"/>
        </w:rPr>
        <w:br w:type="page"/>
      </w:r>
    </w:p>
    <w:p w:rsidR="00C278A1" w:rsidRPr="00971DED" w:rsidRDefault="00C278A1" w:rsidP="00C278A1">
      <w:pPr>
        <w:pStyle w:val="berschrift3"/>
      </w:pPr>
      <w:bookmarkStart w:id="216" w:name="_Toc431836418"/>
      <w:bookmarkStart w:id="217" w:name="_Toc432175732"/>
      <w:r>
        <w:lastRenderedPageBreak/>
        <w:t>B.</w:t>
      </w:r>
      <w:r>
        <w:tab/>
        <w:t>Ohne Liegenschaft des überlebenden Ehegatten</w:t>
      </w:r>
      <w:bookmarkEnd w:id="216"/>
      <w:bookmarkEnd w:id="217"/>
    </w:p>
    <w:p w:rsidR="00C278A1" w:rsidRPr="00971DED" w:rsidRDefault="00C278A1" w:rsidP="00C278A1">
      <w:pPr>
        <w:tabs>
          <w:tab w:val="left" w:pos="426"/>
          <w:tab w:val="right" w:pos="8222"/>
        </w:tabs>
        <w:rPr>
          <w:rFonts w:ascii="Book Antiqua" w:hAnsi="Book Antiqua"/>
          <w:sz w:val="24"/>
        </w:rPr>
      </w:pPr>
      <w:r w:rsidRPr="00971DED">
        <w:rPr>
          <w:rFonts w:ascii="Book Antiqua" w:hAnsi="Book Antiqua"/>
          <w:sz w:val="24"/>
        </w:rPr>
        <w:t>Die Errichtung eines Steuerinventars wurde verfügt.</w:t>
      </w:r>
    </w:p>
    <w:p w:rsidR="00C278A1" w:rsidRPr="00971DED" w:rsidRDefault="00C278A1" w:rsidP="00C278A1">
      <w:pPr>
        <w:tabs>
          <w:tab w:val="left" w:pos="426"/>
          <w:tab w:val="right" w:pos="8222"/>
        </w:tabs>
        <w:rPr>
          <w:rFonts w:ascii="Book Antiqua" w:hAnsi="Book Antiqua"/>
          <w:sz w:val="24"/>
        </w:rPr>
      </w:pPr>
    </w:p>
    <w:p w:rsidR="00C278A1" w:rsidRPr="00971DED" w:rsidRDefault="00C278A1" w:rsidP="00C278A1">
      <w:pPr>
        <w:tabs>
          <w:tab w:val="left" w:pos="426"/>
          <w:tab w:val="right" w:pos="8222"/>
        </w:tabs>
        <w:rPr>
          <w:rFonts w:ascii="Book Antiqua" w:hAnsi="Book Antiqua"/>
          <w:sz w:val="24"/>
        </w:rPr>
      </w:pPr>
      <w:r w:rsidRPr="00971DED">
        <w:rPr>
          <w:rFonts w:ascii="Book Antiqua" w:hAnsi="Book Antiqua"/>
          <w:sz w:val="24"/>
        </w:rPr>
        <w:t>Bei der Durchführung der Inventaraufnahme hat der Notar folgende Feststellungen getroffen:</w:t>
      </w:r>
    </w:p>
    <w:p w:rsidR="00C278A1" w:rsidRPr="00971DED" w:rsidRDefault="00C278A1" w:rsidP="00C278A1">
      <w:pPr>
        <w:tabs>
          <w:tab w:val="left" w:pos="426"/>
          <w:tab w:val="right" w:pos="8222"/>
        </w:tabs>
        <w:rPr>
          <w:rFonts w:ascii="Book Antiqua" w:hAnsi="Book Antiqua"/>
          <w:sz w:val="24"/>
        </w:rPr>
      </w:pPr>
    </w:p>
    <w:p w:rsidR="00C278A1" w:rsidRPr="00971DED" w:rsidRDefault="00C278A1" w:rsidP="00C278A1">
      <w:pPr>
        <w:tabs>
          <w:tab w:val="left" w:pos="426"/>
          <w:tab w:val="right" w:pos="8222"/>
        </w:tabs>
        <w:rPr>
          <w:rFonts w:ascii="Book Antiqua" w:hAnsi="Book Antiqua"/>
          <w:sz w:val="24"/>
        </w:rPr>
      </w:pPr>
      <w:r w:rsidRPr="00971DED">
        <w:rPr>
          <w:rFonts w:ascii="Book Antiqua" w:hAnsi="Book Antiqua"/>
          <w:b/>
          <w:sz w:val="24"/>
        </w:rPr>
        <w:t>Eigengut Ehefrau</w:t>
      </w:r>
      <w:r w:rsidRPr="00971DED">
        <w:rPr>
          <w:rFonts w:ascii="Book Antiqua" w:hAnsi="Book Antiqua"/>
          <w:sz w:val="24"/>
        </w:rPr>
        <w:t>:</w:t>
      </w: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w:t>
      </w:r>
      <w:r w:rsidRPr="00971DED">
        <w:rPr>
          <w:rFonts w:ascii="Book Antiqua" w:hAnsi="Book Antiqua"/>
          <w:sz w:val="24"/>
        </w:rPr>
        <w:tab/>
      </w:r>
      <w:r w:rsidRPr="00971DED">
        <w:rPr>
          <w:rFonts w:ascii="Book Antiqua" w:hAnsi="Book Antiqua"/>
          <w:sz w:val="24"/>
          <w:u w:val="single"/>
        </w:rPr>
        <w:t>Sparkonto</w:t>
      </w:r>
      <w:r w:rsidRPr="00971DED">
        <w:rPr>
          <w:rFonts w:ascii="Book Antiqua" w:hAnsi="Book Antiqua"/>
          <w:sz w:val="24"/>
        </w:rPr>
        <w:t xml:space="preserve"> BEKB, Kapital</w:t>
      </w:r>
      <w:r w:rsidRPr="00971DED">
        <w:rPr>
          <w:rFonts w:ascii="Book Antiqua" w:hAnsi="Book Antiqua"/>
          <w:sz w:val="24"/>
        </w:rPr>
        <w:tab/>
      </w:r>
      <w:r w:rsidRPr="00971DED">
        <w:rPr>
          <w:rFonts w:ascii="Book Antiqua" w:hAnsi="Book Antiqua"/>
          <w:sz w:val="24"/>
        </w:rPr>
        <w:tab/>
      </w:r>
      <w:r w:rsidRPr="00971DED">
        <w:rPr>
          <w:rFonts w:ascii="Book Antiqua" w:hAnsi="Book Antiqua"/>
          <w:sz w:val="24"/>
        </w:rPr>
        <w:tab/>
        <w:t>Fr.</w:t>
      </w:r>
      <w:r w:rsidRPr="00971DED">
        <w:rPr>
          <w:rFonts w:ascii="Book Antiqua" w:hAnsi="Book Antiqua"/>
          <w:sz w:val="24"/>
        </w:rPr>
        <w:tab/>
        <w:t>50'000.—</w:t>
      </w: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t>Marchzins 12.9.</w:t>
      </w:r>
      <w:r w:rsidRPr="00971DED">
        <w:rPr>
          <w:rFonts w:ascii="Book Antiqua" w:hAnsi="Book Antiqua"/>
          <w:sz w:val="24"/>
        </w:rPr>
        <w:tab/>
        <w:t>Fr.</w:t>
      </w:r>
      <w:r w:rsidRPr="00971DED">
        <w:rPr>
          <w:rFonts w:ascii="Book Antiqua" w:hAnsi="Book Antiqua"/>
          <w:sz w:val="24"/>
        </w:rPr>
        <w:tab/>
        <w:t>200.—</w:t>
      </w: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t>Zins brutto 1.1. - 31.12.</w:t>
      </w:r>
      <w:r w:rsidRPr="00971DED">
        <w:rPr>
          <w:rFonts w:ascii="Book Antiqua" w:hAnsi="Book Antiqua"/>
          <w:sz w:val="24"/>
        </w:rPr>
        <w:tab/>
        <w:t>Fr.</w:t>
      </w:r>
      <w:r w:rsidRPr="00971DED">
        <w:rPr>
          <w:rFonts w:ascii="Book Antiqua" w:hAnsi="Book Antiqua"/>
          <w:sz w:val="24"/>
        </w:rPr>
        <w:tab/>
        <w:t>300.—</w:t>
      </w: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r>
      <w:proofErr w:type="spellStart"/>
      <w:r w:rsidRPr="00971DED">
        <w:rPr>
          <w:rFonts w:ascii="Book Antiqua" w:hAnsi="Book Antiqua"/>
          <w:sz w:val="24"/>
        </w:rPr>
        <w:t>VSt</w:t>
      </w:r>
      <w:proofErr w:type="spellEnd"/>
      <w:r w:rsidRPr="00971DED">
        <w:rPr>
          <w:rFonts w:ascii="Book Antiqua" w:hAnsi="Book Antiqua"/>
          <w:sz w:val="24"/>
        </w:rPr>
        <w:t xml:space="preserve"> 31.12.</w:t>
      </w:r>
      <w:r w:rsidRPr="00971DED">
        <w:rPr>
          <w:rFonts w:ascii="Book Antiqua" w:hAnsi="Book Antiqua"/>
          <w:sz w:val="24"/>
        </w:rPr>
        <w:tab/>
        <w:t>Fr.</w:t>
      </w:r>
      <w:r w:rsidRPr="00971DED">
        <w:rPr>
          <w:rFonts w:ascii="Book Antiqua" w:hAnsi="Book Antiqua"/>
          <w:sz w:val="24"/>
        </w:rPr>
        <w:tab/>
        <w:t>105.—</w:t>
      </w: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t>Spesen 1.1. - 31.12.</w:t>
      </w:r>
      <w:r w:rsidRPr="00971DED">
        <w:rPr>
          <w:rFonts w:ascii="Book Antiqua" w:hAnsi="Book Antiqua"/>
          <w:sz w:val="24"/>
        </w:rPr>
        <w:tab/>
        <w:t>Fr.</w:t>
      </w:r>
      <w:r w:rsidRPr="00971DED">
        <w:rPr>
          <w:rFonts w:ascii="Book Antiqua" w:hAnsi="Book Antiqua"/>
          <w:sz w:val="24"/>
        </w:rPr>
        <w:tab/>
        <w:t>5.—</w:t>
      </w: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w:t>
      </w:r>
      <w:r w:rsidRPr="00971DED">
        <w:rPr>
          <w:rFonts w:ascii="Book Antiqua" w:hAnsi="Book Antiqua"/>
          <w:sz w:val="24"/>
        </w:rPr>
        <w:tab/>
      </w:r>
      <w:r w:rsidRPr="00971DED">
        <w:rPr>
          <w:rFonts w:ascii="Book Antiqua" w:hAnsi="Book Antiqua"/>
          <w:sz w:val="24"/>
          <w:u w:val="single"/>
        </w:rPr>
        <w:t>Liegenschaft</w:t>
      </w:r>
      <w:r w:rsidRPr="00971DED">
        <w:rPr>
          <w:rFonts w:ascii="Book Antiqua" w:hAnsi="Book Antiqua"/>
          <w:sz w:val="24"/>
        </w:rPr>
        <w:t xml:space="preserve"> Seldwyla-GB 600, Amtlicher Wert</w:t>
      </w:r>
      <w:r w:rsidRPr="00971DED">
        <w:rPr>
          <w:rFonts w:ascii="Book Antiqua" w:hAnsi="Book Antiqua"/>
          <w:sz w:val="24"/>
        </w:rPr>
        <w:tab/>
      </w:r>
      <w:r w:rsidRPr="00971DED">
        <w:rPr>
          <w:rFonts w:ascii="Book Antiqua" w:hAnsi="Book Antiqua"/>
          <w:sz w:val="24"/>
        </w:rPr>
        <w:tab/>
        <w:t>Fr.</w:t>
      </w:r>
      <w:r w:rsidRPr="00971DED">
        <w:rPr>
          <w:rFonts w:ascii="Book Antiqua" w:hAnsi="Book Antiqua"/>
          <w:sz w:val="24"/>
        </w:rPr>
        <w:tab/>
        <w:t>250'000.—</w:t>
      </w: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t>Hypothek</w:t>
      </w:r>
      <w:r w:rsidRPr="00971DED">
        <w:rPr>
          <w:rFonts w:ascii="Book Antiqua" w:hAnsi="Book Antiqua"/>
          <w:sz w:val="24"/>
        </w:rPr>
        <w:tab/>
        <w:t>Fr.</w:t>
      </w:r>
      <w:r w:rsidRPr="00971DED">
        <w:rPr>
          <w:rFonts w:ascii="Book Antiqua" w:hAnsi="Book Antiqua"/>
          <w:sz w:val="24"/>
        </w:rPr>
        <w:tab/>
        <w:t>100'000.—</w:t>
      </w: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t>Marchzins 1.7. - 12.9.</w:t>
      </w:r>
      <w:r w:rsidRPr="00971DED">
        <w:rPr>
          <w:rFonts w:ascii="Book Antiqua" w:hAnsi="Book Antiqua"/>
          <w:sz w:val="24"/>
        </w:rPr>
        <w:tab/>
        <w:t>Fr.</w:t>
      </w:r>
      <w:r w:rsidRPr="00971DED">
        <w:rPr>
          <w:rFonts w:ascii="Book Antiqua" w:hAnsi="Book Antiqua"/>
          <w:sz w:val="24"/>
        </w:rPr>
        <w:tab/>
        <w:t>300.—</w:t>
      </w: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t>Zins 1.1. – 31.12. (4 x 750</w:t>
      </w:r>
      <w:proofErr w:type="gramStart"/>
      <w:r w:rsidRPr="00971DED">
        <w:rPr>
          <w:rFonts w:ascii="Book Antiqua" w:hAnsi="Book Antiqua"/>
          <w:sz w:val="24"/>
        </w:rPr>
        <w:t>.—</w:t>
      </w:r>
      <w:proofErr w:type="gramEnd"/>
      <w:r w:rsidRPr="00971DED">
        <w:rPr>
          <w:rFonts w:ascii="Book Antiqua" w:hAnsi="Book Antiqua"/>
          <w:sz w:val="24"/>
        </w:rPr>
        <w:t>)</w:t>
      </w:r>
      <w:r w:rsidRPr="00971DED">
        <w:rPr>
          <w:rFonts w:ascii="Book Antiqua" w:hAnsi="Book Antiqua"/>
          <w:sz w:val="24"/>
        </w:rPr>
        <w:tab/>
        <w:t>Fr.</w:t>
      </w:r>
      <w:r w:rsidRPr="00971DED">
        <w:rPr>
          <w:rFonts w:ascii="Book Antiqua" w:hAnsi="Book Antiqua"/>
          <w:sz w:val="24"/>
        </w:rPr>
        <w:tab/>
        <w:t>3'000.—</w:t>
      </w: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t>Prämie Gebäudeversicherung pro Jahr,</w:t>
      </w: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t>bezahlt am 1.1.</w:t>
      </w:r>
      <w:r w:rsidRPr="00971DED">
        <w:rPr>
          <w:rFonts w:ascii="Book Antiqua" w:hAnsi="Book Antiqua"/>
          <w:sz w:val="24"/>
        </w:rPr>
        <w:tab/>
        <w:t>Fr.</w:t>
      </w:r>
      <w:r w:rsidRPr="00971DED">
        <w:rPr>
          <w:rFonts w:ascii="Book Antiqua" w:hAnsi="Book Antiqua"/>
          <w:sz w:val="24"/>
        </w:rPr>
        <w:tab/>
        <w:t>500</w:t>
      </w:r>
      <w:proofErr w:type="gramStart"/>
      <w:r w:rsidRPr="00971DED">
        <w:rPr>
          <w:rFonts w:ascii="Book Antiqua" w:hAnsi="Book Antiqua"/>
          <w:sz w:val="24"/>
        </w:rPr>
        <w:t>.—</w:t>
      </w:r>
      <w:proofErr w:type="gramEnd"/>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t>Eigenmietwert pro Jahr</w:t>
      </w:r>
      <w:r w:rsidRPr="00971DED">
        <w:rPr>
          <w:rFonts w:ascii="Book Antiqua" w:hAnsi="Book Antiqua"/>
          <w:sz w:val="24"/>
        </w:rPr>
        <w:tab/>
        <w:t>Fr.</w:t>
      </w:r>
      <w:r w:rsidRPr="00971DED">
        <w:rPr>
          <w:rFonts w:ascii="Book Antiqua" w:hAnsi="Book Antiqua"/>
          <w:sz w:val="24"/>
        </w:rPr>
        <w:tab/>
        <w:t>6'000.—</w:t>
      </w: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t>Liegenschaftsunterhalt</w:t>
      </w:r>
      <w:r w:rsidRPr="00971DED">
        <w:rPr>
          <w:rFonts w:ascii="Book Antiqua" w:hAnsi="Book Antiqua"/>
          <w:sz w:val="24"/>
        </w:rPr>
        <w:tab/>
        <w:t>Fr.</w:t>
      </w:r>
      <w:r w:rsidRPr="00971DED">
        <w:rPr>
          <w:rFonts w:ascii="Book Antiqua" w:hAnsi="Book Antiqua"/>
          <w:sz w:val="24"/>
        </w:rPr>
        <w:tab/>
        <w:t>0.—</w:t>
      </w: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b/>
          <w:sz w:val="24"/>
        </w:rPr>
        <w:t>Eigengut Ehemann</w:t>
      </w:r>
      <w:r w:rsidRPr="00971DED">
        <w:rPr>
          <w:rFonts w:ascii="Book Antiqua" w:hAnsi="Book Antiqua"/>
          <w:sz w:val="24"/>
        </w:rPr>
        <w:t>:</w:t>
      </w: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w:t>
      </w:r>
      <w:r w:rsidRPr="00971DED">
        <w:rPr>
          <w:rFonts w:ascii="Book Antiqua" w:hAnsi="Book Antiqua"/>
          <w:sz w:val="24"/>
        </w:rPr>
        <w:tab/>
        <w:t>Keines</w:t>
      </w:r>
      <w:r w:rsidRPr="00971DED">
        <w:rPr>
          <w:rFonts w:ascii="Book Antiqua" w:hAnsi="Book Antiqua"/>
          <w:sz w:val="24"/>
        </w:rPr>
        <w:tab/>
      </w:r>
      <w:r w:rsidRPr="00971DED">
        <w:rPr>
          <w:rFonts w:ascii="Book Antiqua" w:hAnsi="Book Antiqua"/>
          <w:sz w:val="24"/>
        </w:rPr>
        <w:tab/>
      </w:r>
      <w:r w:rsidRPr="00971DED">
        <w:rPr>
          <w:rFonts w:ascii="Book Antiqua" w:hAnsi="Book Antiqua"/>
          <w:sz w:val="24"/>
        </w:rPr>
        <w:tab/>
        <w:t>Fr.</w:t>
      </w:r>
      <w:r w:rsidRPr="00971DED">
        <w:rPr>
          <w:rFonts w:ascii="Book Antiqua" w:hAnsi="Book Antiqua"/>
          <w:sz w:val="24"/>
        </w:rPr>
        <w:tab/>
        <w:t>0.—</w:t>
      </w: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b/>
          <w:sz w:val="24"/>
        </w:rPr>
        <w:t>Errungenschaft Ehefrau</w:t>
      </w:r>
      <w:r w:rsidRPr="00971DED">
        <w:rPr>
          <w:rFonts w:ascii="Book Antiqua" w:hAnsi="Book Antiqua"/>
          <w:sz w:val="24"/>
        </w:rPr>
        <w:t>:</w:t>
      </w: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w:t>
      </w:r>
      <w:r w:rsidRPr="00971DED">
        <w:rPr>
          <w:rFonts w:ascii="Book Antiqua" w:hAnsi="Book Antiqua"/>
          <w:sz w:val="24"/>
        </w:rPr>
        <w:tab/>
      </w:r>
      <w:r w:rsidRPr="00971DED">
        <w:rPr>
          <w:rFonts w:ascii="Book Antiqua" w:hAnsi="Book Antiqua"/>
          <w:sz w:val="24"/>
          <w:u w:val="single"/>
        </w:rPr>
        <w:t>Sparkonto</w:t>
      </w:r>
      <w:r w:rsidRPr="00971DED">
        <w:rPr>
          <w:rFonts w:ascii="Book Antiqua" w:hAnsi="Book Antiqua"/>
          <w:sz w:val="24"/>
        </w:rPr>
        <w:t xml:space="preserve"> UBS AG, Kapital</w:t>
      </w:r>
      <w:r w:rsidRPr="00971DED">
        <w:rPr>
          <w:rFonts w:ascii="Book Antiqua" w:hAnsi="Book Antiqua"/>
          <w:sz w:val="24"/>
        </w:rPr>
        <w:tab/>
      </w:r>
      <w:r w:rsidRPr="00971DED">
        <w:rPr>
          <w:rFonts w:ascii="Book Antiqua" w:hAnsi="Book Antiqua"/>
          <w:sz w:val="24"/>
        </w:rPr>
        <w:tab/>
      </w:r>
      <w:r w:rsidRPr="00971DED">
        <w:rPr>
          <w:rFonts w:ascii="Book Antiqua" w:hAnsi="Book Antiqua"/>
          <w:sz w:val="24"/>
        </w:rPr>
        <w:tab/>
        <w:t>Fr.</w:t>
      </w:r>
      <w:r w:rsidRPr="00971DED">
        <w:rPr>
          <w:rFonts w:ascii="Book Antiqua" w:hAnsi="Book Antiqua"/>
          <w:sz w:val="24"/>
        </w:rPr>
        <w:tab/>
        <w:t>10'000.—</w:t>
      </w: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t>Marchzins per 12.9.</w:t>
      </w:r>
      <w:r w:rsidRPr="00971DED">
        <w:rPr>
          <w:rFonts w:ascii="Book Antiqua" w:hAnsi="Book Antiqua"/>
          <w:sz w:val="24"/>
        </w:rPr>
        <w:tab/>
        <w:t>Fr.</w:t>
      </w:r>
      <w:r w:rsidRPr="00971DED">
        <w:rPr>
          <w:rFonts w:ascii="Book Antiqua" w:hAnsi="Book Antiqua"/>
          <w:sz w:val="24"/>
        </w:rPr>
        <w:tab/>
        <w:t>80.—</w:t>
      </w: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t>Zins 1.1. – 31.12.</w:t>
      </w:r>
      <w:r w:rsidRPr="00971DED">
        <w:rPr>
          <w:rFonts w:ascii="Book Antiqua" w:hAnsi="Book Antiqua"/>
          <w:sz w:val="24"/>
        </w:rPr>
        <w:tab/>
        <w:t>Fr.</w:t>
      </w:r>
      <w:r w:rsidRPr="00971DED">
        <w:rPr>
          <w:rFonts w:ascii="Book Antiqua" w:hAnsi="Book Antiqua"/>
          <w:sz w:val="24"/>
        </w:rPr>
        <w:tab/>
        <w:t>100.—</w:t>
      </w: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r>
      <w:proofErr w:type="spellStart"/>
      <w:r w:rsidRPr="00971DED">
        <w:rPr>
          <w:rFonts w:ascii="Book Antiqua" w:hAnsi="Book Antiqua"/>
          <w:sz w:val="24"/>
        </w:rPr>
        <w:t>VSt</w:t>
      </w:r>
      <w:proofErr w:type="spellEnd"/>
      <w:r w:rsidRPr="00971DED">
        <w:rPr>
          <w:rFonts w:ascii="Book Antiqua" w:hAnsi="Book Antiqua"/>
          <w:sz w:val="24"/>
        </w:rPr>
        <w:tab/>
        <w:t>Fr.</w:t>
      </w:r>
      <w:r w:rsidRPr="00971DED">
        <w:rPr>
          <w:rFonts w:ascii="Book Antiqua" w:hAnsi="Book Antiqua"/>
          <w:sz w:val="24"/>
        </w:rPr>
        <w:tab/>
        <w:t>35.—</w:t>
      </w: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t>Spesen</w:t>
      </w:r>
      <w:r w:rsidRPr="00971DED">
        <w:rPr>
          <w:rFonts w:ascii="Book Antiqua" w:hAnsi="Book Antiqua"/>
          <w:sz w:val="24"/>
        </w:rPr>
        <w:tab/>
        <w:t>Fr.</w:t>
      </w:r>
      <w:r w:rsidRPr="00971DED">
        <w:rPr>
          <w:rFonts w:ascii="Book Antiqua" w:hAnsi="Book Antiqua"/>
          <w:sz w:val="24"/>
        </w:rPr>
        <w:tab/>
        <w:t>5.—</w:t>
      </w: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b/>
          <w:sz w:val="24"/>
        </w:rPr>
        <w:t>Errungenschaft Ehemann</w:t>
      </w:r>
      <w:r w:rsidRPr="00971DED">
        <w:rPr>
          <w:rFonts w:ascii="Book Antiqua" w:hAnsi="Book Antiqua"/>
          <w:sz w:val="24"/>
        </w:rPr>
        <w:t>:</w:t>
      </w: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w:t>
      </w:r>
      <w:r w:rsidRPr="00971DED">
        <w:rPr>
          <w:rFonts w:ascii="Book Antiqua" w:hAnsi="Book Antiqua"/>
          <w:sz w:val="24"/>
        </w:rPr>
        <w:tab/>
      </w:r>
      <w:r w:rsidRPr="00971DED">
        <w:rPr>
          <w:rFonts w:ascii="Book Antiqua" w:hAnsi="Book Antiqua"/>
          <w:sz w:val="24"/>
          <w:u w:val="single"/>
        </w:rPr>
        <w:t>Sparkonto</w:t>
      </w:r>
      <w:r w:rsidRPr="00971DED">
        <w:rPr>
          <w:rFonts w:ascii="Book Antiqua" w:hAnsi="Book Antiqua"/>
          <w:sz w:val="24"/>
        </w:rPr>
        <w:t xml:space="preserve"> UBS AG, Kapital</w:t>
      </w:r>
      <w:r w:rsidRPr="00971DED">
        <w:rPr>
          <w:rFonts w:ascii="Book Antiqua" w:hAnsi="Book Antiqua"/>
          <w:sz w:val="24"/>
        </w:rPr>
        <w:tab/>
      </w:r>
      <w:r w:rsidRPr="00971DED">
        <w:rPr>
          <w:rFonts w:ascii="Book Antiqua" w:hAnsi="Book Antiqua"/>
          <w:sz w:val="24"/>
        </w:rPr>
        <w:tab/>
      </w:r>
      <w:r w:rsidRPr="00971DED">
        <w:rPr>
          <w:rFonts w:ascii="Book Antiqua" w:hAnsi="Book Antiqua"/>
          <w:sz w:val="24"/>
        </w:rPr>
        <w:tab/>
        <w:t>Fr.</w:t>
      </w:r>
      <w:r w:rsidRPr="00971DED">
        <w:rPr>
          <w:rFonts w:ascii="Book Antiqua" w:hAnsi="Book Antiqua"/>
          <w:sz w:val="24"/>
        </w:rPr>
        <w:tab/>
        <w:t>100'000.—</w:t>
      </w: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t>Marchzins per 12.9.</w:t>
      </w:r>
      <w:r w:rsidRPr="00971DED">
        <w:rPr>
          <w:rFonts w:ascii="Book Antiqua" w:hAnsi="Book Antiqua"/>
          <w:sz w:val="24"/>
        </w:rPr>
        <w:tab/>
        <w:t>Fr.</w:t>
      </w:r>
      <w:r w:rsidRPr="00971DED">
        <w:rPr>
          <w:rFonts w:ascii="Book Antiqua" w:hAnsi="Book Antiqua"/>
          <w:sz w:val="24"/>
        </w:rPr>
        <w:tab/>
        <w:t>750.—</w:t>
      </w: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t>Zins 1.1. – 31.12.</w:t>
      </w:r>
      <w:r w:rsidRPr="00971DED">
        <w:rPr>
          <w:rFonts w:ascii="Book Antiqua" w:hAnsi="Book Antiqua"/>
          <w:sz w:val="24"/>
        </w:rPr>
        <w:tab/>
        <w:t>Fr.</w:t>
      </w:r>
      <w:r w:rsidRPr="00971DED">
        <w:rPr>
          <w:rFonts w:ascii="Book Antiqua" w:hAnsi="Book Antiqua"/>
          <w:sz w:val="24"/>
        </w:rPr>
        <w:tab/>
        <w:t>1'000.—</w:t>
      </w: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r>
      <w:proofErr w:type="spellStart"/>
      <w:r w:rsidRPr="00971DED">
        <w:rPr>
          <w:rFonts w:ascii="Book Antiqua" w:hAnsi="Book Antiqua"/>
          <w:sz w:val="24"/>
        </w:rPr>
        <w:t>VSt</w:t>
      </w:r>
      <w:proofErr w:type="spellEnd"/>
      <w:r w:rsidRPr="00971DED">
        <w:rPr>
          <w:rFonts w:ascii="Book Antiqua" w:hAnsi="Book Antiqua"/>
          <w:sz w:val="24"/>
        </w:rPr>
        <w:t xml:space="preserve"> 1.1. - 31.12.</w:t>
      </w:r>
      <w:r w:rsidRPr="00971DED">
        <w:rPr>
          <w:rFonts w:ascii="Book Antiqua" w:hAnsi="Book Antiqua"/>
          <w:sz w:val="24"/>
        </w:rPr>
        <w:tab/>
        <w:t>Fr.</w:t>
      </w:r>
      <w:r w:rsidRPr="00971DED">
        <w:rPr>
          <w:rFonts w:ascii="Book Antiqua" w:hAnsi="Book Antiqua"/>
          <w:sz w:val="24"/>
        </w:rPr>
        <w:tab/>
        <w:t>350.—</w:t>
      </w: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t>Spesen 1.1. - 31.12.</w:t>
      </w:r>
      <w:r w:rsidRPr="00971DED">
        <w:rPr>
          <w:rFonts w:ascii="Book Antiqua" w:hAnsi="Book Antiqua"/>
          <w:sz w:val="24"/>
        </w:rPr>
        <w:tab/>
        <w:t>Fr.</w:t>
      </w:r>
      <w:r w:rsidRPr="00971DED">
        <w:rPr>
          <w:rFonts w:ascii="Book Antiqua" w:hAnsi="Book Antiqua"/>
          <w:sz w:val="24"/>
        </w:rPr>
        <w:tab/>
        <w:t>10.—</w:t>
      </w: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w:t>
      </w:r>
      <w:r w:rsidRPr="00971DED">
        <w:rPr>
          <w:rFonts w:ascii="Book Antiqua" w:hAnsi="Book Antiqua"/>
          <w:sz w:val="24"/>
        </w:rPr>
        <w:tab/>
      </w:r>
      <w:r w:rsidRPr="00971DED">
        <w:rPr>
          <w:rFonts w:ascii="Book Antiqua" w:hAnsi="Book Antiqua"/>
          <w:sz w:val="24"/>
          <w:u w:val="single"/>
        </w:rPr>
        <w:t>Aktien</w:t>
      </w:r>
      <w:r w:rsidRPr="00971DED">
        <w:rPr>
          <w:rFonts w:ascii="Book Antiqua" w:hAnsi="Book Antiqua"/>
          <w:sz w:val="24"/>
        </w:rPr>
        <w:t xml:space="preserve"> UBS AG, Steuerwert (12.09. bzw. 31.12.)</w:t>
      </w:r>
      <w:r w:rsidRPr="00971DED">
        <w:rPr>
          <w:rFonts w:ascii="Book Antiqua" w:hAnsi="Book Antiqua"/>
          <w:sz w:val="24"/>
        </w:rPr>
        <w:tab/>
      </w:r>
      <w:r w:rsidRPr="00971DED">
        <w:rPr>
          <w:rFonts w:ascii="Book Antiqua" w:hAnsi="Book Antiqua"/>
          <w:sz w:val="24"/>
        </w:rPr>
        <w:tab/>
        <w:t>Fr.</w:t>
      </w:r>
      <w:r w:rsidRPr="00971DED">
        <w:rPr>
          <w:rFonts w:ascii="Book Antiqua" w:hAnsi="Book Antiqua"/>
          <w:sz w:val="24"/>
        </w:rPr>
        <w:tab/>
        <w:t>100'000.—</w:t>
      </w: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t>Dividende ausbezahlt am 1.5.</w:t>
      </w:r>
      <w:r w:rsidRPr="00971DED">
        <w:rPr>
          <w:rFonts w:ascii="Book Antiqua" w:hAnsi="Book Antiqua"/>
          <w:sz w:val="24"/>
        </w:rPr>
        <w:tab/>
        <w:t>Fr.</w:t>
      </w:r>
      <w:r w:rsidRPr="00971DED">
        <w:rPr>
          <w:rFonts w:ascii="Book Antiqua" w:hAnsi="Book Antiqua"/>
          <w:sz w:val="24"/>
        </w:rPr>
        <w:tab/>
        <w:t>2'500</w:t>
      </w:r>
      <w:proofErr w:type="gramStart"/>
      <w:r w:rsidRPr="00971DED">
        <w:rPr>
          <w:rFonts w:ascii="Book Antiqua" w:hAnsi="Book Antiqua"/>
          <w:sz w:val="24"/>
        </w:rPr>
        <w:t>.—</w:t>
      </w:r>
      <w:proofErr w:type="gramEnd"/>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w:t>
      </w:r>
      <w:r w:rsidRPr="00971DED">
        <w:rPr>
          <w:rFonts w:ascii="Book Antiqua" w:hAnsi="Book Antiqua"/>
          <w:sz w:val="24"/>
        </w:rPr>
        <w:tab/>
      </w:r>
      <w:r>
        <w:rPr>
          <w:rFonts w:ascii="Book Antiqua" w:hAnsi="Book Antiqua"/>
          <w:sz w:val="24"/>
          <w:u w:val="single"/>
        </w:rPr>
        <w:t>Wertschriftendepot UBS AG</w:t>
      </w:r>
      <w:r>
        <w:rPr>
          <w:rFonts w:ascii="Book Antiqua" w:hAnsi="Book Antiqua"/>
          <w:sz w:val="24"/>
        </w:rPr>
        <w:t>, Steuerwert (12.9. und 31.12.)</w:t>
      </w:r>
      <w:r w:rsidRPr="00971DED">
        <w:rPr>
          <w:rFonts w:ascii="Book Antiqua" w:hAnsi="Book Antiqua"/>
          <w:sz w:val="24"/>
        </w:rPr>
        <w:tab/>
        <w:t>Fr.</w:t>
      </w:r>
      <w:r w:rsidRPr="00971DED">
        <w:rPr>
          <w:rFonts w:ascii="Book Antiqua" w:hAnsi="Book Antiqua"/>
          <w:sz w:val="24"/>
        </w:rPr>
        <w:tab/>
        <w:t>100'000.—</w:t>
      </w:r>
    </w:p>
    <w:p w:rsidR="00C278A1" w:rsidRDefault="00C278A1" w:rsidP="00C278A1">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lastRenderedPageBreak/>
        <w:tab/>
      </w:r>
      <w:r>
        <w:rPr>
          <w:rFonts w:ascii="Book Antiqua" w:hAnsi="Book Antiqua"/>
          <w:sz w:val="24"/>
        </w:rPr>
        <w:t xml:space="preserve">Verwaltungskosten </w:t>
      </w:r>
      <w:r w:rsidRPr="00971DED">
        <w:rPr>
          <w:rFonts w:ascii="Book Antiqua" w:hAnsi="Book Antiqua"/>
          <w:sz w:val="24"/>
        </w:rPr>
        <w:t xml:space="preserve">bezahlt am </w:t>
      </w:r>
      <w:r>
        <w:rPr>
          <w:rFonts w:ascii="Book Antiqua" w:hAnsi="Book Antiqua"/>
          <w:sz w:val="24"/>
        </w:rPr>
        <w:t>30.6</w:t>
      </w:r>
      <w:r w:rsidRPr="00971DED">
        <w:rPr>
          <w:rFonts w:ascii="Book Antiqua" w:hAnsi="Book Antiqua"/>
          <w:sz w:val="24"/>
        </w:rPr>
        <w:t>.</w:t>
      </w:r>
      <w:r w:rsidRPr="00971DED">
        <w:rPr>
          <w:rFonts w:ascii="Book Antiqua" w:hAnsi="Book Antiqua"/>
          <w:sz w:val="24"/>
        </w:rPr>
        <w:tab/>
        <w:t>Fr.</w:t>
      </w:r>
      <w:r w:rsidRPr="00971DED">
        <w:rPr>
          <w:rFonts w:ascii="Book Antiqua" w:hAnsi="Book Antiqua"/>
          <w:sz w:val="24"/>
        </w:rPr>
        <w:tab/>
        <w:t>200.—</w:t>
      </w:r>
    </w:p>
    <w:p w:rsidR="00C278A1" w:rsidRDefault="00C278A1" w:rsidP="00C278A1">
      <w:pPr>
        <w:tabs>
          <w:tab w:val="left" w:pos="426"/>
          <w:tab w:val="left" w:pos="5103"/>
          <w:tab w:val="decimal" w:pos="6521"/>
          <w:tab w:val="left" w:pos="7088"/>
          <w:tab w:val="decimal" w:pos="8364"/>
        </w:tabs>
        <w:rPr>
          <w:rFonts w:ascii="Book Antiqua" w:hAnsi="Book Antiqua"/>
          <w:sz w:val="24"/>
        </w:rPr>
      </w:pPr>
      <w:r>
        <w:rPr>
          <w:rFonts w:ascii="Book Antiqua" w:hAnsi="Book Antiqua"/>
          <w:sz w:val="24"/>
        </w:rPr>
        <w:tab/>
        <w:t>Ertrag 1.1. - 30.8.</w:t>
      </w:r>
      <w:r>
        <w:rPr>
          <w:rFonts w:ascii="Book Antiqua" w:hAnsi="Book Antiqua"/>
          <w:sz w:val="24"/>
        </w:rPr>
        <w:tab/>
        <w:t>Fr.</w:t>
      </w:r>
      <w:r>
        <w:rPr>
          <w:rFonts w:ascii="Book Antiqua" w:hAnsi="Book Antiqua"/>
          <w:sz w:val="24"/>
        </w:rPr>
        <w:tab/>
        <w:t>9'000.—</w:t>
      </w: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r>
        <w:rPr>
          <w:rFonts w:ascii="Book Antiqua" w:hAnsi="Book Antiqua"/>
          <w:sz w:val="24"/>
        </w:rPr>
        <w:tab/>
        <w:t>Ertrag 15.10. - 31.12.</w:t>
      </w:r>
      <w:r>
        <w:rPr>
          <w:rFonts w:ascii="Book Antiqua" w:hAnsi="Book Antiqua"/>
          <w:sz w:val="24"/>
        </w:rPr>
        <w:tab/>
        <w:t>Fr.</w:t>
      </w:r>
      <w:r>
        <w:rPr>
          <w:rFonts w:ascii="Book Antiqua" w:hAnsi="Book Antiqua"/>
          <w:sz w:val="24"/>
        </w:rPr>
        <w:tab/>
        <w:t>3'000.—</w:t>
      </w: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p>
    <w:p w:rsidR="00C278A1" w:rsidRPr="00971DED" w:rsidRDefault="00C278A1" w:rsidP="00C278A1">
      <w:pPr>
        <w:rPr>
          <w:rFonts w:ascii="Book Antiqua" w:hAnsi="Book Antiqua"/>
          <w:sz w:val="24"/>
        </w:rPr>
      </w:pP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b/>
          <w:sz w:val="24"/>
        </w:rPr>
        <w:t>Weitere Angaben</w:t>
      </w:r>
      <w:r w:rsidRPr="00971DED">
        <w:rPr>
          <w:rFonts w:ascii="Book Antiqua" w:hAnsi="Book Antiqua"/>
          <w:sz w:val="24"/>
        </w:rPr>
        <w:t>:</w:t>
      </w: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w:t>
      </w:r>
      <w:r w:rsidRPr="00971DED">
        <w:rPr>
          <w:rFonts w:ascii="Book Antiqua" w:hAnsi="Book Antiqua"/>
          <w:sz w:val="24"/>
        </w:rPr>
        <w:tab/>
        <w:t>AHV-Rente Ehefrau pro Monat</w:t>
      </w:r>
      <w:r w:rsidRPr="00971DED">
        <w:rPr>
          <w:rFonts w:ascii="Book Antiqua" w:hAnsi="Book Antiqua"/>
          <w:sz w:val="24"/>
        </w:rPr>
        <w:tab/>
      </w:r>
      <w:r w:rsidRPr="00971DED">
        <w:rPr>
          <w:rFonts w:ascii="Book Antiqua" w:hAnsi="Book Antiqua"/>
          <w:sz w:val="24"/>
        </w:rPr>
        <w:tab/>
      </w:r>
      <w:r w:rsidRPr="00971DED">
        <w:rPr>
          <w:rFonts w:ascii="Book Antiqua" w:hAnsi="Book Antiqua"/>
          <w:sz w:val="24"/>
        </w:rPr>
        <w:tab/>
        <w:t>Fr.</w:t>
      </w:r>
      <w:r w:rsidRPr="00971DED">
        <w:rPr>
          <w:rFonts w:ascii="Book Antiqua" w:hAnsi="Book Antiqua"/>
          <w:sz w:val="24"/>
        </w:rPr>
        <w:tab/>
        <w:t>1'800.—</w:t>
      </w: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w:t>
      </w:r>
      <w:r w:rsidRPr="00971DED">
        <w:rPr>
          <w:rFonts w:ascii="Book Antiqua" w:hAnsi="Book Antiqua"/>
          <w:sz w:val="24"/>
        </w:rPr>
        <w:tab/>
        <w:t>AHV-Rente Ehemann pro Monat</w:t>
      </w:r>
      <w:r w:rsidRPr="00971DED">
        <w:rPr>
          <w:rFonts w:ascii="Book Antiqua" w:hAnsi="Book Antiqua"/>
          <w:sz w:val="24"/>
        </w:rPr>
        <w:tab/>
      </w:r>
      <w:r w:rsidRPr="00971DED">
        <w:rPr>
          <w:rFonts w:ascii="Book Antiqua" w:hAnsi="Book Antiqua"/>
          <w:sz w:val="24"/>
        </w:rPr>
        <w:tab/>
      </w:r>
      <w:r w:rsidRPr="00971DED">
        <w:rPr>
          <w:rFonts w:ascii="Book Antiqua" w:hAnsi="Book Antiqua"/>
          <w:sz w:val="24"/>
        </w:rPr>
        <w:tab/>
        <w:t>Fr.</w:t>
      </w:r>
      <w:r w:rsidRPr="00971DED">
        <w:rPr>
          <w:rFonts w:ascii="Book Antiqua" w:hAnsi="Book Antiqua"/>
          <w:sz w:val="24"/>
        </w:rPr>
        <w:tab/>
        <w:t>1'800.—</w:t>
      </w: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w:t>
      </w:r>
      <w:r w:rsidRPr="00971DED">
        <w:rPr>
          <w:rFonts w:ascii="Book Antiqua" w:hAnsi="Book Antiqua"/>
          <w:sz w:val="24"/>
        </w:rPr>
        <w:tab/>
        <w:t>AHV-Rente des überlebenden Ehemannes pro Monat</w:t>
      </w:r>
      <w:r w:rsidRPr="00971DED">
        <w:rPr>
          <w:rFonts w:ascii="Book Antiqua" w:hAnsi="Book Antiqua"/>
          <w:sz w:val="24"/>
        </w:rPr>
        <w:tab/>
      </w:r>
      <w:r w:rsidRPr="00971DED">
        <w:rPr>
          <w:rFonts w:ascii="Book Antiqua" w:hAnsi="Book Antiqua"/>
          <w:sz w:val="24"/>
        </w:rPr>
        <w:tab/>
        <w:t>Fr.</w:t>
      </w:r>
      <w:r w:rsidRPr="00971DED">
        <w:rPr>
          <w:rFonts w:ascii="Book Antiqua" w:hAnsi="Book Antiqua"/>
          <w:sz w:val="24"/>
        </w:rPr>
        <w:tab/>
        <w:t>2'800.—</w:t>
      </w: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w:t>
      </w:r>
      <w:r w:rsidRPr="00971DED">
        <w:rPr>
          <w:rFonts w:ascii="Book Antiqua" w:hAnsi="Book Antiqua"/>
          <w:sz w:val="24"/>
        </w:rPr>
        <w:tab/>
        <w:t>Prämien Krankenkasse für jedes Fr. 1'200.— pro Monat</w:t>
      </w: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w:t>
      </w:r>
      <w:r w:rsidRPr="00971DED">
        <w:rPr>
          <w:rFonts w:ascii="Book Antiqua" w:hAnsi="Book Antiqua"/>
          <w:sz w:val="24"/>
        </w:rPr>
        <w:tab/>
        <w:t>Guthaben Krankenkasse, erhalten per 30.9.</w:t>
      </w:r>
      <w:r w:rsidRPr="00971DED">
        <w:rPr>
          <w:rFonts w:ascii="Book Antiqua" w:hAnsi="Book Antiqua"/>
          <w:sz w:val="24"/>
        </w:rPr>
        <w:tab/>
      </w:r>
      <w:r w:rsidRPr="00971DED">
        <w:rPr>
          <w:rFonts w:ascii="Book Antiqua" w:hAnsi="Book Antiqua"/>
          <w:sz w:val="24"/>
        </w:rPr>
        <w:tab/>
      </w:r>
      <w:r w:rsidRPr="00971DED">
        <w:rPr>
          <w:rFonts w:ascii="Book Antiqua" w:hAnsi="Book Antiqua"/>
          <w:sz w:val="24"/>
        </w:rPr>
        <w:tab/>
        <w:t>Fr.</w:t>
      </w:r>
      <w:r w:rsidRPr="00971DED">
        <w:rPr>
          <w:rFonts w:ascii="Book Antiqua" w:hAnsi="Book Antiqua"/>
          <w:sz w:val="24"/>
        </w:rPr>
        <w:tab/>
        <w:t>2'500.—</w:t>
      </w: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w:t>
      </w:r>
      <w:r w:rsidRPr="00971DED">
        <w:rPr>
          <w:rFonts w:ascii="Book Antiqua" w:hAnsi="Book Antiqua"/>
          <w:sz w:val="24"/>
        </w:rPr>
        <w:tab/>
        <w:t>Kurrentschulden (ohne Hypothekarzinse, mit Arztkosten)</w:t>
      </w:r>
      <w:r w:rsidRPr="00971DED">
        <w:rPr>
          <w:rFonts w:ascii="Book Antiqua" w:hAnsi="Book Antiqua"/>
          <w:sz w:val="24"/>
        </w:rPr>
        <w:tab/>
        <w:t>Fr.</w:t>
      </w:r>
      <w:r w:rsidRPr="00971DED">
        <w:rPr>
          <w:rFonts w:ascii="Book Antiqua" w:hAnsi="Book Antiqua"/>
          <w:sz w:val="24"/>
        </w:rPr>
        <w:tab/>
        <w:t>5'000</w:t>
      </w:r>
      <w:proofErr w:type="gramStart"/>
      <w:r w:rsidRPr="00971DED">
        <w:rPr>
          <w:rFonts w:ascii="Book Antiqua" w:hAnsi="Book Antiqua"/>
          <w:sz w:val="24"/>
        </w:rPr>
        <w:t>.—</w:t>
      </w:r>
      <w:proofErr w:type="gramEnd"/>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w:t>
      </w:r>
      <w:r w:rsidRPr="00971DED">
        <w:rPr>
          <w:rFonts w:ascii="Book Antiqua" w:hAnsi="Book Antiqua"/>
          <w:sz w:val="24"/>
        </w:rPr>
        <w:tab/>
        <w:t>Todesfall- und Bestattungskosten (Bezahlung per 20.12.)</w:t>
      </w:r>
      <w:r w:rsidRPr="00971DED">
        <w:rPr>
          <w:rFonts w:ascii="Book Antiqua" w:hAnsi="Book Antiqua"/>
          <w:sz w:val="24"/>
        </w:rPr>
        <w:tab/>
      </w:r>
      <w:r w:rsidRPr="00971DED">
        <w:rPr>
          <w:rFonts w:ascii="Book Antiqua" w:hAnsi="Book Antiqua"/>
          <w:sz w:val="24"/>
        </w:rPr>
        <w:tab/>
        <w:t>Fr.</w:t>
      </w:r>
      <w:r w:rsidRPr="00971DED">
        <w:rPr>
          <w:rFonts w:ascii="Book Antiqua" w:hAnsi="Book Antiqua"/>
          <w:sz w:val="24"/>
        </w:rPr>
        <w:tab/>
        <w:t>8'000.—</w:t>
      </w: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w:t>
      </w:r>
      <w:r w:rsidRPr="00971DED">
        <w:rPr>
          <w:rFonts w:ascii="Book Antiqua" w:hAnsi="Book Antiqua"/>
          <w:sz w:val="24"/>
        </w:rPr>
        <w:tab/>
        <w:t xml:space="preserve">Rückstellungen (Grabstein, -Unterhalt, Notariat, usw.) </w:t>
      </w: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sz w:val="24"/>
        </w:rPr>
        <w:tab/>
        <w:t>(Bezahlung im Folgejahr)</w:t>
      </w:r>
      <w:r w:rsidRPr="00971DED">
        <w:rPr>
          <w:rFonts w:ascii="Book Antiqua" w:hAnsi="Book Antiqua"/>
          <w:sz w:val="24"/>
        </w:rPr>
        <w:tab/>
      </w:r>
      <w:r w:rsidRPr="00971DED">
        <w:rPr>
          <w:rFonts w:ascii="Book Antiqua" w:hAnsi="Book Antiqua"/>
          <w:sz w:val="24"/>
        </w:rPr>
        <w:tab/>
      </w:r>
      <w:r w:rsidRPr="00971DED">
        <w:rPr>
          <w:rFonts w:ascii="Book Antiqua" w:hAnsi="Book Antiqua"/>
          <w:sz w:val="24"/>
        </w:rPr>
        <w:tab/>
        <w:t>Fr.</w:t>
      </w:r>
      <w:r w:rsidRPr="00971DED">
        <w:rPr>
          <w:rFonts w:ascii="Book Antiqua" w:hAnsi="Book Antiqua"/>
          <w:sz w:val="24"/>
        </w:rPr>
        <w:tab/>
        <w:t>12'000.—</w:t>
      </w: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b/>
          <w:sz w:val="24"/>
        </w:rPr>
        <w:t>2 Kinder</w:t>
      </w:r>
      <w:r w:rsidRPr="00971DED">
        <w:rPr>
          <w:rFonts w:ascii="Book Antiqua" w:hAnsi="Book Antiqua"/>
          <w:sz w:val="24"/>
        </w:rPr>
        <w:t>, beide volljährig und selber erwerbstätig.</w:t>
      </w: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b/>
          <w:sz w:val="24"/>
        </w:rPr>
        <w:t xml:space="preserve">Tod der Ehefrau per 12.9. …. </w:t>
      </w:r>
      <w:r w:rsidRPr="00971DED">
        <w:rPr>
          <w:rFonts w:ascii="Book Antiqua" w:hAnsi="Book Antiqua"/>
          <w:sz w:val="24"/>
        </w:rPr>
        <w:t>. Kein Ehe- oder Erbvertrag, kein Testament.</w:t>
      </w: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p>
    <w:p w:rsidR="00C278A1" w:rsidRPr="00971DED" w:rsidRDefault="00C278A1" w:rsidP="00C278A1">
      <w:pPr>
        <w:tabs>
          <w:tab w:val="left" w:pos="426"/>
          <w:tab w:val="left" w:pos="5103"/>
          <w:tab w:val="decimal" w:pos="6521"/>
          <w:tab w:val="left" w:pos="7088"/>
          <w:tab w:val="decimal" w:pos="8364"/>
        </w:tabs>
        <w:rPr>
          <w:rFonts w:ascii="Book Antiqua" w:hAnsi="Book Antiqua"/>
          <w:sz w:val="24"/>
        </w:rPr>
      </w:pPr>
      <w:r w:rsidRPr="00971DED">
        <w:rPr>
          <w:rFonts w:ascii="Book Antiqua" w:hAnsi="Book Antiqua"/>
          <w:b/>
          <w:sz w:val="24"/>
          <w:u w:val="single"/>
        </w:rPr>
        <w:t>Aufgaben</w:t>
      </w:r>
      <w:r w:rsidRPr="00971DED">
        <w:rPr>
          <w:rFonts w:ascii="Book Antiqua" w:hAnsi="Book Antiqua"/>
          <w:sz w:val="24"/>
        </w:rPr>
        <w:t>:</w:t>
      </w:r>
    </w:p>
    <w:p w:rsidR="00C278A1" w:rsidRPr="00971DED" w:rsidRDefault="00C278A1" w:rsidP="00C278A1">
      <w:pPr>
        <w:tabs>
          <w:tab w:val="left" w:pos="426"/>
          <w:tab w:val="left" w:pos="5103"/>
          <w:tab w:val="decimal" w:pos="6521"/>
          <w:tab w:val="left" w:pos="7088"/>
          <w:tab w:val="decimal" w:pos="8364"/>
        </w:tabs>
        <w:ind w:left="426" w:hanging="426"/>
        <w:rPr>
          <w:rFonts w:ascii="Book Antiqua" w:hAnsi="Book Antiqua"/>
          <w:sz w:val="24"/>
        </w:rPr>
      </w:pPr>
      <w:r w:rsidRPr="00971DED">
        <w:rPr>
          <w:rFonts w:ascii="Book Antiqua" w:hAnsi="Book Antiqua"/>
          <w:sz w:val="24"/>
        </w:rPr>
        <w:t>1.</w:t>
      </w:r>
      <w:r w:rsidRPr="00971DED">
        <w:rPr>
          <w:rFonts w:ascii="Book Antiqua" w:hAnsi="Book Antiqua"/>
          <w:sz w:val="24"/>
        </w:rPr>
        <w:tab/>
        <w:t>Berechnung der Ansprüche der Erben (Analog Erstellen Steuer- oder Erbschafts-Inventar) als Grundlage zum Ausfüllen der notwendig</w:t>
      </w:r>
      <w:r>
        <w:rPr>
          <w:rFonts w:ascii="Book Antiqua" w:hAnsi="Book Antiqua"/>
          <w:sz w:val="24"/>
        </w:rPr>
        <w:t>en Steuererklärungen.</w:t>
      </w:r>
    </w:p>
    <w:p w:rsidR="00C278A1" w:rsidRPr="00971DED" w:rsidRDefault="00C278A1" w:rsidP="00C278A1">
      <w:pPr>
        <w:tabs>
          <w:tab w:val="left" w:pos="426"/>
          <w:tab w:val="left" w:pos="5103"/>
          <w:tab w:val="decimal" w:pos="6521"/>
          <w:tab w:val="left" w:pos="7088"/>
          <w:tab w:val="decimal" w:pos="8364"/>
        </w:tabs>
        <w:ind w:left="426" w:hanging="426"/>
        <w:rPr>
          <w:rFonts w:ascii="Book Antiqua" w:hAnsi="Book Antiqua"/>
          <w:sz w:val="24"/>
        </w:rPr>
      </w:pPr>
    </w:p>
    <w:p w:rsidR="00C278A1" w:rsidRPr="00971DED" w:rsidRDefault="00C278A1" w:rsidP="00C278A1">
      <w:pPr>
        <w:tabs>
          <w:tab w:val="left" w:pos="426"/>
          <w:tab w:val="left" w:pos="5103"/>
          <w:tab w:val="decimal" w:pos="6521"/>
          <w:tab w:val="left" w:pos="7088"/>
          <w:tab w:val="decimal" w:pos="8364"/>
        </w:tabs>
        <w:ind w:left="426" w:hanging="426"/>
        <w:rPr>
          <w:rFonts w:ascii="Book Antiqua" w:hAnsi="Book Antiqua"/>
          <w:sz w:val="24"/>
        </w:rPr>
      </w:pPr>
      <w:r>
        <w:rPr>
          <w:rFonts w:ascii="Book Antiqua" w:hAnsi="Book Antiqua"/>
          <w:sz w:val="24"/>
        </w:rPr>
        <w:t>2</w:t>
      </w:r>
      <w:r w:rsidRPr="00971DED">
        <w:rPr>
          <w:rFonts w:ascii="Book Antiqua" w:hAnsi="Book Antiqua"/>
          <w:sz w:val="24"/>
        </w:rPr>
        <w:t>.</w:t>
      </w:r>
      <w:r w:rsidRPr="00971DED">
        <w:rPr>
          <w:rFonts w:ascii="Book Antiqua" w:hAnsi="Book Antiqua"/>
          <w:sz w:val="24"/>
        </w:rPr>
        <w:tab/>
        <w:t>Ausfüllen der notwendigen Steuererklärungen des laufenden Jahres (Jahr des T</w:t>
      </w:r>
      <w:r w:rsidRPr="00971DED">
        <w:rPr>
          <w:rFonts w:ascii="Book Antiqua" w:hAnsi="Book Antiqua"/>
          <w:sz w:val="24"/>
        </w:rPr>
        <w:t>o</w:t>
      </w:r>
      <w:r>
        <w:rPr>
          <w:rFonts w:ascii="Book Antiqua" w:hAnsi="Book Antiqua"/>
          <w:sz w:val="24"/>
        </w:rPr>
        <w:t>destages).</w:t>
      </w:r>
    </w:p>
    <w:p w:rsidR="00C278A1" w:rsidRPr="00971DED" w:rsidRDefault="00C278A1" w:rsidP="00C278A1">
      <w:pPr>
        <w:tabs>
          <w:tab w:val="left" w:pos="426"/>
          <w:tab w:val="left" w:pos="5103"/>
          <w:tab w:val="decimal" w:pos="6521"/>
          <w:tab w:val="left" w:pos="7088"/>
          <w:tab w:val="decimal" w:pos="8364"/>
        </w:tabs>
        <w:ind w:left="426" w:hanging="426"/>
        <w:rPr>
          <w:rFonts w:ascii="Book Antiqua" w:hAnsi="Book Antiqua"/>
          <w:sz w:val="24"/>
        </w:rPr>
      </w:pPr>
    </w:p>
    <w:p w:rsidR="00902C4B" w:rsidRDefault="00902C4B" w:rsidP="00902C4B">
      <w:pPr>
        <w:rPr>
          <w:szCs w:val="22"/>
        </w:rPr>
      </w:pPr>
    </w:p>
    <w:p w:rsidR="00902C4B" w:rsidRDefault="00902C4B" w:rsidP="00902C4B">
      <w:pPr>
        <w:spacing w:after="200"/>
        <w:rPr>
          <w:szCs w:val="22"/>
        </w:rPr>
      </w:pPr>
      <w:r>
        <w:rPr>
          <w:szCs w:val="22"/>
        </w:rPr>
        <w:br w:type="page"/>
      </w:r>
    </w:p>
    <w:p w:rsidR="00902C4B" w:rsidRDefault="00C278A1" w:rsidP="00902C4B">
      <w:pPr>
        <w:rPr>
          <w:szCs w:val="22"/>
        </w:rPr>
      </w:pPr>
      <w:r>
        <w:rPr>
          <w:noProof/>
          <w:szCs w:val="22"/>
          <w:lang w:eastAsia="de-CH"/>
        </w:rPr>
        <w:lastRenderedPageBreak/>
        <w:drawing>
          <wp:inline distT="0" distB="0" distL="0" distR="0">
            <wp:extent cx="5817870" cy="8227695"/>
            <wp:effectExtent l="0" t="0" r="0" b="1905"/>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füllen Steuererklärungen, Var 2_Seite_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817870" cy="8227695"/>
                    </a:xfrm>
                    <a:prstGeom prst="rect">
                      <a:avLst/>
                    </a:prstGeom>
                  </pic:spPr>
                </pic:pic>
              </a:graphicData>
            </a:graphic>
          </wp:inline>
        </w:drawing>
      </w:r>
    </w:p>
    <w:p w:rsidR="00902C4B" w:rsidRDefault="00902C4B" w:rsidP="00902C4B">
      <w:pPr>
        <w:spacing w:after="200"/>
        <w:rPr>
          <w:szCs w:val="22"/>
        </w:rPr>
      </w:pPr>
      <w:r>
        <w:rPr>
          <w:szCs w:val="22"/>
        </w:rPr>
        <w:br w:type="page"/>
      </w:r>
    </w:p>
    <w:p w:rsidR="00902C4B" w:rsidRDefault="00C278A1" w:rsidP="00902C4B">
      <w:pPr>
        <w:rPr>
          <w:szCs w:val="22"/>
        </w:rPr>
      </w:pPr>
      <w:r>
        <w:rPr>
          <w:noProof/>
          <w:szCs w:val="22"/>
          <w:lang w:eastAsia="de-CH"/>
        </w:rPr>
        <w:lastRenderedPageBreak/>
        <w:drawing>
          <wp:inline distT="0" distB="0" distL="0" distR="0">
            <wp:extent cx="5817870" cy="8227695"/>
            <wp:effectExtent l="0" t="0" r="0" b="1905"/>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füllen Steuererklärungen, Var 2_Seite_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817870" cy="8227695"/>
                    </a:xfrm>
                    <a:prstGeom prst="rect">
                      <a:avLst/>
                    </a:prstGeom>
                  </pic:spPr>
                </pic:pic>
              </a:graphicData>
            </a:graphic>
          </wp:inline>
        </w:drawing>
      </w:r>
    </w:p>
    <w:p w:rsidR="00902C4B" w:rsidRDefault="00902C4B" w:rsidP="00902C4B">
      <w:pPr>
        <w:spacing w:after="200"/>
        <w:rPr>
          <w:szCs w:val="22"/>
        </w:rPr>
      </w:pPr>
      <w:r>
        <w:rPr>
          <w:szCs w:val="22"/>
        </w:rPr>
        <w:br w:type="page"/>
      </w:r>
    </w:p>
    <w:p w:rsidR="00902C4B" w:rsidRDefault="00C278A1" w:rsidP="00902C4B">
      <w:pPr>
        <w:rPr>
          <w:szCs w:val="22"/>
        </w:rPr>
      </w:pPr>
      <w:r>
        <w:rPr>
          <w:noProof/>
          <w:szCs w:val="22"/>
          <w:lang w:eastAsia="de-CH"/>
        </w:rPr>
        <w:lastRenderedPageBreak/>
        <w:drawing>
          <wp:inline distT="0" distB="0" distL="0" distR="0">
            <wp:extent cx="5817870" cy="8227695"/>
            <wp:effectExtent l="0" t="0" r="0" b="1905"/>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füllen Steuererklärungen, Var 2_Seite_3.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817870" cy="8227695"/>
                    </a:xfrm>
                    <a:prstGeom prst="rect">
                      <a:avLst/>
                    </a:prstGeom>
                  </pic:spPr>
                </pic:pic>
              </a:graphicData>
            </a:graphic>
          </wp:inline>
        </w:drawing>
      </w:r>
    </w:p>
    <w:p w:rsidR="00902C4B" w:rsidRDefault="00902C4B" w:rsidP="00902C4B">
      <w:pPr>
        <w:spacing w:after="200"/>
        <w:rPr>
          <w:szCs w:val="22"/>
        </w:rPr>
      </w:pPr>
      <w:r>
        <w:rPr>
          <w:szCs w:val="22"/>
        </w:rPr>
        <w:br w:type="page"/>
      </w:r>
    </w:p>
    <w:p w:rsidR="00902C4B" w:rsidRDefault="00C278A1" w:rsidP="00902C4B">
      <w:pPr>
        <w:rPr>
          <w:szCs w:val="22"/>
        </w:rPr>
      </w:pPr>
      <w:r>
        <w:rPr>
          <w:noProof/>
          <w:szCs w:val="22"/>
          <w:lang w:eastAsia="de-CH"/>
        </w:rPr>
        <w:lastRenderedPageBreak/>
        <w:drawing>
          <wp:inline distT="0" distB="0" distL="0" distR="0">
            <wp:extent cx="5817870" cy="8227695"/>
            <wp:effectExtent l="0" t="0" r="0" b="1905"/>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füllen Steuererklärungen, Var 2_Seite_4.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817870" cy="8227695"/>
                    </a:xfrm>
                    <a:prstGeom prst="rect">
                      <a:avLst/>
                    </a:prstGeom>
                  </pic:spPr>
                </pic:pic>
              </a:graphicData>
            </a:graphic>
          </wp:inline>
        </w:drawing>
      </w:r>
    </w:p>
    <w:p w:rsidR="00902C4B" w:rsidRDefault="00902C4B" w:rsidP="00902C4B">
      <w:pPr>
        <w:spacing w:after="200"/>
        <w:rPr>
          <w:szCs w:val="22"/>
        </w:rPr>
      </w:pPr>
      <w:r>
        <w:rPr>
          <w:szCs w:val="22"/>
        </w:rPr>
        <w:br w:type="page"/>
      </w:r>
    </w:p>
    <w:p w:rsidR="00902C4B" w:rsidRDefault="00C278A1" w:rsidP="00902C4B">
      <w:pPr>
        <w:rPr>
          <w:szCs w:val="22"/>
        </w:rPr>
      </w:pPr>
      <w:r>
        <w:rPr>
          <w:noProof/>
          <w:szCs w:val="22"/>
          <w:lang w:eastAsia="de-CH"/>
        </w:rPr>
        <w:lastRenderedPageBreak/>
        <w:drawing>
          <wp:inline distT="0" distB="0" distL="0" distR="0">
            <wp:extent cx="5817870" cy="8227695"/>
            <wp:effectExtent l="0" t="0" r="0" b="1905"/>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füllen Steuererklärungen, Var 2_Seite_5.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817870" cy="8227695"/>
                    </a:xfrm>
                    <a:prstGeom prst="rect">
                      <a:avLst/>
                    </a:prstGeom>
                  </pic:spPr>
                </pic:pic>
              </a:graphicData>
            </a:graphic>
          </wp:inline>
        </w:drawing>
      </w:r>
    </w:p>
    <w:p w:rsidR="00902C4B" w:rsidRDefault="00902C4B" w:rsidP="00902C4B">
      <w:pPr>
        <w:spacing w:after="200"/>
        <w:rPr>
          <w:szCs w:val="22"/>
        </w:rPr>
      </w:pPr>
      <w:r>
        <w:rPr>
          <w:szCs w:val="22"/>
        </w:rPr>
        <w:br w:type="page"/>
      </w:r>
    </w:p>
    <w:p w:rsidR="00902C4B" w:rsidRDefault="00C278A1" w:rsidP="00902C4B">
      <w:pPr>
        <w:rPr>
          <w:szCs w:val="22"/>
        </w:rPr>
      </w:pPr>
      <w:r>
        <w:rPr>
          <w:noProof/>
          <w:szCs w:val="22"/>
          <w:lang w:eastAsia="de-CH"/>
        </w:rPr>
        <w:lastRenderedPageBreak/>
        <w:drawing>
          <wp:inline distT="0" distB="0" distL="0" distR="0">
            <wp:extent cx="5817870" cy="8227695"/>
            <wp:effectExtent l="0" t="0" r="0" b="1905"/>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füllen Steuererklärungen, Var 2_Seite_6.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817870" cy="8227695"/>
                    </a:xfrm>
                    <a:prstGeom prst="rect">
                      <a:avLst/>
                    </a:prstGeom>
                  </pic:spPr>
                </pic:pic>
              </a:graphicData>
            </a:graphic>
          </wp:inline>
        </w:drawing>
      </w:r>
    </w:p>
    <w:p w:rsidR="00902C4B" w:rsidRDefault="00902C4B" w:rsidP="00902C4B">
      <w:pPr>
        <w:spacing w:after="200"/>
        <w:rPr>
          <w:szCs w:val="22"/>
        </w:rPr>
      </w:pPr>
      <w:r>
        <w:rPr>
          <w:szCs w:val="22"/>
        </w:rPr>
        <w:br w:type="page"/>
      </w:r>
    </w:p>
    <w:p w:rsidR="00902C4B" w:rsidRDefault="00C278A1" w:rsidP="00902C4B">
      <w:pPr>
        <w:rPr>
          <w:szCs w:val="22"/>
        </w:rPr>
      </w:pPr>
      <w:r>
        <w:rPr>
          <w:noProof/>
          <w:szCs w:val="22"/>
          <w:lang w:eastAsia="de-CH"/>
        </w:rPr>
        <w:lastRenderedPageBreak/>
        <w:drawing>
          <wp:inline distT="0" distB="0" distL="0" distR="0">
            <wp:extent cx="5817870" cy="8227695"/>
            <wp:effectExtent l="0" t="0" r="0" b="1905"/>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füllen Steuererklärungen, Var 2_Seite_7.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817870" cy="8227695"/>
                    </a:xfrm>
                    <a:prstGeom prst="rect">
                      <a:avLst/>
                    </a:prstGeom>
                  </pic:spPr>
                </pic:pic>
              </a:graphicData>
            </a:graphic>
          </wp:inline>
        </w:drawing>
      </w:r>
    </w:p>
    <w:p w:rsidR="00902C4B" w:rsidRDefault="00902C4B" w:rsidP="00902C4B">
      <w:pPr>
        <w:spacing w:after="200"/>
        <w:rPr>
          <w:szCs w:val="22"/>
        </w:rPr>
      </w:pPr>
      <w:r>
        <w:rPr>
          <w:szCs w:val="22"/>
        </w:rPr>
        <w:br w:type="page"/>
      </w:r>
    </w:p>
    <w:p w:rsidR="00902C4B" w:rsidRDefault="00C278A1" w:rsidP="00902C4B">
      <w:pPr>
        <w:rPr>
          <w:szCs w:val="22"/>
        </w:rPr>
      </w:pPr>
      <w:r>
        <w:rPr>
          <w:noProof/>
          <w:szCs w:val="22"/>
          <w:lang w:eastAsia="de-CH"/>
        </w:rPr>
        <w:lastRenderedPageBreak/>
        <w:drawing>
          <wp:inline distT="0" distB="0" distL="0" distR="0">
            <wp:extent cx="5817870" cy="8227695"/>
            <wp:effectExtent l="0" t="0" r="0" b="1905"/>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füllen Steuererklärungen, Var 2_Seite_8.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817870" cy="8227695"/>
                    </a:xfrm>
                    <a:prstGeom prst="rect">
                      <a:avLst/>
                    </a:prstGeom>
                  </pic:spPr>
                </pic:pic>
              </a:graphicData>
            </a:graphic>
          </wp:inline>
        </w:drawing>
      </w:r>
    </w:p>
    <w:p w:rsidR="00902C4B" w:rsidRDefault="00902C4B" w:rsidP="00902C4B">
      <w:pPr>
        <w:spacing w:after="200"/>
        <w:rPr>
          <w:szCs w:val="22"/>
        </w:rPr>
      </w:pPr>
      <w:r>
        <w:rPr>
          <w:szCs w:val="22"/>
        </w:rPr>
        <w:br w:type="page"/>
      </w:r>
    </w:p>
    <w:p w:rsidR="007003B5" w:rsidRDefault="00450284" w:rsidP="00450284">
      <w:pPr>
        <w:pStyle w:val="berschrift3"/>
      </w:pPr>
      <w:bookmarkStart w:id="218" w:name="_Toc432175733"/>
      <w:r>
        <w:lastRenderedPageBreak/>
        <w:t>C.</w:t>
      </w:r>
      <w:r>
        <w:tab/>
        <w:t>Bemerkungen zum Ausfüllen der Steuererklärungen bei Todesfall</w:t>
      </w:r>
      <w:bookmarkEnd w:id="218"/>
    </w:p>
    <w:p w:rsidR="00450284" w:rsidRDefault="00450284" w:rsidP="00450284">
      <w:pPr>
        <w:rPr>
          <w:szCs w:val="22"/>
        </w:rPr>
      </w:pPr>
    </w:p>
    <w:p w:rsidR="00450284" w:rsidRDefault="00450284" w:rsidP="00450284">
      <w:pPr>
        <w:rPr>
          <w:szCs w:val="22"/>
        </w:rPr>
      </w:pPr>
      <w:r>
        <w:rPr>
          <w:szCs w:val="22"/>
        </w:rPr>
        <w:t xml:space="preserve">Das </w:t>
      </w:r>
      <w:r w:rsidRPr="00FC20B4">
        <w:rPr>
          <w:szCs w:val="22"/>
          <w:u w:val="single"/>
        </w:rPr>
        <w:t>eigene Einkommen des überlebenden Ehegatten</w:t>
      </w:r>
      <w:r>
        <w:rPr>
          <w:szCs w:val="22"/>
        </w:rPr>
        <w:t xml:space="preserve">, d.h. Einkommen aus Arbeitstätigkeit </w:t>
      </w:r>
      <w:r w:rsidR="00FC20B4">
        <w:rPr>
          <w:szCs w:val="22"/>
        </w:rPr>
        <w:t>(Lohn</w:t>
      </w:r>
      <w:r w:rsidR="00810E9B">
        <w:rPr>
          <w:szCs w:val="22"/>
        </w:rPr>
        <w:t xml:space="preserve"> und ähnliches</w:t>
      </w:r>
      <w:r w:rsidR="00FC20B4">
        <w:rPr>
          <w:szCs w:val="22"/>
        </w:rPr>
        <w:t xml:space="preserve">) </w:t>
      </w:r>
      <w:r>
        <w:rPr>
          <w:szCs w:val="22"/>
        </w:rPr>
        <w:t xml:space="preserve">oder </w:t>
      </w:r>
      <w:r w:rsidR="00FC20B4">
        <w:rPr>
          <w:szCs w:val="22"/>
        </w:rPr>
        <w:t>Ersatzeinkommen (</w:t>
      </w:r>
      <w:r>
        <w:rPr>
          <w:szCs w:val="22"/>
        </w:rPr>
        <w:t>AHV- oder PK-Renten</w:t>
      </w:r>
      <w:r w:rsidR="00FC20B4">
        <w:rPr>
          <w:szCs w:val="22"/>
        </w:rPr>
        <w:t xml:space="preserve"> usw.)</w:t>
      </w:r>
      <w:r>
        <w:rPr>
          <w:szCs w:val="22"/>
        </w:rPr>
        <w:t xml:space="preserve">, müssen immer </w:t>
      </w:r>
      <w:r w:rsidRPr="00FC20B4">
        <w:rPr>
          <w:szCs w:val="22"/>
          <w:u w:val="single"/>
        </w:rPr>
        <w:t>auf der Steuererklärung des überlebenden Ehegatten</w:t>
      </w:r>
      <w:r>
        <w:rPr>
          <w:szCs w:val="22"/>
        </w:rPr>
        <w:t xml:space="preserve"> aufgeführt werden.</w:t>
      </w:r>
    </w:p>
    <w:p w:rsidR="00767C01" w:rsidRDefault="00767C01" w:rsidP="00450284">
      <w:pPr>
        <w:rPr>
          <w:szCs w:val="22"/>
        </w:rPr>
      </w:pPr>
    </w:p>
    <w:p w:rsidR="00767C01" w:rsidRDefault="00767C01" w:rsidP="00450284">
      <w:pPr>
        <w:rPr>
          <w:szCs w:val="22"/>
        </w:rPr>
      </w:pPr>
      <w:r>
        <w:rPr>
          <w:szCs w:val="22"/>
        </w:rPr>
        <w:t>Für Erbengemeinschaften eröffnet die Steuerverwaltung immer ein virtuelles Steuersubjekt (eine "Pseudo-Person) mit eigener ZPV-Nummer.</w:t>
      </w:r>
    </w:p>
    <w:p w:rsidR="00FC20B4" w:rsidRDefault="00FC20B4" w:rsidP="00450284">
      <w:pPr>
        <w:rPr>
          <w:szCs w:val="22"/>
        </w:rPr>
      </w:pPr>
    </w:p>
    <w:p w:rsidR="00FC20B4" w:rsidRDefault="00FC20B4" w:rsidP="00450284">
      <w:pPr>
        <w:rPr>
          <w:szCs w:val="22"/>
        </w:rPr>
      </w:pPr>
      <w:r>
        <w:rPr>
          <w:szCs w:val="22"/>
        </w:rPr>
        <w:t xml:space="preserve">Die </w:t>
      </w:r>
      <w:r w:rsidRPr="00FC20B4">
        <w:rPr>
          <w:szCs w:val="22"/>
          <w:u w:val="single"/>
        </w:rPr>
        <w:t>Einlageblätter für Grundstücke</w:t>
      </w:r>
      <w:r>
        <w:rPr>
          <w:szCs w:val="22"/>
        </w:rPr>
        <w:t xml:space="preserve"> werden immer der </w:t>
      </w:r>
      <w:r w:rsidRPr="00FC20B4">
        <w:rPr>
          <w:szCs w:val="22"/>
          <w:u w:val="single"/>
        </w:rPr>
        <w:t>Steuererklärung des Eigentümers</w:t>
      </w:r>
      <w:r>
        <w:rPr>
          <w:szCs w:val="22"/>
        </w:rPr>
        <w:t xml:space="preserve"> be</w:t>
      </w:r>
      <w:r>
        <w:rPr>
          <w:szCs w:val="22"/>
        </w:rPr>
        <w:t>i</w:t>
      </w:r>
      <w:r>
        <w:rPr>
          <w:szCs w:val="22"/>
        </w:rPr>
        <w:t>gelegt. Also:</w:t>
      </w:r>
    </w:p>
    <w:p w:rsidR="00FC20B4" w:rsidRPr="00FC20B4" w:rsidRDefault="00FC20B4" w:rsidP="00FC20B4">
      <w:pPr>
        <w:pStyle w:val="Listenabsatz"/>
        <w:numPr>
          <w:ilvl w:val="0"/>
          <w:numId w:val="75"/>
        </w:numPr>
        <w:rPr>
          <w:szCs w:val="22"/>
        </w:rPr>
      </w:pPr>
      <w:r w:rsidRPr="00FC20B4">
        <w:rPr>
          <w:szCs w:val="22"/>
        </w:rPr>
        <w:t xml:space="preserve">Grundstücke des überlebenden Ehegatten = Steuererklärung überlebender Ehegatte; </w:t>
      </w:r>
    </w:p>
    <w:p w:rsidR="00FC20B4" w:rsidRPr="00FC20B4" w:rsidRDefault="00FC20B4" w:rsidP="00FC20B4">
      <w:pPr>
        <w:pStyle w:val="Listenabsatz"/>
        <w:numPr>
          <w:ilvl w:val="0"/>
          <w:numId w:val="75"/>
        </w:numPr>
        <w:rPr>
          <w:szCs w:val="22"/>
        </w:rPr>
      </w:pPr>
      <w:r w:rsidRPr="00FC20B4">
        <w:rPr>
          <w:szCs w:val="22"/>
        </w:rPr>
        <w:t>Grundstücke des verstorbenen Ehegatten = Steuererklärung der Erbengemeinschaft (virtuelles Steuersubjekt).</w:t>
      </w:r>
    </w:p>
    <w:p w:rsidR="00450284" w:rsidRDefault="00450284" w:rsidP="00450284">
      <w:pPr>
        <w:rPr>
          <w:szCs w:val="22"/>
        </w:rPr>
      </w:pPr>
    </w:p>
    <w:p w:rsidR="00450284" w:rsidRDefault="00450284" w:rsidP="00450284">
      <w:pPr>
        <w:rPr>
          <w:szCs w:val="22"/>
        </w:rPr>
      </w:pPr>
      <w:r>
        <w:rPr>
          <w:szCs w:val="22"/>
        </w:rPr>
        <w:t xml:space="preserve">Vermögen (inkl. Vermögensertrag) </w:t>
      </w:r>
      <w:r w:rsidR="00FC20B4">
        <w:rPr>
          <w:szCs w:val="22"/>
        </w:rPr>
        <w:t>beider Ehegatten und eigenes Einkommen des überl</w:t>
      </w:r>
      <w:r w:rsidR="00FC20B4">
        <w:rPr>
          <w:szCs w:val="22"/>
        </w:rPr>
        <w:t>e</w:t>
      </w:r>
      <w:r w:rsidR="00FC20B4">
        <w:rPr>
          <w:szCs w:val="22"/>
        </w:rPr>
        <w:t xml:space="preserve">benden Ehegatten </w:t>
      </w:r>
      <w:r>
        <w:rPr>
          <w:szCs w:val="22"/>
        </w:rPr>
        <w:t xml:space="preserve">sind wie folgt </w:t>
      </w:r>
      <w:r w:rsidR="00FC20B4">
        <w:rPr>
          <w:szCs w:val="22"/>
        </w:rPr>
        <w:t>zu deklarieren</w:t>
      </w:r>
      <w:r>
        <w:rPr>
          <w:szCs w:val="22"/>
        </w:rPr>
        <w:t>:</w:t>
      </w:r>
    </w:p>
    <w:p w:rsidR="00450284" w:rsidRDefault="00450284" w:rsidP="00450284">
      <w:pPr>
        <w:rPr>
          <w:szCs w:val="22"/>
        </w:rPr>
      </w:pPr>
    </w:p>
    <w:p w:rsidR="00450284" w:rsidRDefault="00450284" w:rsidP="00450284">
      <w:pPr>
        <w:rPr>
          <w:szCs w:val="22"/>
        </w:rPr>
      </w:pPr>
      <w:r w:rsidRPr="00477E89">
        <w:rPr>
          <w:szCs w:val="22"/>
          <w:u w:val="single"/>
        </w:rPr>
        <w:t>1. Variante</w:t>
      </w:r>
      <w:r>
        <w:rPr>
          <w:szCs w:val="22"/>
        </w:rPr>
        <w:t xml:space="preserve"> (</w:t>
      </w:r>
      <w:r w:rsidR="00477E89">
        <w:rPr>
          <w:szCs w:val="22"/>
        </w:rPr>
        <w:t>gemäss Merkblatt der Steuerverwaltung: unverteilte Erbschaften):</w:t>
      </w:r>
    </w:p>
    <w:p w:rsidR="000E683D" w:rsidRDefault="000E683D" w:rsidP="000E683D">
      <w:pPr>
        <w:rPr>
          <w:szCs w:val="22"/>
        </w:rPr>
      </w:pPr>
      <w:r>
        <w:rPr>
          <w:szCs w:val="22"/>
        </w:rPr>
        <w:t>(= Variante 1 des vorstehenden Beispiels, mit Liegenschaften beider Ehegatten).</w:t>
      </w:r>
    </w:p>
    <w:p w:rsidR="00450284" w:rsidRPr="00477E89" w:rsidRDefault="00450284" w:rsidP="00477E89">
      <w:pPr>
        <w:pStyle w:val="Listenabsatz"/>
        <w:numPr>
          <w:ilvl w:val="0"/>
          <w:numId w:val="72"/>
        </w:numPr>
        <w:rPr>
          <w:szCs w:val="22"/>
        </w:rPr>
      </w:pPr>
      <w:r w:rsidRPr="00477E89">
        <w:rPr>
          <w:szCs w:val="22"/>
        </w:rPr>
        <w:t xml:space="preserve">das Vermögen des überlebenden Ehegatten: auf </w:t>
      </w:r>
      <w:r w:rsidR="000E683D">
        <w:rPr>
          <w:szCs w:val="22"/>
        </w:rPr>
        <w:t xml:space="preserve">der </w:t>
      </w:r>
      <w:r w:rsidRPr="00477E89">
        <w:rPr>
          <w:szCs w:val="22"/>
        </w:rPr>
        <w:t>Steuererklärung</w:t>
      </w:r>
      <w:r w:rsidR="000E683D">
        <w:rPr>
          <w:szCs w:val="22"/>
        </w:rPr>
        <w:t xml:space="preserve"> des überlebe</w:t>
      </w:r>
      <w:r w:rsidR="000E683D">
        <w:rPr>
          <w:szCs w:val="22"/>
        </w:rPr>
        <w:t>n</w:t>
      </w:r>
      <w:r w:rsidR="000E683D">
        <w:rPr>
          <w:szCs w:val="22"/>
        </w:rPr>
        <w:t>den Ehegatten</w:t>
      </w:r>
      <w:r w:rsidRPr="00477E89">
        <w:rPr>
          <w:szCs w:val="22"/>
        </w:rPr>
        <w:t>;</w:t>
      </w:r>
    </w:p>
    <w:p w:rsidR="00450284" w:rsidRDefault="00450284" w:rsidP="00477E89">
      <w:pPr>
        <w:pStyle w:val="Listenabsatz"/>
        <w:numPr>
          <w:ilvl w:val="0"/>
          <w:numId w:val="72"/>
        </w:numPr>
        <w:rPr>
          <w:szCs w:val="22"/>
        </w:rPr>
      </w:pPr>
      <w:r w:rsidRPr="00477E89">
        <w:rPr>
          <w:szCs w:val="22"/>
        </w:rPr>
        <w:t>das Vermögen des verstorbenen Ehegatten: auf der Steuererklärung der Erbeng</w:t>
      </w:r>
      <w:r w:rsidRPr="00477E89">
        <w:rPr>
          <w:szCs w:val="22"/>
        </w:rPr>
        <w:t>e</w:t>
      </w:r>
      <w:r w:rsidR="000E683D">
        <w:rPr>
          <w:szCs w:val="22"/>
        </w:rPr>
        <w:t>meinschaft;</w:t>
      </w:r>
    </w:p>
    <w:p w:rsidR="000E683D" w:rsidRPr="00477E89" w:rsidRDefault="000E683D" w:rsidP="00477E89">
      <w:pPr>
        <w:pStyle w:val="Listenabsatz"/>
        <w:numPr>
          <w:ilvl w:val="0"/>
          <w:numId w:val="72"/>
        </w:numPr>
        <w:rPr>
          <w:szCs w:val="22"/>
        </w:rPr>
      </w:pPr>
      <w:r>
        <w:rPr>
          <w:szCs w:val="22"/>
        </w:rPr>
        <w:t>das Erwerbs- oder Ersatzeinkommen (Lohn, AHV, PK, usw.) des überlebenden Eh</w:t>
      </w:r>
      <w:r>
        <w:rPr>
          <w:szCs w:val="22"/>
        </w:rPr>
        <w:t>e</w:t>
      </w:r>
      <w:r>
        <w:rPr>
          <w:szCs w:val="22"/>
        </w:rPr>
        <w:t>gatten: auf der Steuererklärung des überlebenden Ehegatten.</w:t>
      </w:r>
    </w:p>
    <w:p w:rsidR="00477E89" w:rsidRDefault="00477E89" w:rsidP="00450284">
      <w:pPr>
        <w:rPr>
          <w:szCs w:val="22"/>
        </w:rPr>
      </w:pPr>
    </w:p>
    <w:p w:rsidR="00810E9B" w:rsidRDefault="00810E9B" w:rsidP="00450284">
      <w:pPr>
        <w:rPr>
          <w:szCs w:val="22"/>
        </w:rPr>
      </w:pPr>
      <w:r>
        <w:rPr>
          <w:szCs w:val="22"/>
        </w:rPr>
        <w:t>Die Berechnung der Anteile der einzelnen Erben ist bei der Variante 1 etwas kompliziert: Sie müssen die Vermögen beider Ehegatten zusammenzählen; anschliessend verteilen Sie das Vermögen auf die einzelnen Erben entsprechend der Prozentanteile, welche Sie im Steueri</w:t>
      </w:r>
      <w:r>
        <w:rPr>
          <w:szCs w:val="22"/>
        </w:rPr>
        <w:t>n</w:t>
      </w:r>
      <w:r>
        <w:rPr>
          <w:szCs w:val="22"/>
        </w:rPr>
        <w:t>ventar berechnet haben (siehe Anfang der vorstehenden Tabellen, Grundlagen).</w:t>
      </w:r>
    </w:p>
    <w:p w:rsidR="00810E9B" w:rsidRDefault="00810E9B" w:rsidP="00450284">
      <w:pPr>
        <w:rPr>
          <w:szCs w:val="22"/>
        </w:rPr>
      </w:pPr>
    </w:p>
    <w:p w:rsidR="00404387" w:rsidRDefault="00404387" w:rsidP="00450284">
      <w:pPr>
        <w:rPr>
          <w:szCs w:val="22"/>
        </w:rPr>
      </w:pPr>
      <w:r>
        <w:rPr>
          <w:szCs w:val="22"/>
        </w:rPr>
        <w:t>D</w:t>
      </w:r>
      <w:r w:rsidR="00810E9B">
        <w:rPr>
          <w:szCs w:val="22"/>
        </w:rPr>
        <w:t>ie nachstehenden Varianten 2 – 5</w:t>
      </w:r>
      <w:r>
        <w:rPr>
          <w:szCs w:val="22"/>
        </w:rPr>
        <w:t xml:space="preserve"> entsprechen nicht den Vorgaben der Steuerverwaltung, sind aber einfacher zu rechnen, weil die prozentualen Anteile des überlebenden Ehegatten und der Kinder (am Vermögen inkl. Vermögensertrag) aus dem Steuerinventar übernommen werden können. Einzig das eigene Einkommen (Lohn, Renten, usw.) des überlebenden Eh</w:t>
      </w:r>
      <w:r>
        <w:rPr>
          <w:szCs w:val="22"/>
        </w:rPr>
        <w:t>e</w:t>
      </w:r>
      <w:r>
        <w:rPr>
          <w:szCs w:val="22"/>
        </w:rPr>
        <w:t>gatten muss immer in dessen Steuererklärung deklariert werden.</w:t>
      </w:r>
    </w:p>
    <w:p w:rsidR="00404387" w:rsidRDefault="00404387" w:rsidP="00450284">
      <w:pPr>
        <w:rPr>
          <w:szCs w:val="22"/>
        </w:rPr>
      </w:pPr>
    </w:p>
    <w:p w:rsidR="00477E89" w:rsidRDefault="00477E89" w:rsidP="00450284">
      <w:pPr>
        <w:rPr>
          <w:szCs w:val="22"/>
        </w:rPr>
      </w:pPr>
      <w:r w:rsidRPr="00477E89">
        <w:rPr>
          <w:szCs w:val="22"/>
          <w:u w:val="single"/>
        </w:rPr>
        <w:t>2. Variante</w:t>
      </w:r>
      <w:r>
        <w:rPr>
          <w:szCs w:val="22"/>
        </w:rPr>
        <w:t xml:space="preserve"> (Liegenschaft nur beim verstorbenen Ehegatten):</w:t>
      </w:r>
    </w:p>
    <w:p w:rsidR="000E683D" w:rsidRDefault="000E683D" w:rsidP="000E683D">
      <w:pPr>
        <w:rPr>
          <w:szCs w:val="22"/>
        </w:rPr>
      </w:pPr>
      <w:r>
        <w:rPr>
          <w:szCs w:val="22"/>
        </w:rPr>
        <w:t>(Variante 2 des vorstehenden Beispiels, nur Liegenschaft des verstorbenen Ehegatten).</w:t>
      </w:r>
    </w:p>
    <w:p w:rsidR="00FC20B4" w:rsidRDefault="00FC20B4" w:rsidP="00450284">
      <w:pPr>
        <w:rPr>
          <w:szCs w:val="22"/>
        </w:rPr>
      </w:pPr>
      <w:r>
        <w:rPr>
          <w:szCs w:val="22"/>
        </w:rPr>
        <w:t>(Alles, ohne Erwerbs- oder Ersatzeinkommen, beim verstorbenen Ehegatten.)</w:t>
      </w:r>
    </w:p>
    <w:p w:rsidR="00477E89" w:rsidRPr="00477E89" w:rsidRDefault="00477E89" w:rsidP="00477E89">
      <w:pPr>
        <w:pStyle w:val="Listenabsatz"/>
        <w:numPr>
          <w:ilvl w:val="0"/>
          <w:numId w:val="73"/>
        </w:numPr>
        <w:rPr>
          <w:szCs w:val="22"/>
        </w:rPr>
      </w:pPr>
      <w:r w:rsidRPr="00477E89">
        <w:rPr>
          <w:szCs w:val="22"/>
        </w:rPr>
        <w:t xml:space="preserve">das Vermögen </w:t>
      </w:r>
      <w:r w:rsidR="00767C01">
        <w:rPr>
          <w:szCs w:val="22"/>
        </w:rPr>
        <w:t>(Vermögen des Überlebenden) inkl. Vermögensertrag (</w:t>
      </w:r>
      <w:r w:rsidR="00292987">
        <w:rPr>
          <w:szCs w:val="22"/>
        </w:rPr>
        <w:t>Zinse, Divide</w:t>
      </w:r>
      <w:r w:rsidR="00292987">
        <w:rPr>
          <w:szCs w:val="22"/>
        </w:rPr>
        <w:t>n</w:t>
      </w:r>
      <w:r w:rsidR="00292987">
        <w:rPr>
          <w:szCs w:val="22"/>
        </w:rPr>
        <w:t xml:space="preserve">den, usw.) </w:t>
      </w:r>
      <w:r w:rsidRPr="00477E89">
        <w:rPr>
          <w:szCs w:val="22"/>
        </w:rPr>
        <w:t>des überlebenden Ehegatten: auf der Steuererklärung der Erbengemei</w:t>
      </w:r>
      <w:r w:rsidRPr="00477E89">
        <w:rPr>
          <w:szCs w:val="22"/>
        </w:rPr>
        <w:t>n</w:t>
      </w:r>
      <w:r w:rsidRPr="00477E89">
        <w:rPr>
          <w:szCs w:val="22"/>
        </w:rPr>
        <w:t>schaft;</w:t>
      </w:r>
    </w:p>
    <w:p w:rsidR="00477E89" w:rsidRDefault="00477E89" w:rsidP="00477E89">
      <w:pPr>
        <w:pStyle w:val="Listenabsatz"/>
        <w:numPr>
          <w:ilvl w:val="0"/>
          <w:numId w:val="73"/>
        </w:numPr>
        <w:rPr>
          <w:szCs w:val="22"/>
        </w:rPr>
      </w:pPr>
      <w:r w:rsidRPr="00477E89">
        <w:rPr>
          <w:szCs w:val="22"/>
        </w:rPr>
        <w:t xml:space="preserve">das Vermögen </w:t>
      </w:r>
      <w:r w:rsidR="00292987">
        <w:rPr>
          <w:szCs w:val="22"/>
        </w:rPr>
        <w:t xml:space="preserve">(Liegenschaft und weiteres Vermögen des Verstorbenen) </w:t>
      </w:r>
      <w:r w:rsidR="00FC20B4">
        <w:rPr>
          <w:szCs w:val="22"/>
        </w:rPr>
        <w:t>inkl. Verm</w:t>
      </w:r>
      <w:r w:rsidR="00FC20B4">
        <w:rPr>
          <w:szCs w:val="22"/>
        </w:rPr>
        <w:t>ö</w:t>
      </w:r>
      <w:r w:rsidR="00FC20B4">
        <w:rPr>
          <w:szCs w:val="22"/>
        </w:rPr>
        <w:t xml:space="preserve">gensertrag </w:t>
      </w:r>
      <w:r w:rsidR="00292987">
        <w:rPr>
          <w:szCs w:val="22"/>
        </w:rPr>
        <w:t xml:space="preserve">(Eigenmietwert, Mietzinse, Hypothekarzinse, Liegenschaftskosten, usw.) </w:t>
      </w:r>
      <w:r w:rsidRPr="00477E89">
        <w:rPr>
          <w:szCs w:val="22"/>
        </w:rPr>
        <w:t>des verstorbenen Ehegatten: auf der Steuererklärung der Erbenge</w:t>
      </w:r>
      <w:r w:rsidR="000E683D">
        <w:rPr>
          <w:szCs w:val="22"/>
        </w:rPr>
        <w:t>meinschaft;</w:t>
      </w:r>
    </w:p>
    <w:p w:rsidR="000E683D" w:rsidRDefault="000E683D" w:rsidP="00477E89">
      <w:pPr>
        <w:pStyle w:val="Listenabsatz"/>
        <w:numPr>
          <w:ilvl w:val="0"/>
          <w:numId w:val="73"/>
        </w:numPr>
        <w:rPr>
          <w:szCs w:val="22"/>
        </w:rPr>
      </w:pPr>
      <w:r>
        <w:rPr>
          <w:szCs w:val="22"/>
        </w:rPr>
        <w:lastRenderedPageBreak/>
        <w:t>das Erwerbs- oder Ersatzeinkommen (Lohn, AHV, PK, usw.) des überlebenden Eh</w:t>
      </w:r>
      <w:r>
        <w:rPr>
          <w:szCs w:val="22"/>
        </w:rPr>
        <w:t>e</w:t>
      </w:r>
      <w:r>
        <w:rPr>
          <w:szCs w:val="22"/>
        </w:rPr>
        <w:t>gatten: auf der Steuererklärung des überlebenden Ehegatten;</w:t>
      </w:r>
    </w:p>
    <w:p w:rsidR="000E683D" w:rsidRPr="00477E89" w:rsidRDefault="000E683D" w:rsidP="00477E89">
      <w:pPr>
        <w:pStyle w:val="Listenabsatz"/>
        <w:numPr>
          <w:ilvl w:val="0"/>
          <w:numId w:val="73"/>
        </w:numPr>
        <w:rPr>
          <w:szCs w:val="22"/>
        </w:rPr>
      </w:pPr>
      <w:r>
        <w:rPr>
          <w:szCs w:val="22"/>
        </w:rPr>
        <w:t xml:space="preserve">zusätzlich ist der Anteil des überlebenden Ehegatten am Einkommen und Vermögen der Erbengemeinschaft </w:t>
      </w:r>
      <w:r w:rsidR="00FC20B4">
        <w:rPr>
          <w:szCs w:val="22"/>
        </w:rPr>
        <w:t xml:space="preserve">auf der Steuererklärung des überlebenden Ehegatten </w:t>
      </w:r>
      <w:r>
        <w:rPr>
          <w:szCs w:val="22"/>
        </w:rPr>
        <w:t>aufz</w:t>
      </w:r>
      <w:r>
        <w:rPr>
          <w:szCs w:val="22"/>
        </w:rPr>
        <w:t>u</w:t>
      </w:r>
      <w:r>
        <w:rPr>
          <w:szCs w:val="22"/>
        </w:rPr>
        <w:t>führen (Prozentuale Verteilung auf den Ehegatten und die Nachkommen entsprechend der Prozente gemäss Steuerinventar).</w:t>
      </w:r>
    </w:p>
    <w:p w:rsidR="00292987" w:rsidRDefault="00292987" w:rsidP="00450284">
      <w:pPr>
        <w:rPr>
          <w:szCs w:val="22"/>
          <w:u w:val="single"/>
        </w:rPr>
      </w:pPr>
    </w:p>
    <w:p w:rsidR="00477E89" w:rsidRDefault="00477E89" w:rsidP="00450284">
      <w:pPr>
        <w:rPr>
          <w:szCs w:val="22"/>
        </w:rPr>
      </w:pPr>
      <w:r w:rsidRPr="000E683D">
        <w:rPr>
          <w:szCs w:val="22"/>
          <w:u w:val="single"/>
        </w:rPr>
        <w:t>3. Variante</w:t>
      </w:r>
      <w:r>
        <w:rPr>
          <w:szCs w:val="22"/>
        </w:rPr>
        <w:t xml:space="preserve"> (Liegenschaft nur beim überlebenden Ehegatten):</w:t>
      </w:r>
    </w:p>
    <w:p w:rsidR="00404387" w:rsidRDefault="00404387" w:rsidP="00477E89">
      <w:pPr>
        <w:rPr>
          <w:szCs w:val="22"/>
        </w:rPr>
      </w:pPr>
      <w:r>
        <w:rPr>
          <w:szCs w:val="22"/>
        </w:rPr>
        <w:t>(Alles inkl. Erwerbseinkommen beim überlebenden Ehegatten; die Erbteile der Kinder werden als Schuld deklariert.)</w:t>
      </w:r>
    </w:p>
    <w:p w:rsidR="00477E89" w:rsidRPr="00767C01" w:rsidRDefault="00477E89" w:rsidP="00767C01">
      <w:pPr>
        <w:pStyle w:val="Listenabsatz"/>
        <w:numPr>
          <w:ilvl w:val="0"/>
          <w:numId w:val="74"/>
        </w:numPr>
        <w:rPr>
          <w:szCs w:val="22"/>
        </w:rPr>
      </w:pPr>
      <w:r w:rsidRPr="00767C01">
        <w:rPr>
          <w:szCs w:val="22"/>
        </w:rPr>
        <w:t xml:space="preserve">das Vermögen </w:t>
      </w:r>
      <w:r w:rsidR="00767C01">
        <w:rPr>
          <w:szCs w:val="22"/>
        </w:rPr>
        <w:t xml:space="preserve">inkl. Vermögensertrag </w:t>
      </w:r>
      <w:r w:rsidRPr="00767C01">
        <w:rPr>
          <w:szCs w:val="22"/>
        </w:rPr>
        <w:t>des überlebenden Ehegatten: auf der Steuere</w:t>
      </w:r>
      <w:r w:rsidRPr="00767C01">
        <w:rPr>
          <w:szCs w:val="22"/>
        </w:rPr>
        <w:t>r</w:t>
      </w:r>
      <w:r w:rsidRPr="00767C01">
        <w:rPr>
          <w:szCs w:val="22"/>
        </w:rPr>
        <w:t>klärung des überlebenden Ehegatten;</w:t>
      </w:r>
    </w:p>
    <w:p w:rsidR="00477E89" w:rsidRPr="00767C01" w:rsidRDefault="00477E89" w:rsidP="00767C01">
      <w:pPr>
        <w:pStyle w:val="Listenabsatz"/>
        <w:numPr>
          <w:ilvl w:val="0"/>
          <w:numId w:val="74"/>
        </w:numPr>
        <w:rPr>
          <w:szCs w:val="22"/>
        </w:rPr>
      </w:pPr>
      <w:r w:rsidRPr="00767C01">
        <w:rPr>
          <w:szCs w:val="22"/>
        </w:rPr>
        <w:t xml:space="preserve">das Vermögen </w:t>
      </w:r>
      <w:r w:rsidR="00767C01">
        <w:rPr>
          <w:szCs w:val="22"/>
        </w:rPr>
        <w:t xml:space="preserve">inkl. Vermögensertrag </w:t>
      </w:r>
      <w:r w:rsidRPr="00767C01">
        <w:rPr>
          <w:szCs w:val="22"/>
        </w:rPr>
        <w:t>des verstorbenen Ehegatten: auf der Steuere</w:t>
      </w:r>
      <w:r w:rsidRPr="00767C01">
        <w:rPr>
          <w:szCs w:val="22"/>
        </w:rPr>
        <w:t>r</w:t>
      </w:r>
      <w:r w:rsidRPr="00767C01">
        <w:rPr>
          <w:szCs w:val="22"/>
        </w:rPr>
        <w:t>klärung des überlebenden Ehegatten</w:t>
      </w:r>
      <w:r w:rsidR="000E683D" w:rsidRPr="00767C01">
        <w:rPr>
          <w:szCs w:val="22"/>
        </w:rPr>
        <w:t>;</w:t>
      </w:r>
    </w:p>
    <w:p w:rsidR="000E683D" w:rsidRPr="00767C01" w:rsidRDefault="000E683D" w:rsidP="00767C01">
      <w:pPr>
        <w:pStyle w:val="Listenabsatz"/>
        <w:numPr>
          <w:ilvl w:val="0"/>
          <w:numId w:val="74"/>
        </w:numPr>
        <w:rPr>
          <w:szCs w:val="22"/>
        </w:rPr>
      </w:pPr>
      <w:r w:rsidRPr="00767C01">
        <w:rPr>
          <w:szCs w:val="22"/>
        </w:rPr>
        <w:t>das Erwerbs- oder Ersatzeinkommen des überlebenden Ehegatten: auf der Steuere</w:t>
      </w:r>
      <w:r w:rsidRPr="00767C01">
        <w:rPr>
          <w:szCs w:val="22"/>
        </w:rPr>
        <w:t>r</w:t>
      </w:r>
      <w:r w:rsidRPr="00767C01">
        <w:rPr>
          <w:szCs w:val="22"/>
        </w:rPr>
        <w:t>klärung des überlebenden Ehegatten.</w:t>
      </w:r>
    </w:p>
    <w:p w:rsidR="000E683D" w:rsidRPr="00767C01" w:rsidRDefault="000E683D" w:rsidP="00767C01">
      <w:pPr>
        <w:pStyle w:val="Listenabsatz"/>
        <w:numPr>
          <w:ilvl w:val="0"/>
          <w:numId w:val="74"/>
        </w:numPr>
        <w:rPr>
          <w:szCs w:val="22"/>
        </w:rPr>
      </w:pPr>
      <w:r w:rsidRPr="00767C01">
        <w:rPr>
          <w:szCs w:val="22"/>
        </w:rPr>
        <w:t xml:space="preserve">der Anteil der </w:t>
      </w:r>
      <w:r w:rsidR="00767C01" w:rsidRPr="00767C01">
        <w:rPr>
          <w:szCs w:val="22"/>
        </w:rPr>
        <w:t>Kinder</w:t>
      </w:r>
      <w:r w:rsidRPr="00767C01">
        <w:rPr>
          <w:szCs w:val="22"/>
        </w:rPr>
        <w:t xml:space="preserve"> am Einkommen und Vermögen der unverteilten Erbschaft, we</w:t>
      </w:r>
      <w:r w:rsidRPr="00767C01">
        <w:rPr>
          <w:szCs w:val="22"/>
        </w:rPr>
        <w:t>l</w:t>
      </w:r>
      <w:r w:rsidRPr="00767C01">
        <w:rPr>
          <w:szCs w:val="22"/>
        </w:rPr>
        <w:t xml:space="preserve">che ja beim überlebenden Ehegatten deklariert ist, muss berechnet werden. </w:t>
      </w:r>
      <w:r w:rsidR="00767C01" w:rsidRPr="00767C01">
        <w:rPr>
          <w:szCs w:val="22"/>
        </w:rPr>
        <w:t>Einko</w:t>
      </w:r>
      <w:r w:rsidR="00767C01" w:rsidRPr="00767C01">
        <w:rPr>
          <w:szCs w:val="22"/>
        </w:rPr>
        <w:t>m</w:t>
      </w:r>
      <w:r w:rsidR="00767C01" w:rsidRPr="00767C01">
        <w:rPr>
          <w:szCs w:val="22"/>
        </w:rPr>
        <w:t>men der Erbengemeinschaft = Ganzes Einkommen minus Erwerbseinkommen des überlebenden Ehegatten.</w:t>
      </w:r>
    </w:p>
    <w:p w:rsidR="00767C01" w:rsidRPr="00767C01" w:rsidRDefault="00767C01" w:rsidP="00767C01">
      <w:pPr>
        <w:pStyle w:val="Listenabsatz"/>
        <w:numPr>
          <w:ilvl w:val="0"/>
          <w:numId w:val="74"/>
        </w:numPr>
        <w:rPr>
          <w:szCs w:val="22"/>
        </w:rPr>
      </w:pPr>
      <w:r w:rsidRPr="00767C01">
        <w:rPr>
          <w:szCs w:val="22"/>
        </w:rPr>
        <w:t>Anteile der Kinder am Einkommen und Vermögen = Prozentuale Aufteilung gemäss Steuerinventar.</w:t>
      </w:r>
    </w:p>
    <w:p w:rsidR="00767C01" w:rsidRPr="00767C01" w:rsidRDefault="00767C01" w:rsidP="00767C01">
      <w:pPr>
        <w:pStyle w:val="Listenabsatz"/>
        <w:numPr>
          <w:ilvl w:val="0"/>
          <w:numId w:val="74"/>
        </w:numPr>
        <w:rPr>
          <w:szCs w:val="22"/>
        </w:rPr>
      </w:pPr>
      <w:r w:rsidRPr="00767C01">
        <w:rPr>
          <w:szCs w:val="22"/>
        </w:rPr>
        <w:t>Anschliessend werden die Anteile der Kinder am Einkommen und Vermögen der E</w:t>
      </w:r>
      <w:r w:rsidRPr="00767C01">
        <w:rPr>
          <w:szCs w:val="22"/>
        </w:rPr>
        <w:t>r</w:t>
      </w:r>
      <w:r w:rsidRPr="00767C01">
        <w:rPr>
          <w:szCs w:val="22"/>
        </w:rPr>
        <w:t>bengemeinschaft als Schuld des überlebenden Ehegatten deklariert (Schulden und Schuldzinsen).</w:t>
      </w:r>
    </w:p>
    <w:p w:rsidR="00477E89" w:rsidRDefault="00477E89" w:rsidP="00450284">
      <w:pPr>
        <w:rPr>
          <w:szCs w:val="22"/>
        </w:rPr>
      </w:pPr>
    </w:p>
    <w:p w:rsidR="00477E89" w:rsidRDefault="00477E89" w:rsidP="00450284">
      <w:pPr>
        <w:rPr>
          <w:szCs w:val="22"/>
        </w:rPr>
      </w:pPr>
      <w:r w:rsidRPr="00767C01">
        <w:rPr>
          <w:szCs w:val="22"/>
          <w:u w:val="single"/>
        </w:rPr>
        <w:t>4. Variante</w:t>
      </w:r>
      <w:r>
        <w:rPr>
          <w:szCs w:val="22"/>
        </w:rPr>
        <w:t xml:space="preserve"> (</w:t>
      </w:r>
      <w:r w:rsidR="00767C01">
        <w:rPr>
          <w:szCs w:val="22"/>
        </w:rPr>
        <w:t xml:space="preserve">gar </w:t>
      </w:r>
      <w:r>
        <w:rPr>
          <w:szCs w:val="22"/>
        </w:rPr>
        <w:t>keine Liegenschaften vorhanden):</w:t>
      </w:r>
    </w:p>
    <w:p w:rsidR="00404387" w:rsidRDefault="00404387" w:rsidP="00767C01">
      <w:pPr>
        <w:rPr>
          <w:szCs w:val="22"/>
        </w:rPr>
      </w:pPr>
      <w:r>
        <w:rPr>
          <w:szCs w:val="22"/>
        </w:rPr>
        <w:t>(Ganzes Vermögen</w:t>
      </w:r>
      <w:r w:rsidR="00292987">
        <w:rPr>
          <w:szCs w:val="22"/>
        </w:rPr>
        <w:t xml:space="preserve"> inkl. Vermögensertrag</w:t>
      </w:r>
      <w:r>
        <w:rPr>
          <w:szCs w:val="22"/>
        </w:rPr>
        <w:t xml:space="preserve"> beim Verstorbenen; E</w:t>
      </w:r>
      <w:r w:rsidR="00292987">
        <w:rPr>
          <w:szCs w:val="22"/>
        </w:rPr>
        <w:t>rwerbse</w:t>
      </w:r>
      <w:r>
        <w:rPr>
          <w:szCs w:val="22"/>
        </w:rPr>
        <w:t>inkommen beim Überlebenden.)</w:t>
      </w:r>
    </w:p>
    <w:p w:rsidR="00767C01" w:rsidRPr="00767C01" w:rsidRDefault="00767C01" w:rsidP="00767C01">
      <w:pPr>
        <w:pStyle w:val="Listenabsatz"/>
        <w:numPr>
          <w:ilvl w:val="0"/>
          <w:numId w:val="74"/>
        </w:numPr>
        <w:rPr>
          <w:szCs w:val="22"/>
        </w:rPr>
      </w:pPr>
      <w:r w:rsidRPr="00767C01">
        <w:rPr>
          <w:szCs w:val="22"/>
        </w:rPr>
        <w:t xml:space="preserve">das Vermögen </w:t>
      </w:r>
      <w:r>
        <w:rPr>
          <w:szCs w:val="22"/>
        </w:rPr>
        <w:t xml:space="preserve">inkl. Vermögensertrag beider </w:t>
      </w:r>
      <w:r w:rsidRPr="00767C01">
        <w:rPr>
          <w:szCs w:val="22"/>
        </w:rPr>
        <w:t>Ehegatten: auf der Steuererklärung</w:t>
      </w:r>
      <w:r w:rsidR="00115EE7">
        <w:rPr>
          <w:szCs w:val="22"/>
        </w:rPr>
        <w:t xml:space="preserve"> der Erbengemeinschaft</w:t>
      </w:r>
      <w:r w:rsidRPr="00767C01">
        <w:rPr>
          <w:szCs w:val="22"/>
        </w:rPr>
        <w:t>;</w:t>
      </w:r>
    </w:p>
    <w:p w:rsidR="00767C01" w:rsidRPr="00767C01" w:rsidRDefault="00767C01" w:rsidP="00767C01">
      <w:pPr>
        <w:pStyle w:val="Listenabsatz"/>
        <w:numPr>
          <w:ilvl w:val="0"/>
          <w:numId w:val="74"/>
        </w:numPr>
        <w:rPr>
          <w:szCs w:val="22"/>
        </w:rPr>
      </w:pPr>
      <w:r w:rsidRPr="00767C01">
        <w:rPr>
          <w:szCs w:val="22"/>
        </w:rPr>
        <w:t>das Erwerbs- oder Ersatzeinkommen des überlebenden Ehegatten: auf der Steuere</w:t>
      </w:r>
      <w:r w:rsidRPr="00767C01">
        <w:rPr>
          <w:szCs w:val="22"/>
        </w:rPr>
        <w:t>r</w:t>
      </w:r>
      <w:r w:rsidRPr="00767C01">
        <w:rPr>
          <w:szCs w:val="22"/>
        </w:rPr>
        <w:t>klärung des überlebenden Ehegatten.</w:t>
      </w:r>
    </w:p>
    <w:p w:rsidR="00767C01" w:rsidRPr="00767C01" w:rsidRDefault="00767C01" w:rsidP="00767C01">
      <w:pPr>
        <w:pStyle w:val="Listenabsatz"/>
        <w:numPr>
          <w:ilvl w:val="0"/>
          <w:numId w:val="74"/>
        </w:numPr>
        <w:rPr>
          <w:szCs w:val="22"/>
        </w:rPr>
      </w:pPr>
      <w:r w:rsidRPr="00767C01">
        <w:rPr>
          <w:szCs w:val="22"/>
        </w:rPr>
        <w:t xml:space="preserve">Anschliessend werden </w:t>
      </w:r>
      <w:r w:rsidR="00115EE7">
        <w:rPr>
          <w:szCs w:val="22"/>
        </w:rPr>
        <w:t xml:space="preserve">die prozentualen </w:t>
      </w:r>
      <w:r w:rsidRPr="00767C01">
        <w:rPr>
          <w:szCs w:val="22"/>
        </w:rPr>
        <w:t xml:space="preserve">Anteile </w:t>
      </w:r>
      <w:r w:rsidR="00115EE7">
        <w:rPr>
          <w:szCs w:val="22"/>
        </w:rPr>
        <w:t xml:space="preserve">des überlebenden Ehegatten und </w:t>
      </w:r>
      <w:r w:rsidRPr="00767C01">
        <w:rPr>
          <w:szCs w:val="22"/>
        </w:rPr>
        <w:t xml:space="preserve">der Kinder am Einkommen und Vermögen der Erbengemeinschaft </w:t>
      </w:r>
      <w:r w:rsidR="00115EE7">
        <w:rPr>
          <w:szCs w:val="22"/>
        </w:rPr>
        <w:t>berechnet und in deren Steuererklärungen übertragen.</w:t>
      </w:r>
    </w:p>
    <w:p w:rsidR="00767C01" w:rsidRDefault="00767C01" w:rsidP="00450284">
      <w:pPr>
        <w:rPr>
          <w:szCs w:val="22"/>
        </w:rPr>
      </w:pPr>
    </w:p>
    <w:p w:rsidR="00115EE7" w:rsidRDefault="00115EE7" w:rsidP="00450284">
      <w:pPr>
        <w:rPr>
          <w:szCs w:val="22"/>
        </w:rPr>
      </w:pPr>
      <w:r>
        <w:rPr>
          <w:szCs w:val="22"/>
        </w:rPr>
        <w:t xml:space="preserve">Die Variante 4 hat den Nachteil, dass das virtuelle Steuersubjekt weiter besteht, also dass die Erbengemeinschaft auch im Folgejahr eine Steuererklärung erhält. </w:t>
      </w:r>
    </w:p>
    <w:p w:rsidR="00115EE7" w:rsidRDefault="00115EE7" w:rsidP="00450284">
      <w:pPr>
        <w:rPr>
          <w:szCs w:val="22"/>
        </w:rPr>
      </w:pPr>
    </w:p>
    <w:p w:rsidR="00115EE7" w:rsidRDefault="00115EE7" w:rsidP="00450284">
      <w:pPr>
        <w:rPr>
          <w:szCs w:val="22"/>
        </w:rPr>
      </w:pPr>
      <w:r>
        <w:rPr>
          <w:szCs w:val="22"/>
        </w:rPr>
        <w:t xml:space="preserve">Will man dies nicht, muss auf der Steuererklärung der Erbengemeinschaft mitgeteilt werden, dass per Todestag geteilt wurde. </w:t>
      </w:r>
      <w:r w:rsidR="00292987">
        <w:rPr>
          <w:szCs w:val="22"/>
        </w:rPr>
        <w:t>Per Ende Jahr dürfte dann aber auch kein Vermögen mehr deklariert werden, d.h. es dürfen auch keine Liegenschaften mehr auf den Erblasser lauten.</w:t>
      </w:r>
    </w:p>
    <w:p w:rsidR="00115EE7" w:rsidRDefault="00115EE7" w:rsidP="00450284">
      <w:pPr>
        <w:rPr>
          <w:szCs w:val="22"/>
        </w:rPr>
      </w:pPr>
    </w:p>
    <w:p w:rsidR="00292987" w:rsidRDefault="00115EE7" w:rsidP="00450284">
      <w:pPr>
        <w:rPr>
          <w:szCs w:val="22"/>
        </w:rPr>
      </w:pPr>
      <w:r>
        <w:rPr>
          <w:szCs w:val="22"/>
        </w:rPr>
        <w:t xml:space="preserve">Oder man wählt die </w:t>
      </w:r>
    </w:p>
    <w:p w:rsidR="00292987" w:rsidRDefault="00292987" w:rsidP="00450284">
      <w:pPr>
        <w:rPr>
          <w:szCs w:val="22"/>
        </w:rPr>
      </w:pPr>
    </w:p>
    <w:p w:rsidR="00292987" w:rsidRDefault="00115EE7" w:rsidP="00450284">
      <w:pPr>
        <w:rPr>
          <w:szCs w:val="22"/>
        </w:rPr>
      </w:pPr>
      <w:r>
        <w:rPr>
          <w:szCs w:val="22"/>
        </w:rPr>
        <w:t xml:space="preserve">Variante </w:t>
      </w:r>
      <w:r w:rsidR="00292987">
        <w:rPr>
          <w:szCs w:val="22"/>
        </w:rPr>
        <w:t>5 (gar keine Liegenschaften vorhanden):</w:t>
      </w:r>
    </w:p>
    <w:p w:rsidR="00047A0C" w:rsidRDefault="00047A0C" w:rsidP="00450284">
      <w:pPr>
        <w:rPr>
          <w:szCs w:val="22"/>
        </w:rPr>
      </w:pPr>
      <w:r>
        <w:rPr>
          <w:szCs w:val="22"/>
        </w:rPr>
        <w:lastRenderedPageBreak/>
        <w:t>(Vermögen = überlebender Ehegatte; Vermögensertrag = Erbengemeinschaft; Erwerbsei</w:t>
      </w:r>
      <w:r>
        <w:rPr>
          <w:szCs w:val="22"/>
        </w:rPr>
        <w:t>n</w:t>
      </w:r>
      <w:r>
        <w:rPr>
          <w:szCs w:val="22"/>
        </w:rPr>
        <w:t>kommen = überlebender Ehegatte; Teilungstag = 31. Dezember des Todesjahres.)</w:t>
      </w:r>
    </w:p>
    <w:p w:rsidR="00047A0C" w:rsidRPr="00047A0C" w:rsidRDefault="00115EE7" w:rsidP="00047A0C">
      <w:pPr>
        <w:pStyle w:val="Listenabsatz"/>
        <w:numPr>
          <w:ilvl w:val="0"/>
          <w:numId w:val="76"/>
        </w:numPr>
        <w:rPr>
          <w:szCs w:val="22"/>
        </w:rPr>
      </w:pPr>
      <w:r w:rsidRPr="00047A0C">
        <w:rPr>
          <w:szCs w:val="22"/>
        </w:rPr>
        <w:t>das Vermögen der Erbengemeinschaft</w:t>
      </w:r>
      <w:r w:rsidR="00047A0C" w:rsidRPr="00047A0C">
        <w:rPr>
          <w:szCs w:val="22"/>
        </w:rPr>
        <w:t>:</w:t>
      </w:r>
      <w:r w:rsidRPr="00047A0C">
        <w:rPr>
          <w:szCs w:val="22"/>
        </w:rPr>
        <w:t xml:space="preserve"> </w:t>
      </w:r>
      <w:r w:rsidR="00047A0C" w:rsidRPr="00047A0C">
        <w:rPr>
          <w:szCs w:val="22"/>
        </w:rPr>
        <w:t xml:space="preserve">auf der Steuererklärung des </w:t>
      </w:r>
      <w:r w:rsidRPr="00047A0C">
        <w:rPr>
          <w:szCs w:val="22"/>
        </w:rPr>
        <w:t>überlebenden Ehegat</w:t>
      </w:r>
      <w:r w:rsidR="00047A0C" w:rsidRPr="00047A0C">
        <w:rPr>
          <w:szCs w:val="22"/>
        </w:rPr>
        <w:t>ten;</w:t>
      </w:r>
    </w:p>
    <w:p w:rsidR="00047A0C" w:rsidRPr="00047A0C" w:rsidRDefault="00115EE7" w:rsidP="00047A0C">
      <w:pPr>
        <w:pStyle w:val="Listenabsatz"/>
        <w:numPr>
          <w:ilvl w:val="0"/>
          <w:numId w:val="76"/>
        </w:numPr>
        <w:rPr>
          <w:szCs w:val="22"/>
        </w:rPr>
      </w:pPr>
      <w:r w:rsidRPr="00047A0C">
        <w:rPr>
          <w:szCs w:val="22"/>
        </w:rPr>
        <w:t>das Einkommen der Erbengemeinschaft (=Vermögensertrag)</w:t>
      </w:r>
      <w:r w:rsidR="00047A0C" w:rsidRPr="00047A0C">
        <w:rPr>
          <w:szCs w:val="22"/>
        </w:rPr>
        <w:t>:</w:t>
      </w:r>
      <w:r w:rsidRPr="00047A0C">
        <w:rPr>
          <w:szCs w:val="22"/>
        </w:rPr>
        <w:t xml:space="preserve"> </w:t>
      </w:r>
      <w:r w:rsidR="006440CD" w:rsidRPr="00047A0C">
        <w:rPr>
          <w:szCs w:val="22"/>
        </w:rPr>
        <w:t>auf der Steuererklärung der Erbengemeinschaft</w:t>
      </w:r>
      <w:r w:rsidR="00047A0C" w:rsidRPr="00047A0C">
        <w:rPr>
          <w:szCs w:val="22"/>
        </w:rPr>
        <w:t>; prozentuale Verteilung auf den überlebenden Ehegatten und die Kinder; der überlebende Ehegatte und die Kinder deklarieren diesen anteiligen Vermögensertrag auf ihren eigenen Steuererklärungen;</w:t>
      </w:r>
    </w:p>
    <w:p w:rsidR="00047A0C" w:rsidRPr="00047A0C" w:rsidRDefault="00047A0C" w:rsidP="00047A0C">
      <w:pPr>
        <w:pStyle w:val="Listenabsatz"/>
        <w:numPr>
          <w:ilvl w:val="0"/>
          <w:numId w:val="76"/>
        </w:numPr>
        <w:rPr>
          <w:szCs w:val="22"/>
        </w:rPr>
      </w:pPr>
      <w:r w:rsidRPr="00047A0C">
        <w:rPr>
          <w:szCs w:val="22"/>
        </w:rPr>
        <w:t>das Erwerbs- oder Ersatzeinkommen des überlebenden Ehegatten: auf der Steuere</w:t>
      </w:r>
      <w:r w:rsidRPr="00047A0C">
        <w:rPr>
          <w:szCs w:val="22"/>
        </w:rPr>
        <w:t>r</w:t>
      </w:r>
      <w:r w:rsidRPr="00047A0C">
        <w:rPr>
          <w:szCs w:val="22"/>
        </w:rPr>
        <w:t>klärung des überlebenden Ehegatten;</w:t>
      </w:r>
    </w:p>
    <w:p w:rsidR="00047A0C" w:rsidRPr="00047A0C" w:rsidRDefault="00115EE7" w:rsidP="00047A0C">
      <w:pPr>
        <w:pStyle w:val="Listenabsatz"/>
        <w:numPr>
          <w:ilvl w:val="0"/>
          <w:numId w:val="76"/>
        </w:numPr>
        <w:rPr>
          <w:szCs w:val="22"/>
        </w:rPr>
      </w:pPr>
      <w:r w:rsidRPr="00047A0C">
        <w:rPr>
          <w:szCs w:val="22"/>
        </w:rPr>
        <w:t>auf der Steuererklärung des überlebenden Ehegatten werden die prozentualen Anteil</w:t>
      </w:r>
      <w:r w:rsidR="00047A0C" w:rsidRPr="00047A0C">
        <w:rPr>
          <w:szCs w:val="22"/>
        </w:rPr>
        <w:t>e</w:t>
      </w:r>
      <w:r w:rsidRPr="00047A0C">
        <w:rPr>
          <w:szCs w:val="22"/>
        </w:rPr>
        <w:t xml:space="preserve"> der Kinder am Vermögen der Erbengemeinschaft </w:t>
      </w:r>
      <w:r w:rsidR="00BF2E6B" w:rsidRPr="00047A0C">
        <w:rPr>
          <w:szCs w:val="22"/>
        </w:rPr>
        <w:t xml:space="preserve">per 31. Dezember </w:t>
      </w:r>
      <w:r w:rsidRPr="00047A0C">
        <w:rPr>
          <w:szCs w:val="22"/>
        </w:rPr>
        <w:t>als Schuld dekl</w:t>
      </w:r>
      <w:r w:rsidRPr="00047A0C">
        <w:rPr>
          <w:szCs w:val="22"/>
        </w:rPr>
        <w:t>a</w:t>
      </w:r>
      <w:r w:rsidRPr="00047A0C">
        <w:rPr>
          <w:szCs w:val="22"/>
        </w:rPr>
        <w:t>riert</w:t>
      </w:r>
      <w:r w:rsidR="00047A0C" w:rsidRPr="00047A0C">
        <w:rPr>
          <w:szCs w:val="22"/>
        </w:rPr>
        <w:t>;</w:t>
      </w:r>
    </w:p>
    <w:p w:rsidR="00115EE7" w:rsidRPr="00047A0C" w:rsidRDefault="00047A0C" w:rsidP="00047A0C">
      <w:pPr>
        <w:pStyle w:val="Listenabsatz"/>
        <w:numPr>
          <w:ilvl w:val="0"/>
          <w:numId w:val="76"/>
        </w:numPr>
        <w:rPr>
          <w:szCs w:val="22"/>
        </w:rPr>
      </w:pPr>
      <w:r w:rsidRPr="00047A0C">
        <w:rPr>
          <w:szCs w:val="22"/>
        </w:rPr>
        <w:t>a</w:t>
      </w:r>
      <w:r w:rsidR="00BF2E6B" w:rsidRPr="00047A0C">
        <w:rPr>
          <w:szCs w:val="22"/>
        </w:rPr>
        <w:t>uf der Steuererklärung der Erbengemeinschaft ist als Datum der Erbteilung der 31. Dezember anzugeben.</w:t>
      </w:r>
    </w:p>
    <w:p w:rsidR="00047A0C" w:rsidRDefault="00047A0C" w:rsidP="00450284">
      <w:pPr>
        <w:rPr>
          <w:szCs w:val="22"/>
        </w:rPr>
      </w:pPr>
    </w:p>
    <w:p w:rsidR="00047A0C" w:rsidRDefault="00047A0C" w:rsidP="00450284">
      <w:pPr>
        <w:rPr>
          <w:szCs w:val="22"/>
        </w:rPr>
      </w:pPr>
      <w:r>
        <w:rPr>
          <w:szCs w:val="22"/>
        </w:rPr>
        <w:t>Bitte beachten Sie, dass die Steuerverwaltung seit einigen Jahren keine "Quasi-Nutzniessungen" für Grundstücke mehr akzeptiert. Mit "Quasi-Nutzniessungen" sind unter anderem Grundstücke gemeint, welche im Grundbuch auf den Namen des Erblassers oder den Namen der Erbengemeinschaft lauten. Sie können das Einlageblatt des Grundstückes nicht einfach aus der jeweiligen Steuererklärung nehmen und beim überlebenden Ehegatten hinzufügen. Die Grundstücke des Erblassers müssen entweder auf einen der Erben übertr</w:t>
      </w:r>
      <w:r>
        <w:rPr>
          <w:szCs w:val="22"/>
        </w:rPr>
        <w:t>a</w:t>
      </w:r>
      <w:r>
        <w:rPr>
          <w:szCs w:val="22"/>
        </w:rPr>
        <w:t>gen werden, oder die Erbengemeinschaft besteht weiter.</w:t>
      </w:r>
    </w:p>
    <w:p w:rsidR="00047A0C" w:rsidRDefault="00047A0C" w:rsidP="00450284">
      <w:pPr>
        <w:rPr>
          <w:szCs w:val="22"/>
        </w:rPr>
      </w:pPr>
    </w:p>
    <w:p w:rsidR="00047A0C" w:rsidRDefault="00047A0C" w:rsidP="00450284">
      <w:pPr>
        <w:rPr>
          <w:szCs w:val="22"/>
        </w:rPr>
      </w:pPr>
      <w:r>
        <w:rPr>
          <w:szCs w:val="22"/>
        </w:rPr>
        <w:t>Wenn der überlebende Ehegatte in ein Alters- oder Pflegeheim gehen will oder muss, kann sich bei der Tragung der Heimkosten ein Problem mit den Ergänzungsleistungen ergeben. Aus diesem Grund ist es empfehlenswert, Grundstücke der Erbengemeinschaft möglichst rasch mittels Erbteilung auf eines oder alle Kinder zu übertragen.</w:t>
      </w:r>
    </w:p>
    <w:p w:rsidR="00831AC1" w:rsidRDefault="00831AC1" w:rsidP="00450284">
      <w:pPr>
        <w:rPr>
          <w:szCs w:val="22"/>
        </w:rPr>
      </w:pPr>
    </w:p>
    <w:p w:rsidR="00831AC1" w:rsidRDefault="00831AC1" w:rsidP="00450284">
      <w:pPr>
        <w:rPr>
          <w:szCs w:val="22"/>
        </w:rPr>
      </w:pPr>
      <w:r>
        <w:rPr>
          <w:szCs w:val="22"/>
        </w:rPr>
        <w:t>Auf den folgenden 3 Seiten finden Sie Diagramme zu den vorstehenden Varianten 1 – 5.</w:t>
      </w:r>
    </w:p>
    <w:p w:rsidR="00831AC1" w:rsidRDefault="00831AC1" w:rsidP="00450284">
      <w:pPr>
        <w:rPr>
          <w:szCs w:val="22"/>
        </w:rPr>
      </w:pPr>
    </w:p>
    <w:p w:rsidR="00831AC1" w:rsidRDefault="00831AC1">
      <w:pPr>
        <w:spacing w:after="200"/>
        <w:rPr>
          <w:szCs w:val="22"/>
        </w:rPr>
      </w:pPr>
      <w:r>
        <w:rPr>
          <w:szCs w:val="22"/>
        </w:rPr>
        <w:br w:type="page"/>
      </w:r>
    </w:p>
    <w:p w:rsidR="00831AC1" w:rsidRDefault="00831AC1" w:rsidP="00450284">
      <w:pPr>
        <w:rPr>
          <w:szCs w:val="22"/>
        </w:rPr>
      </w:pPr>
      <w:r>
        <w:rPr>
          <w:noProof/>
          <w:szCs w:val="22"/>
          <w:lang w:eastAsia="de-CH"/>
        </w:rPr>
        <w:lastRenderedPageBreak/>
        <w:drawing>
          <wp:inline distT="0" distB="0" distL="0" distR="0">
            <wp:extent cx="5817870" cy="8222615"/>
            <wp:effectExtent l="0" t="0" r="0" b="6985"/>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füllen StE Diagramm  - Seite 1.jpe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817870" cy="8222615"/>
                    </a:xfrm>
                    <a:prstGeom prst="rect">
                      <a:avLst/>
                    </a:prstGeom>
                  </pic:spPr>
                </pic:pic>
              </a:graphicData>
            </a:graphic>
          </wp:inline>
        </w:drawing>
      </w:r>
    </w:p>
    <w:p w:rsidR="00831AC1" w:rsidRDefault="00831AC1">
      <w:pPr>
        <w:spacing w:after="200"/>
        <w:rPr>
          <w:szCs w:val="22"/>
        </w:rPr>
      </w:pPr>
      <w:r>
        <w:rPr>
          <w:szCs w:val="22"/>
        </w:rPr>
        <w:br w:type="page"/>
      </w:r>
    </w:p>
    <w:p w:rsidR="00831AC1" w:rsidRDefault="00831AC1" w:rsidP="00450284">
      <w:pPr>
        <w:rPr>
          <w:szCs w:val="22"/>
        </w:rPr>
      </w:pPr>
      <w:r>
        <w:rPr>
          <w:noProof/>
          <w:szCs w:val="22"/>
          <w:lang w:eastAsia="de-CH"/>
        </w:rPr>
        <w:lastRenderedPageBreak/>
        <w:drawing>
          <wp:inline distT="0" distB="0" distL="0" distR="0">
            <wp:extent cx="5817870" cy="8222615"/>
            <wp:effectExtent l="0" t="0" r="0" b="6985"/>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füllen StE Diagramm - Seite 2.jpe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817870" cy="8222615"/>
                    </a:xfrm>
                    <a:prstGeom prst="rect">
                      <a:avLst/>
                    </a:prstGeom>
                  </pic:spPr>
                </pic:pic>
              </a:graphicData>
            </a:graphic>
          </wp:inline>
        </w:drawing>
      </w:r>
    </w:p>
    <w:p w:rsidR="00831AC1" w:rsidRDefault="00831AC1">
      <w:pPr>
        <w:spacing w:after="200"/>
        <w:rPr>
          <w:szCs w:val="22"/>
        </w:rPr>
      </w:pPr>
      <w:r>
        <w:rPr>
          <w:szCs w:val="22"/>
        </w:rPr>
        <w:br w:type="page"/>
      </w:r>
    </w:p>
    <w:p w:rsidR="00831AC1" w:rsidRDefault="00831AC1" w:rsidP="00450284">
      <w:pPr>
        <w:rPr>
          <w:szCs w:val="22"/>
        </w:rPr>
      </w:pPr>
      <w:r>
        <w:rPr>
          <w:noProof/>
          <w:szCs w:val="22"/>
          <w:lang w:eastAsia="de-CH"/>
        </w:rPr>
        <w:lastRenderedPageBreak/>
        <w:drawing>
          <wp:inline distT="0" distB="0" distL="0" distR="0">
            <wp:extent cx="5817870" cy="8222615"/>
            <wp:effectExtent l="0" t="0" r="0" b="6985"/>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füllen StE Diagramm - Seite 3.jpe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817870" cy="8222615"/>
                    </a:xfrm>
                    <a:prstGeom prst="rect">
                      <a:avLst/>
                    </a:prstGeom>
                  </pic:spPr>
                </pic:pic>
              </a:graphicData>
            </a:graphic>
          </wp:inline>
        </w:drawing>
      </w:r>
    </w:p>
    <w:sectPr w:rsidR="00831AC1" w:rsidSect="005F7786">
      <w:footerReference w:type="default" r:id="rId56"/>
      <w:pgSz w:w="11906" w:h="16838" w:code="9"/>
      <w:pgMar w:top="1701" w:right="1009" w:bottom="1418" w:left="1735" w:header="720"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64023" w:rsidRDefault="00C64023" w:rsidP="00D95E54">
      <w:pPr>
        <w:spacing w:line="240" w:lineRule="auto"/>
      </w:pPr>
      <w:r>
        <w:separator/>
      </w:r>
    </w:p>
    <w:p w:rsidR="00C64023" w:rsidRDefault="00C64023"/>
    <w:p w:rsidR="00C64023" w:rsidRDefault="00C64023" w:rsidP="0012391B"/>
  </w:endnote>
  <w:endnote w:type="continuationSeparator" w:id="0">
    <w:p w:rsidR="00C64023" w:rsidRDefault="00C64023" w:rsidP="00D95E54">
      <w:pPr>
        <w:spacing w:line="240" w:lineRule="auto"/>
      </w:pPr>
      <w:r>
        <w:continuationSeparator/>
      </w:r>
    </w:p>
    <w:p w:rsidR="00C64023" w:rsidRDefault="00C64023"/>
    <w:p w:rsidR="00C64023" w:rsidRDefault="00C64023" w:rsidP="0012391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Book Antiqua">
    <w:panose1 w:val="02040602050305030304"/>
    <w:charset w:val="00"/>
    <w:family w:val="roman"/>
    <w:pitch w:val="variable"/>
    <w:sig w:usb0="00000287" w:usb1="00000000" w:usb2="00000000" w:usb3="00000000" w:csb0="0000009F" w:csb1="00000000"/>
    <w:embedRegular r:id="rId1" w:fontKey="{1D912BA8-3422-4F57-8E3A-4FFCCEFF9970}"/>
    <w:embedBold r:id="rId2" w:fontKey="{B75777AD-7689-49AD-89D1-310443174995}"/>
  </w:font>
  <w:font w:name="Calibri">
    <w:panose1 w:val="020F0502020204030204"/>
    <w:charset w:val="00"/>
    <w:family w:val="swiss"/>
    <w:pitch w:val="variable"/>
    <w:sig w:usb0="E00002FF" w:usb1="4000ACFF" w:usb2="00000001" w:usb3="00000000" w:csb0="0000019F" w:csb1="00000000"/>
    <w:embedRegular r:id="rId3" w:fontKey="{FFEFD636-A224-4BAD-98A8-B39AF75B6778}"/>
    <w:embedBold r:id="rId4" w:fontKey="{2AA5A3E7-1D0A-4EE8-A35E-911F522B4407}"/>
    <w:embedItalic r:id="rId5" w:fontKey="{B69050A7-238F-428B-A518-7FCD1491A08B}"/>
    <w:embedBoldItalic r:id="rId6" w:fontKey="{23692DEF-D933-4021-854D-EC369624A495}"/>
  </w:font>
  <w:font w:name="Times New Roman">
    <w:panose1 w:val="02020603050405020304"/>
    <w:charset w:val="00"/>
    <w:family w:val="roman"/>
    <w:pitch w:val="variable"/>
    <w:sig w:usb0="E0002AFF" w:usb1="C0007841" w:usb2="00000009" w:usb3="00000000" w:csb0="000001FF" w:csb1="00000000"/>
    <w:embedRegular r:id="rId7" w:fontKey="{C6A995E7-8045-4DC5-BD02-2E789B3B898D}"/>
    <w:embedBold r:id="rId8" w:fontKey="{6DF9E2E0-F47C-4F04-8EE9-61CA7067EFCB}"/>
    <w:embedItalic r:id="rId9" w:fontKey="{F58D05C5-455A-4CD9-8E82-0FE8E8277F0E}"/>
    <w:embedBoldItalic r:id="rId10" w:fontKey="{ADF63BB6-DDCE-4E42-9D46-CFE956ED19A9}"/>
  </w:font>
  <w:font w:name="Courier New">
    <w:panose1 w:val="02070309020205020404"/>
    <w:charset w:val="00"/>
    <w:family w:val="modern"/>
    <w:pitch w:val="fixed"/>
    <w:sig w:usb0="E0002AFF" w:usb1="C0007843" w:usb2="00000009" w:usb3="00000000" w:csb0="000001FF" w:csb1="00000000"/>
    <w:embedRegular r:id="rId11" w:fontKey="{0B69943E-EC93-4295-92E5-20713AC3CB19}"/>
  </w:font>
  <w:font w:name="Wingdings">
    <w:panose1 w:val="05000000000000000000"/>
    <w:charset w:val="02"/>
    <w:family w:val="auto"/>
    <w:pitch w:val="variable"/>
    <w:sig w:usb0="00000000" w:usb1="10000000" w:usb2="00000000" w:usb3="00000000" w:csb0="80000000" w:csb1="00000000"/>
    <w:embedRegular r:id="rId12" w:fontKey="{979F293C-55AF-444D-9E6B-F9E6EF77E869}"/>
  </w:font>
  <w:font w:name="Symbol">
    <w:panose1 w:val="05050102010706020507"/>
    <w:charset w:val="02"/>
    <w:family w:val="roman"/>
    <w:pitch w:val="variable"/>
    <w:sig w:usb0="00000000" w:usb1="10000000" w:usb2="00000000" w:usb3="00000000" w:csb0="80000000" w:csb1="00000000"/>
    <w:embedRegular r:id="rId13" w:fontKey="{64AAF817-4133-4130-96A5-1CDF36FA9247}"/>
  </w:font>
  <w:font w:name="Arial">
    <w:panose1 w:val="020B0604020202020204"/>
    <w:charset w:val="00"/>
    <w:family w:val="swiss"/>
    <w:pitch w:val="variable"/>
    <w:sig w:usb0="E0002AFF" w:usb1="C0007843" w:usb2="00000009" w:usb3="00000000" w:csb0="000001FF" w:csb1="00000000"/>
    <w:embedRegular r:id="rId14" w:fontKey="{4AB5AB93-9377-4D80-BAC0-137F67DD3741}"/>
    <w:embedBold r:id="rId15" w:fontKey="{C43A9A6D-81ED-4695-ACAE-A0F9FC9D4472}"/>
    <w:embedItalic r:id="rId16" w:fontKey="{5D835B58-347E-4AF4-99F4-B369961D5127}"/>
    <w:embedBoldItalic r:id="rId17" w:fontKey="{1CA05F5D-5890-4FD6-975B-F1DDF854CF2D}"/>
  </w:font>
  <w:font w:name="Tahoma">
    <w:panose1 w:val="020B0604030504040204"/>
    <w:charset w:val="00"/>
    <w:family w:val="swiss"/>
    <w:pitch w:val="variable"/>
    <w:sig w:usb0="E1002EFF" w:usb1="C000605B" w:usb2="00000029" w:usb3="00000000" w:csb0="000101FF" w:csb1="00000000"/>
    <w:embedRegular r:id="rId18" w:fontKey="{8A917DDD-489E-45E7-A795-A7427B950D46}"/>
  </w:font>
  <w:font w:name="Cambria">
    <w:panose1 w:val="02040503050406030204"/>
    <w:charset w:val="00"/>
    <w:family w:val="roman"/>
    <w:pitch w:val="variable"/>
    <w:sig w:usb0="E00002FF" w:usb1="400004FF" w:usb2="00000000" w:usb3="00000000" w:csb0="0000019F" w:csb1="00000000"/>
    <w:embedRegular r:id="rId19" w:fontKey="{6D7AC862-B48F-4374-9C47-9411E8442FFA}"/>
    <w:embedBold r:id="rId20" w:fontKey="{C1FEDEAF-973C-4ECD-8080-5C3523FF9504}"/>
  </w:font>
  <w:font w:name="Helv">
    <w:altName w:val="Arial"/>
    <w:panose1 w:val="020B0604020202030204"/>
    <w:charset w:val="00"/>
    <w:family w:val="swiss"/>
    <w:notTrueType/>
    <w:pitch w:val="variable"/>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embedRegular r:id="rId21" w:fontKey="{5700E2F9-7D0B-455B-BE58-915703C13FF6}"/>
    <w:embedBold r:id="rId22" w:fontKey="{D8223528-0146-4891-BECF-9FC3F005C9DD}"/>
    <w:embedItalic r:id="rId23" w:fontKey="{3CB30D14-FCE7-4793-A61E-14EFDACE9E0B}"/>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cs="Arial"/>
        <w:sz w:val="16"/>
        <w:szCs w:val="16"/>
      </w:rPr>
      <w:id w:val="-712578015"/>
      <w:docPartObj>
        <w:docPartGallery w:val="Page Numbers (Bottom of Page)"/>
        <w:docPartUnique/>
      </w:docPartObj>
    </w:sdtPr>
    <w:sdtEndPr/>
    <w:sdtContent>
      <w:sdt>
        <w:sdtPr>
          <w:rPr>
            <w:rFonts w:cs="Arial"/>
            <w:sz w:val="16"/>
            <w:szCs w:val="16"/>
          </w:rPr>
          <w:id w:val="860082579"/>
          <w:docPartObj>
            <w:docPartGallery w:val="Page Numbers (Top of Page)"/>
            <w:docPartUnique/>
          </w:docPartObj>
        </w:sdtPr>
        <w:sdtEndPr/>
        <w:sdtContent>
          <w:p w:rsidR="007371BD" w:rsidRPr="00654D6E" w:rsidRDefault="007371BD">
            <w:pPr>
              <w:pStyle w:val="Fuzeile"/>
              <w:jc w:val="right"/>
              <w:rPr>
                <w:rFonts w:cs="Arial"/>
                <w:sz w:val="16"/>
                <w:szCs w:val="16"/>
              </w:rPr>
            </w:pPr>
            <w:r w:rsidRPr="00654D6E">
              <w:rPr>
                <w:rFonts w:cs="Arial"/>
                <w:sz w:val="16"/>
                <w:szCs w:val="16"/>
                <w:lang w:val="de-DE"/>
              </w:rPr>
              <w:t xml:space="preserve">Seite </w:t>
            </w:r>
            <w:r w:rsidRPr="00654D6E">
              <w:rPr>
                <w:rFonts w:cs="Arial"/>
                <w:bCs/>
                <w:sz w:val="16"/>
                <w:szCs w:val="16"/>
              </w:rPr>
              <w:fldChar w:fldCharType="begin"/>
            </w:r>
            <w:r w:rsidRPr="00654D6E">
              <w:rPr>
                <w:rFonts w:cs="Arial"/>
                <w:bCs/>
                <w:sz w:val="16"/>
                <w:szCs w:val="16"/>
              </w:rPr>
              <w:instrText>PAGE</w:instrText>
            </w:r>
            <w:r w:rsidRPr="00654D6E">
              <w:rPr>
                <w:rFonts w:cs="Arial"/>
                <w:bCs/>
                <w:sz w:val="16"/>
                <w:szCs w:val="16"/>
              </w:rPr>
              <w:fldChar w:fldCharType="separate"/>
            </w:r>
            <w:r w:rsidR="00FC0965">
              <w:rPr>
                <w:rFonts w:cs="Arial"/>
                <w:bCs/>
                <w:noProof/>
                <w:sz w:val="16"/>
                <w:szCs w:val="16"/>
              </w:rPr>
              <w:t>3</w:t>
            </w:r>
            <w:r w:rsidRPr="00654D6E">
              <w:rPr>
                <w:rFonts w:cs="Arial"/>
                <w:bCs/>
                <w:sz w:val="16"/>
                <w:szCs w:val="16"/>
              </w:rPr>
              <w:fldChar w:fldCharType="end"/>
            </w:r>
            <w:r w:rsidRPr="00654D6E">
              <w:rPr>
                <w:rFonts w:cs="Arial"/>
                <w:sz w:val="16"/>
                <w:szCs w:val="16"/>
                <w:lang w:val="de-DE"/>
              </w:rPr>
              <w:t xml:space="preserve"> von </w:t>
            </w:r>
            <w:r w:rsidRPr="00654D6E">
              <w:rPr>
                <w:rFonts w:cs="Arial"/>
                <w:bCs/>
                <w:sz w:val="16"/>
                <w:szCs w:val="16"/>
              </w:rPr>
              <w:fldChar w:fldCharType="begin"/>
            </w:r>
            <w:r w:rsidRPr="00654D6E">
              <w:rPr>
                <w:rFonts w:cs="Arial"/>
                <w:bCs/>
                <w:sz w:val="16"/>
                <w:szCs w:val="16"/>
              </w:rPr>
              <w:instrText>NUMPAGES</w:instrText>
            </w:r>
            <w:r w:rsidRPr="00654D6E">
              <w:rPr>
                <w:rFonts w:cs="Arial"/>
                <w:bCs/>
                <w:sz w:val="16"/>
                <w:szCs w:val="16"/>
              </w:rPr>
              <w:fldChar w:fldCharType="separate"/>
            </w:r>
            <w:r w:rsidR="00FC0965">
              <w:rPr>
                <w:rFonts w:cs="Arial"/>
                <w:bCs/>
                <w:noProof/>
                <w:sz w:val="16"/>
                <w:szCs w:val="16"/>
              </w:rPr>
              <w:t>293</w:t>
            </w:r>
            <w:r w:rsidRPr="00654D6E">
              <w:rPr>
                <w:rFonts w:cs="Arial"/>
                <w:bCs/>
                <w:sz w:val="16"/>
                <w:szCs w:val="16"/>
              </w:rPr>
              <w:fldChar w:fldCharType="end"/>
            </w:r>
          </w:p>
        </w:sdtContent>
      </w:sdt>
    </w:sdtContent>
  </w:sdt>
  <w:p w:rsidR="007371BD" w:rsidRDefault="007371BD"/>
  <w:p w:rsidR="007371BD" w:rsidRDefault="007371BD" w:rsidP="0012391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64023" w:rsidRDefault="00C64023" w:rsidP="00D95E54">
      <w:pPr>
        <w:spacing w:line="240" w:lineRule="auto"/>
      </w:pPr>
      <w:r>
        <w:separator/>
      </w:r>
    </w:p>
    <w:p w:rsidR="00C64023" w:rsidRDefault="00C64023"/>
    <w:p w:rsidR="00C64023" w:rsidRDefault="00C64023" w:rsidP="0012391B"/>
  </w:footnote>
  <w:footnote w:type="continuationSeparator" w:id="0">
    <w:p w:rsidR="00C64023" w:rsidRDefault="00C64023" w:rsidP="00D95E54">
      <w:pPr>
        <w:spacing w:line="240" w:lineRule="auto"/>
      </w:pPr>
      <w:r>
        <w:continuationSeparator/>
      </w:r>
    </w:p>
    <w:p w:rsidR="00C64023" w:rsidRDefault="00C64023"/>
    <w:p w:rsidR="00C64023" w:rsidRDefault="00C64023" w:rsidP="0012391B"/>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CD1C6856"/>
    <w:lvl w:ilvl="0">
      <w:numFmt w:val="decimal"/>
      <w:lvlText w:val="*"/>
      <w:lvlJc w:val="left"/>
    </w:lvl>
  </w:abstractNum>
  <w:abstractNum w:abstractNumId="1">
    <w:nsid w:val="010123CA"/>
    <w:multiLevelType w:val="hybridMultilevel"/>
    <w:tmpl w:val="8F02DDD0"/>
    <w:lvl w:ilvl="0" w:tplc="890623A4">
      <w:start w:val="1"/>
      <w:numFmt w:val="bullet"/>
      <w:lvlText w:val="-"/>
      <w:lvlJc w:val="left"/>
      <w:pPr>
        <w:ind w:left="720" w:hanging="360"/>
      </w:pPr>
      <w:rPr>
        <w:rFonts w:ascii="Book Antiqua" w:eastAsiaTheme="minorHAnsi" w:hAnsi="Book Antiqua"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
    <w:nsid w:val="01E97E11"/>
    <w:multiLevelType w:val="hybridMultilevel"/>
    <w:tmpl w:val="2EA4A978"/>
    <w:lvl w:ilvl="0" w:tplc="890623A4">
      <w:start w:val="1"/>
      <w:numFmt w:val="bullet"/>
      <w:lvlText w:val="-"/>
      <w:lvlJc w:val="left"/>
      <w:pPr>
        <w:ind w:left="720" w:hanging="360"/>
      </w:pPr>
      <w:rPr>
        <w:rFonts w:ascii="Book Antiqua" w:eastAsiaTheme="minorHAnsi" w:hAnsi="Book Antiqua"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nsid w:val="0304699D"/>
    <w:multiLevelType w:val="hybridMultilevel"/>
    <w:tmpl w:val="0C346ADC"/>
    <w:lvl w:ilvl="0" w:tplc="890623A4">
      <w:start w:val="1"/>
      <w:numFmt w:val="bullet"/>
      <w:lvlText w:val="-"/>
      <w:lvlJc w:val="left"/>
      <w:pPr>
        <w:ind w:left="720" w:hanging="360"/>
      </w:pPr>
      <w:rPr>
        <w:rFonts w:ascii="Book Antiqua" w:eastAsiaTheme="minorHAnsi" w:hAnsi="Book Antiqua"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
    <w:nsid w:val="03852D0D"/>
    <w:multiLevelType w:val="hybridMultilevel"/>
    <w:tmpl w:val="F6E8DEAC"/>
    <w:lvl w:ilvl="0" w:tplc="890623A4">
      <w:start w:val="1"/>
      <w:numFmt w:val="bullet"/>
      <w:lvlText w:val="-"/>
      <w:lvlJc w:val="left"/>
      <w:pPr>
        <w:ind w:left="1146" w:hanging="360"/>
      </w:pPr>
      <w:rPr>
        <w:rFonts w:ascii="Book Antiqua" w:eastAsiaTheme="minorHAnsi" w:hAnsi="Book Antiqua" w:cstheme="minorBidi" w:hint="default"/>
      </w:rPr>
    </w:lvl>
    <w:lvl w:ilvl="1" w:tplc="08070003" w:tentative="1">
      <w:start w:val="1"/>
      <w:numFmt w:val="bullet"/>
      <w:lvlText w:val="o"/>
      <w:lvlJc w:val="left"/>
      <w:pPr>
        <w:ind w:left="1866" w:hanging="360"/>
      </w:pPr>
      <w:rPr>
        <w:rFonts w:ascii="Courier New" w:hAnsi="Courier New" w:cs="Courier New" w:hint="default"/>
      </w:rPr>
    </w:lvl>
    <w:lvl w:ilvl="2" w:tplc="08070005" w:tentative="1">
      <w:start w:val="1"/>
      <w:numFmt w:val="bullet"/>
      <w:lvlText w:val=""/>
      <w:lvlJc w:val="left"/>
      <w:pPr>
        <w:ind w:left="2586" w:hanging="360"/>
      </w:pPr>
      <w:rPr>
        <w:rFonts w:ascii="Wingdings" w:hAnsi="Wingdings" w:hint="default"/>
      </w:rPr>
    </w:lvl>
    <w:lvl w:ilvl="3" w:tplc="08070001" w:tentative="1">
      <w:start w:val="1"/>
      <w:numFmt w:val="bullet"/>
      <w:lvlText w:val=""/>
      <w:lvlJc w:val="left"/>
      <w:pPr>
        <w:ind w:left="3306" w:hanging="360"/>
      </w:pPr>
      <w:rPr>
        <w:rFonts w:ascii="Symbol" w:hAnsi="Symbol" w:hint="default"/>
      </w:rPr>
    </w:lvl>
    <w:lvl w:ilvl="4" w:tplc="08070003" w:tentative="1">
      <w:start w:val="1"/>
      <w:numFmt w:val="bullet"/>
      <w:lvlText w:val="o"/>
      <w:lvlJc w:val="left"/>
      <w:pPr>
        <w:ind w:left="4026" w:hanging="360"/>
      </w:pPr>
      <w:rPr>
        <w:rFonts w:ascii="Courier New" w:hAnsi="Courier New" w:cs="Courier New" w:hint="default"/>
      </w:rPr>
    </w:lvl>
    <w:lvl w:ilvl="5" w:tplc="08070005" w:tentative="1">
      <w:start w:val="1"/>
      <w:numFmt w:val="bullet"/>
      <w:lvlText w:val=""/>
      <w:lvlJc w:val="left"/>
      <w:pPr>
        <w:ind w:left="4746" w:hanging="360"/>
      </w:pPr>
      <w:rPr>
        <w:rFonts w:ascii="Wingdings" w:hAnsi="Wingdings" w:hint="default"/>
      </w:rPr>
    </w:lvl>
    <w:lvl w:ilvl="6" w:tplc="08070001" w:tentative="1">
      <w:start w:val="1"/>
      <w:numFmt w:val="bullet"/>
      <w:lvlText w:val=""/>
      <w:lvlJc w:val="left"/>
      <w:pPr>
        <w:ind w:left="5466" w:hanging="360"/>
      </w:pPr>
      <w:rPr>
        <w:rFonts w:ascii="Symbol" w:hAnsi="Symbol" w:hint="default"/>
      </w:rPr>
    </w:lvl>
    <w:lvl w:ilvl="7" w:tplc="08070003" w:tentative="1">
      <w:start w:val="1"/>
      <w:numFmt w:val="bullet"/>
      <w:lvlText w:val="o"/>
      <w:lvlJc w:val="left"/>
      <w:pPr>
        <w:ind w:left="6186" w:hanging="360"/>
      </w:pPr>
      <w:rPr>
        <w:rFonts w:ascii="Courier New" w:hAnsi="Courier New" w:cs="Courier New" w:hint="default"/>
      </w:rPr>
    </w:lvl>
    <w:lvl w:ilvl="8" w:tplc="08070005" w:tentative="1">
      <w:start w:val="1"/>
      <w:numFmt w:val="bullet"/>
      <w:lvlText w:val=""/>
      <w:lvlJc w:val="left"/>
      <w:pPr>
        <w:ind w:left="6906" w:hanging="360"/>
      </w:pPr>
      <w:rPr>
        <w:rFonts w:ascii="Wingdings" w:hAnsi="Wingdings" w:hint="default"/>
      </w:rPr>
    </w:lvl>
  </w:abstractNum>
  <w:abstractNum w:abstractNumId="5">
    <w:nsid w:val="039C2472"/>
    <w:multiLevelType w:val="hybridMultilevel"/>
    <w:tmpl w:val="BC0EDE14"/>
    <w:lvl w:ilvl="0" w:tplc="890623A4">
      <w:start w:val="1"/>
      <w:numFmt w:val="bullet"/>
      <w:lvlText w:val="-"/>
      <w:lvlJc w:val="left"/>
      <w:pPr>
        <w:ind w:left="720" w:hanging="360"/>
      </w:pPr>
      <w:rPr>
        <w:rFonts w:ascii="Book Antiqua" w:eastAsiaTheme="minorHAnsi" w:hAnsi="Book Antiqua"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6">
    <w:nsid w:val="06E23C7F"/>
    <w:multiLevelType w:val="hybridMultilevel"/>
    <w:tmpl w:val="16BEFA52"/>
    <w:lvl w:ilvl="0" w:tplc="890623A4">
      <w:start w:val="1"/>
      <w:numFmt w:val="bullet"/>
      <w:lvlText w:val="-"/>
      <w:lvlJc w:val="left"/>
      <w:pPr>
        <w:ind w:left="720" w:hanging="360"/>
      </w:pPr>
      <w:rPr>
        <w:rFonts w:ascii="Book Antiqua" w:eastAsiaTheme="minorHAnsi" w:hAnsi="Book Antiqua"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7">
    <w:nsid w:val="06FC26E3"/>
    <w:multiLevelType w:val="hybridMultilevel"/>
    <w:tmpl w:val="F73097FC"/>
    <w:lvl w:ilvl="0" w:tplc="9760CA4E">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8">
    <w:nsid w:val="092A39CE"/>
    <w:multiLevelType w:val="hybridMultilevel"/>
    <w:tmpl w:val="85AA6458"/>
    <w:lvl w:ilvl="0" w:tplc="890623A4">
      <w:start w:val="1"/>
      <w:numFmt w:val="bullet"/>
      <w:lvlText w:val="-"/>
      <w:lvlJc w:val="left"/>
      <w:pPr>
        <w:ind w:left="1146" w:hanging="360"/>
      </w:pPr>
      <w:rPr>
        <w:rFonts w:ascii="Book Antiqua" w:eastAsiaTheme="minorHAnsi" w:hAnsi="Book Antiqua" w:cstheme="minorBidi" w:hint="default"/>
      </w:rPr>
    </w:lvl>
    <w:lvl w:ilvl="1" w:tplc="08070003" w:tentative="1">
      <w:start w:val="1"/>
      <w:numFmt w:val="bullet"/>
      <w:lvlText w:val="o"/>
      <w:lvlJc w:val="left"/>
      <w:pPr>
        <w:ind w:left="1866" w:hanging="360"/>
      </w:pPr>
      <w:rPr>
        <w:rFonts w:ascii="Courier New" w:hAnsi="Courier New" w:cs="Courier New" w:hint="default"/>
      </w:rPr>
    </w:lvl>
    <w:lvl w:ilvl="2" w:tplc="08070005" w:tentative="1">
      <w:start w:val="1"/>
      <w:numFmt w:val="bullet"/>
      <w:lvlText w:val=""/>
      <w:lvlJc w:val="left"/>
      <w:pPr>
        <w:ind w:left="2586" w:hanging="360"/>
      </w:pPr>
      <w:rPr>
        <w:rFonts w:ascii="Wingdings" w:hAnsi="Wingdings" w:hint="default"/>
      </w:rPr>
    </w:lvl>
    <w:lvl w:ilvl="3" w:tplc="08070001" w:tentative="1">
      <w:start w:val="1"/>
      <w:numFmt w:val="bullet"/>
      <w:lvlText w:val=""/>
      <w:lvlJc w:val="left"/>
      <w:pPr>
        <w:ind w:left="3306" w:hanging="360"/>
      </w:pPr>
      <w:rPr>
        <w:rFonts w:ascii="Symbol" w:hAnsi="Symbol" w:hint="default"/>
      </w:rPr>
    </w:lvl>
    <w:lvl w:ilvl="4" w:tplc="08070003" w:tentative="1">
      <w:start w:val="1"/>
      <w:numFmt w:val="bullet"/>
      <w:lvlText w:val="o"/>
      <w:lvlJc w:val="left"/>
      <w:pPr>
        <w:ind w:left="4026" w:hanging="360"/>
      </w:pPr>
      <w:rPr>
        <w:rFonts w:ascii="Courier New" w:hAnsi="Courier New" w:cs="Courier New" w:hint="default"/>
      </w:rPr>
    </w:lvl>
    <w:lvl w:ilvl="5" w:tplc="08070005" w:tentative="1">
      <w:start w:val="1"/>
      <w:numFmt w:val="bullet"/>
      <w:lvlText w:val=""/>
      <w:lvlJc w:val="left"/>
      <w:pPr>
        <w:ind w:left="4746" w:hanging="360"/>
      </w:pPr>
      <w:rPr>
        <w:rFonts w:ascii="Wingdings" w:hAnsi="Wingdings" w:hint="default"/>
      </w:rPr>
    </w:lvl>
    <w:lvl w:ilvl="6" w:tplc="08070001" w:tentative="1">
      <w:start w:val="1"/>
      <w:numFmt w:val="bullet"/>
      <w:lvlText w:val=""/>
      <w:lvlJc w:val="left"/>
      <w:pPr>
        <w:ind w:left="5466" w:hanging="360"/>
      </w:pPr>
      <w:rPr>
        <w:rFonts w:ascii="Symbol" w:hAnsi="Symbol" w:hint="default"/>
      </w:rPr>
    </w:lvl>
    <w:lvl w:ilvl="7" w:tplc="08070003" w:tentative="1">
      <w:start w:val="1"/>
      <w:numFmt w:val="bullet"/>
      <w:lvlText w:val="o"/>
      <w:lvlJc w:val="left"/>
      <w:pPr>
        <w:ind w:left="6186" w:hanging="360"/>
      </w:pPr>
      <w:rPr>
        <w:rFonts w:ascii="Courier New" w:hAnsi="Courier New" w:cs="Courier New" w:hint="default"/>
      </w:rPr>
    </w:lvl>
    <w:lvl w:ilvl="8" w:tplc="08070005" w:tentative="1">
      <w:start w:val="1"/>
      <w:numFmt w:val="bullet"/>
      <w:lvlText w:val=""/>
      <w:lvlJc w:val="left"/>
      <w:pPr>
        <w:ind w:left="6906" w:hanging="360"/>
      </w:pPr>
      <w:rPr>
        <w:rFonts w:ascii="Wingdings" w:hAnsi="Wingdings" w:hint="default"/>
      </w:rPr>
    </w:lvl>
  </w:abstractNum>
  <w:abstractNum w:abstractNumId="9">
    <w:nsid w:val="0D2D18E2"/>
    <w:multiLevelType w:val="hybridMultilevel"/>
    <w:tmpl w:val="8D14C48A"/>
    <w:lvl w:ilvl="0" w:tplc="92F8DD26">
      <w:start w:val="1"/>
      <w:numFmt w:val="decimal"/>
      <w:lvlText w:val="%1."/>
      <w:lvlJc w:val="left"/>
      <w:pPr>
        <w:tabs>
          <w:tab w:val="num" w:pos="720"/>
        </w:tabs>
        <w:ind w:left="720" w:hanging="360"/>
      </w:pPr>
    </w:lvl>
    <w:lvl w:ilvl="1" w:tplc="88640B90" w:tentative="1">
      <w:start w:val="1"/>
      <w:numFmt w:val="decimal"/>
      <w:lvlText w:val="%2."/>
      <w:lvlJc w:val="left"/>
      <w:pPr>
        <w:tabs>
          <w:tab w:val="num" w:pos="1440"/>
        </w:tabs>
        <w:ind w:left="1440" w:hanging="360"/>
      </w:pPr>
    </w:lvl>
    <w:lvl w:ilvl="2" w:tplc="F92C9B54" w:tentative="1">
      <w:start w:val="1"/>
      <w:numFmt w:val="decimal"/>
      <w:lvlText w:val="%3."/>
      <w:lvlJc w:val="left"/>
      <w:pPr>
        <w:tabs>
          <w:tab w:val="num" w:pos="2160"/>
        </w:tabs>
        <w:ind w:left="2160" w:hanging="360"/>
      </w:pPr>
    </w:lvl>
    <w:lvl w:ilvl="3" w:tplc="67D27BB8" w:tentative="1">
      <w:start w:val="1"/>
      <w:numFmt w:val="decimal"/>
      <w:lvlText w:val="%4."/>
      <w:lvlJc w:val="left"/>
      <w:pPr>
        <w:tabs>
          <w:tab w:val="num" w:pos="2880"/>
        </w:tabs>
        <w:ind w:left="2880" w:hanging="360"/>
      </w:pPr>
    </w:lvl>
    <w:lvl w:ilvl="4" w:tplc="C7EC3048" w:tentative="1">
      <w:start w:val="1"/>
      <w:numFmt w:val="decimal"/>
      <w:lvlText w:val="%5."/>
      <w:lvlJc w:val="left"/>
      <w:pPr>
        <w:tabs>
          <w:tab w:val="num" w:pos="3600"/>
        </w:tabs>
        <w:ind w:left="3600" w:hanging="360"/>
      </w:pPr>
    </w:lvl>
    <w:lvl w:ilvl="5" w:tplc="97E46994" w:tentative="1">
      <w:start w:val="1"/>
      <w:numFmt w:val="decimal"/>
      <w:lvlText w:val="%6."/>
      <w:lvlJc w:val="left"/>
      <w:pPr>
        <w:tabs>
          <w:tab w:val="num" w:pos="4320"/>
        </w:tabs>
        <w:ind w:left="4320" w:hanging="360"/>
      </w:pPr>
    </w:lvl>
    <w:lvl w:ilvl="6" w:tplc="DE24CD7A" w:tentative="1">
      <w:start w:val="1"/>
      <w:numFmt w:val="decimal"/>
      <w:lvlText w:val="%7."/>
      <w:lvlJc w:val="left"/>
      <w:pPr>
        <w:tabs>
          <w:tab w:val="num" w:pos="5040"/>
        </w:tabs>
        <w:ind w:left="5040" w:hanging="360"/>
      </w:pPr>
    </w:lvl>
    <w:lvl w:ilvl="7" w:tplc="680859B8" w:tentative="1">
      <w:start w:val="1"/>
      <w:numFmt w:val="decimal"/>
      <w:lvlText w:val="%8."/>
      <w:lvlJc w:val="left"/>
      <w:pPr>
        <w:tabs>
          <w:tab w:val="num" w:pos="5760"/>
        </w:tabs>
        <w:ind w:left="5760" w:hanging="360"/>
      </w:pPr>
    </w:lvl>
    <w:lvl w:ilvl="8" w:tplc="7A0A54CC" w:tentative="1">
      <w:start w:val="1"/>
      <w:numFmt w:val="decimal"/>
      <w:lvlText w:val="%9."/>
      <w:lvlJc w:val="left"/>
      <w:pPr>
        <w:tabs>
          <w:tab w:val="num" w:pos="6480"/>
        </w:tabs>
        <w:ind w:left="6480" w:hanging="360"/>
      </w:pPr>
    </w:lvl>
  </w:abstractNum>
  <w:abstractNum w:abstractNumId="10">
    <w:nsid w:val="145C4BDF"/>
    <w:multiLevelType w:val="hybridMultilevel"/>
    <w:tmpl w:val="C2443784"/>
    <w:lvl w:ilvl="0" w:tplc="9760CA4E">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1">
    <w:nsid w:val="171E1F77"/>
    <w:multiLevelType w:val="hybridMultilevel"/>
    <w:tmpl w:val="C128A564"/>
    <w:lvl w:ilvl="0" w:tplc="890623A4">
      <w:start w:val="1"/>
      <w:numFmt w:val="bullet"/>
      <w:lvlText w:val="-"/>
      <w:lvlJc w:val="left"/>
      <w:pPr>
        <w:ind w:left="2280" w:hanging="360"/>
      </w:pPr>
      <w:rPr>
        <w:rFonts w:ascii="Book Antiqua" w:eastAsiaTheme="minorHAnsi" w:hAnsi="Book Antiqua" w:cstheme="minorBidi" w:hint="default"/>
      </w:rPr>
    </w:lvl>
    <w:lvl w:ilvl="1" w:tplc="08070003" w:tentative="1">
      <w:start w:val="1"/>
      <w:numFmt w:val="bullet"/>
      <w:lvlText w:val="o"/>
      <w:lvlJc w:val="left"/>
      <w:pPr>
        <w:ind w:left="3000" w:hanging="360"/>
      </w:pPr>
      <w:rPr>
        <w:rFonts w:ascii="Courier New" w:hAnsi="Courier New" w:cs="Courier New" w:hint="default"/>
      </w:rPr>
    </w:lvl>
    <w:lvl w:ilvl="2" w:tplc="08070005" w:tentative="1">
      <w:start w:val="1"/>
      <w:numFmt w:val="bullet"/>
      <w:lvlText w:val=""/>
      <w:lvlJc w:val="left"/>
      <w:pPr>
        <w:ind w:left="3720" w:hanging="360"/>
      </w:pPr>
      <w:rPr>
        <w:rFonts w:ascii="Wingdings" w:hAnsi="Wingdings" w:hint="default"/>
      </w:rPr>
    </w:lvl>
    <w:lvl w:ilvl="3" w:tplc="08070001" w:tentative="1">
      <w:start w:val="1"/>
      <w:numFmt w:val="bullet"/>
      <w:lvlText w:val=""/>
      <w:lvlJc w:val="left"/>
      <w:pPr>
        <w:ind w:left="4440" w:hanging="360"/>
      </w:pPr>
      <w:rPr>
        <w:rFonts w:ascii="Symbol" w:hAnsi="Symbol" w:hint="default"/>
      </w:rPr>
    </w:lvl>
    <w:lvl w:ilvl="4" w:tplc="08070003" w:tentative="1">
      <w:start w:val="1"/>
      <w:numFmt w:val="bullet"/>
      <w:lvlText w:val="o"/>
      <w:lvlJc w:val="left"/>
      <w:pPr>
        <w:ind w:left="5160" w:hanging="360"/>
      </w:pPr>
      <w:rPr>
        <w:rFonts w:ascii="Courier New" w:hAnsi="Courier New" w:cs="Courier New" w:hint="default"/>
      </w:rPr>
    </w:lvl>
    <w:lvl w:ilvl="5" w:tplc="08070005" w:tentative="1">
      <w:start w:val="1"/>
      <w:numFmt w:val="bullet"/>
      <w:lvlText w:val=""/>
      <w:lvlJc w:val="left"/>
      <w:pPr>
        <w:ind w:left="5880" w:hanging="360"/>
      </w:pPr>
      <w:rPr>
        <w:rFonts w:ascii="Wingdings" w:hAnsi="Wingdings" w:hint="default"/>
      </w:rPr>
    </w:lvl>
    <w:lvl w:ilvl="6" w:tplc="08070001" w:tentative="1">
      <w:start w:val="1"/>
      <w:numFmt w:val="bullet"/>
      <w:lvlText w:val=""/>
      <w:lvlJc w:val="left"/>
      <w:pPr>
        <w:ind w:left="6600" w:hanging="360"/>
      </w:pPr>
      <w:rPr>
        <w:rFonts w:ascii="Symbol" w:hAnsi="Symbol" w:hint="default"/>
      </w:rPr>
    </w:lvl>
    <w:lvl w:ilvl="7" w:tplc="08070003" w:tentative="1">
      <w:start w:val="1"/>
      <w:numFmt w:val="bullet"/>
      <w:lvlText w:val="o"/>
      <w:lvlJc w:val="left"/>
      <w:pPr>
        <w:ind w:left="7320" w:hanging="360"/>
      </w:pPr>
      <w:rPr>
        <w:rFonts w:ascii="Courier New" w:hAnsi="Courier New" w:cs="Courier New" w:hint="default"/>
      </w:rPr>
    </w:lvl>
    <w:lvl w:ilvl="8" w:tplc="08070005" w:tentative="1">
      <w:start w:val="1"/>
      <w:numFmt w:val="bullet"/>
      <w:lvlText w:val=""/>
      <w:lvlJc w:val="left"/>
      <w:pPr>
        <w:ind w:left="8040" w:hanging="360"/>
      </w:pPr>
      <w:rPr>
        <w:rFonts w:ascii="Wingdings" w:hAnsi="Wingdings" w:hint="default"/>
      </w:rPr>
    </w:lvl>
  </w:abstractNum>
  <w:abstractNum w:abstractNumId="12">
    <w:nsid w:val="1A847C12"/>
    <w:multiLevelType w:val="hybridMultilevel"/>
    <w:tmpl w:val="3CE48038"/>
    <w:lvl w:ilvl="0" w:tplc="44A83E4E">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3">
    <w:nsid w:val="1A876A28"/>
    <w:multiLevelType w:val="hybridMultilevel"/>
    <w:tmpl w:val="B8DC53F8"/>
    <w:lvl w:ilvl="0" w:tplc="890623A4">
      <w:start w:val="1"/>
      <w:numFmt w:val="bullet"/>
      <w:lvlText w:val="-"/>
      <w:lvlJc w:val="left"/>
      <w:pPr>
        <w:ind w:left="720" w:hanging="360"/>
      </w:pPr>
      <w:rPr>
        <w:rFonts w:ascii="Book Antiqua" w:eastAsiaTheme="minorHAnsi" w:hAnsi="Book Antiqua" w:cstheme="minorBidi"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4">
    <w:nsid w:val="1C8967A2"/>
    <w:multiLevelType w:val="hybridMultilevel"/>
    <w:tmpl w:val="04F23564"/>
    <w:lvl w:ilvl="0" w:tplc="9760CA4E">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5">
    <w:nsid w:val="1D4F1D4C"/>
    <w:multiLevelType w:val="hybridMultilevel"/>
    <w:tmpl w:val="E0CA3A60"/>
    <w:lvl w:ilvl="0" w:tplc="08070003">
      <w:start w:val="1"/>
      <w:numFmt w:val="bullet"/>
      <w:lvlText w:val="o"/>
      <w:lvlJc w:val="left"/>
      <w:pPr>
        <w:ind w:left="720" w:hanging="360"/>
      </w:pPr>
      <w:rPr>
        <w:rFonts w:ascii="Courier New" w:hAnsi="Courier New" w:cs="Courier New"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6">
    <w:nsid w:val="20982EC0"/>
    <w:multiLevelType w:val="hybridMultilevel"/>
    <w:tmpl w:val="865AD09E"/>
    <w:lvl w:ilvl="0" w:tplc="890623A4">
      <w:start w:val="1"/>
      <w:numFmt w:val="bullet"/>
      <w:lvlText w:val="-"/>
      <w:lvlJc w:val="left"/>
      <w:pPr>
        <w:ind w:left="720" w:hanging="360"/>
      </w:pPr>
      <w:rPr>
        <w:rFonts w:ascii="Book Antiqua" w:eastAsiaTheme="minorHAnsi" w:hAnsi="Book Antiqua"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7">
    <w:nsid w:val="2147655A"/>
    <w:multiLevelType w:val="hybridMultilevel"/>
    <w:tmpl w:val="FE2EDCD2"/>
    <w:lvl w:ilvl="0" w:tplc="890623A4">
      <w:start w:val="1"/>
      <w:numFmt w:val="bullet"/>
      <w:lvlText w:val="-"/>
      <w:lvlJc w:val="left"/>
      <w:pPr>
        <w:ind w:left="720" w:hanging="360"/>
      </w:pPr>
      <w:rPr>
        <w:rFonts w:ascii="Book Antiqua" w:eastAsiaTheme="minorHAnsi" w:hAnsi="Book Antiqua"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8">
    <w:nsid w:val="215D247A"/>
    <w:multiLevelType w:val="hybridMultilevel"/>
    <w:tmpl w:val="06E6111C"/>
    <w:lvl w:ilvl="0" w:tplc="890623A4">
      <w:start w:val="1"/>
      <w:numFmt w:val="bullet"/>
      <w:lvlText w:val="-"/>
      <w:lvlJc w:val="left"/>
      <w:pPr>
        <w:ind w:left="1506" w:hanging="360"/>
      </w:pPr>
      <w:rPr>
        <w:rFonts w:ascii="Book Antiqua" w:eastAsiaTheme="minorHAnsi" w:hAnsi="Book Antiqua" w:cstheme="minorBidi" w:hint="default"/>
      </w:rPr>
    </w:lvl>
    <w:lvl w:ilvl="1" w:tplc="08070003" w:tentative="1">
      <w:start w:val="1"/>
      <w:numFmt w:val="bullet"/>
      <w:lvlText w:val="o"/>
      <w:lvlJc w:val="left"/>
      <w:pPr>
        <w:ind w:left="2226" w:hanging="360"/>
      </w:pPr>
      <w:rPr>
        <w:rFonts w:ascii="Courier New" w:hAnsi="Courier New" w:cs="Courier New" w:hint="default"/>
      </w:rPr>
    </w:lvl>
    <w:lvl w:ilvl="2" w:tplc="08070005" w:tentative="1">
      <w:start w:val="1"/>
      <w:numFmt w:val="bullet"/>
      <w:lvlText w:val=""/>
      <w:lvlJc w:val="left"/>
      <w:pPr>
        <w:ind w:left="2946" w:hanging="360"/>
      </w:pPr>
      <w:rPr>
        <w:rFonts w:ascii="Wingdings" w:hAnsi="Wingdings" w:hint="default"/>
      </w:rPr>
    </w:lvl>
    <w:lvl w:ilvl="3" w:tplc="08070001" w:tentative="1">
      <w:start w:val="1"/>
      <w:numFmt w:val="bullet"/>
      <w:lvlText w:val=""/>
      <w:lvlJc w:val="left"/>
      <w:pPr>
        <w:ind w:left="3666" w:hanging="360"/>
      </w:pPr>
      <w:rPr>
        <w:rFonts w:ascii="Symbol" w:hAnsi="Symbol" w:hint="default"/>
      </w:rPr>
    </w:lvl>
    <w:lvl w:ilvl="4" w:tplc="08070003" w:tentative="1">
      <w:start w:val="1"/>
      <w:numFmt w:val="bullet"/>
      <w:lvlText w:val="o"/>
      <w:lvlJc w:val="left"/>
      <w:pPr>
        <w:ind w:left="4386" w:hanging="360"/>
      </w:pPr>
      <w:rPr>
        <w:rFonts w:ascii="Courier New" w:hAnsi="Courier New" w:cs="Courier New" w:hint="default"/>
      </w:rPr>
    </w:lvl>
    <w:lvl w:ilvl="5" w:tplc="08070005" w:tentative="1">
      <w:start w:val="1"/>
      <w:numFmt w:val="bullet"/>
      <w:lvlText w:val=""/>
      <w:lvlJc w:val="left"/>
      <w:pPr>
        <w:ind w:left="5106" w:hanging="360"/>
      </w:pPr>
      <w:rPr>
        <w:rFonts w:ascii="Wingdings" w:hAnsi="Wingdings" w:hint="default"/>
      </w:rPr>
    </w:lvl>
    <w:lvl w:ilvl="6" w:tplc="08070001" w:tentative="1">
      <w:start w:val="1"/>
      <w:numFmt w:val="bullet"/>
      <w:lvlText w:val=""/>
      <w:lvlJc w:val="left"/>
      <w:pPr>
        <w:ind w:left="5826" w:hanging="360"/>
      </w:pPr>
      <w:rPr>
        <w:rFonts w:ascii="Symbol" w:hAnsi="Symbol" w:hint="default"/>
      </w:rPr>
    </w:lvl>
    <w:lvl w:ilvl="7" w:tplc="08070003" w:tentative="1">
      <w:start w:val="1"/>
      <w:numFmt w:val="bullet"/>
      <w:lvlText w:val="o"/>
      <w:lvlJc w:val="left"/>
      <w:pPr>
        <w:ind w:left="6546" w:hanging="360"/>
      </w:pPr>
      <w:rPr>
        <w:rFonts w:ascii="Courier New" w:hAnsi="Courier New" w:cs="Courier New" w:hint="default"/>
      </w:rPr>
    </w:lvl>
    <w:lvl w:ilvl="8" w:tplc="08070005" w:tentative="1">
      <w:start w:val="1"/>
      <w:numFmt w:val="bullet"/>
      <w:lvlText w:val=""/>
      <w:lvlJc w:val="left"/>
      <w:pPr>
        <w:ind w:left="7266" w:hanging="360"/>
      </w:pPr>
      <w:rPr>
        <w:rFonts w:ascii="Wingdings" w:hAnsi="Wingdings" w:hint="default"/>
      </w:rPr>
    </w:lvl>
  </w:abstractNum>
  <w:abstractNum w:abstractNumId="19">
    <w:nsid w:val="21D64FCB"/>
    <w:multiLevelType w:val="hybridMultilevel"/>
    <w:tmpl w:val="B9AEFF18"/>
    <w:lvl w:ilvl="0" w:tplc="890623A4">
      <w:start w:val="1"/>
      <w:numFmt w:val="bullet"/>
      <w:lvlText w:val="-"/>
      <w:lvlJc w:val="left"/>
      <w:pPr>
        <w:ind w:left="1146" w:hanging="360"/>
      </w:pPr>
      <w:rPr>
        <w:rFonts w:ascii="Book Antiqua" w:eastAsiaTheme="minorHAnsi" w:hAnsi="Book Antiqua" w:cstheme="minorBidi" w:hint="default"/>
      </w:rPr>
    </w:lvl>
    <w:lvl w:ilvl="1" w:tplc="08070003" w:tentative="1">
      <w:start w:val="1"/>
      <w:numFmt w:val="bullet"/>
      <w:lvlText w:val="o"/>
      <w:lvlJc w:val="left"/>
      <w:pPr>
        <w:ind w:left="1866" w:hanging="360"/>
      </w:pPr>
      <w:rPr>
        <w:rFonts w:ascii="Courier New" w:hAnsi="Courier New" w:cs="Courier New" w:hint="default"/>
      </w:rPr>
    </w:lvl>
    <w:lvl w:ilvl="2" w:tplc="08070005" w:tentative="1">
      <w:start w:val="1"/>
      <w:numFmt w:val="bullet"/>
      <w:lvlText w:val=""/>
      <w:lvlJc w:val="left"/>
      <w:pPr>
        <w:ind w:left="2586" w:hanging="360"/>
      </w:pPr>
      <w:rPr>
        <w:rFonts w:ascii="Wingdings" w:hAnsi="Wingdings" w:hint="default"/>
      </w:rPr>
    </w:lvl>
    <w:lvl w:ilvl="3" w:tplc="08070001" w:tentative="1">
      <w:start w:val="1"/>
      <w:numFmt w:val="bullet"/>
      <w:lvlText w:val=""/>
      <w:lvlJc w:val="left"/>
      <w:pPr>
        <w:ind w:left="3306" w:hanging="360"/>
      </w:pPr>
      <w:rPr>
        <w:rFonts w:ascii="Symbol" w:hAnsi="Symbol" w:hint="default"/>
      </w:rPr>
    </w:lvl>
    <w:lvl w:ilvl="4" w:tplc="08070003" w:tentative="1">
      <w:start w:val="1"/>
      <w:numFmt w:val="bullet"/>
      <w:lvlText w:val="o"/>
      <w:lvlJc w:val="left"/>
      <w:pPr>
        <w:ind w:left="4026" w:hanging="360"/>
      </w:pPr>
      <w:rPr>
        <w:rFonts w:ascii="Courier New" w:hAnsi="Courier New" w:cs="Courier New" w:hint="default"/>
      </w:rPr>
    </w:lvl>
    <w:lvl w:ilvl="5" w:tplc="08070005" w:tentative="1">
      <w:start w:val="1"/>
      <w:numFmt w:val="bullet"/>
      <w:lvlText w:val=""/>
      <w:lvlJc w:val="left"/>
      <w:pPr>
        <w:ind w:left="4746" w:hanging="360"/>
      </w:pPr>
      <w:rPr>
        <w:rFonts w:ascii="Wingdings" w:hAnsi="Wingdings" w:hint="default"/>
      </w:rPr>
    </w:lvl>
    <w:lvl w:ilvl="6" w:tplc="08070001" w:tentative="1">
      <w:start w:val="1"/>
      <w:numFmt w:val="bullet"/>
      <w:lvlText w:val=""/>
      <w:lvlJc w:val="left"/>
      <w:pPr>
        <w:ind w:left="5466" w:hanging="360"/>
      </w:pPr>
      <w:rPr>
        <w:rFonts w:ascii="Symbol" w:hAnsi="Symbol" w:hint="default"/>
      </w:rPr>
    </w:lvl>
    <w:lvl w:ilvl="7" w:tplc="08070003" w:tentative="1">
      <w:start w:val="1"/>
      <w:numFmt w:val="bullet"/>
      <w:lvlText w:val="o"/>
      <w:lvlJc w:val="left"/>
      <w:pPr>
        <w:ind w:left="6186" w:hanging="360"/>
      </w:pPr>
      <w:rPr>
        <w:rFonts w:ascii="Courier New" w:hAnsi="Courier New" w:cs="Courier New" w:hint="default"/>
      </w:rPr>
    </w:lvl>
    <w:lvl w:ilvl="8" w:tplc="08070005" w:tentative="1">
      <w:start w:val="1"/>
      <w:numFmt w:val="bullet"/>
      <w:lvlText w:val=""/>
      <w:lvlJc w:val="left"/>
      <w:pPr>
        <w:ind w:left="6906" w:hanging="360"/>
      </w:pPr>
      <w:rPr>
        <w:rFonts w:ascii="Wingdings" w:hAnsi="Wingdings" w:hint="default"/>
      </w:rPr>
    </w:lvl>
  </w:abstractNum>
  <w:abstractNum w:abstractNumId="20">
    <w:nsid w:val="26680BAB"/>
    <w:multiLevelType w:val="hybridMultilevel"/>
    <w:tmpl w:val="61AEE468"/>
    <w:lvl w:ilvl="0" w:tplc="08070003">
      <w:start w:val="1"/>
      <w:numFmt w:val="bullet"/>
      <w:lvlText w:val="o"/>
      <w:lvlJc w:val="left"/>
      <w:pPr>
        <w:ind w:left="720" w:hanging="360"/>
      </w:pPr>
      <w:rPr>
        <w:rFonts w:ascii="Courier New" w:hAnsi="Courier New" w:cs="Courier New"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1">
    <w:nsid w:val="273F4B23"/>
    <w:multiLevelType w:val="hybridMultilevel"/>
    <w:tmpl w:val="A81EFEC6"/>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2">
    <w:nsid w:val="298B6E74"/>
    <w:multiLevelType w:val="hybridMultilevel"/>
    <w:tmpl w:val="290895EE"/>
    <w:lvl w:ilvl="0" w:tplc="9760CA4E">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3">
    <w:nsid w:val="29C1002B"/>
    <w:multiLevelType w:val="hybridMultilevel"/>
    <w:tmpl w:val="3496BF02"/>
    <w:lvl w:ilvl="0" w:tplc="0807000F">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4">
    <w:nsid w:val="2A7333C2"/>
    <w:multiLevelType w:val="hybridMultilevel"/>
    <w:tmpl w:val="B36261D2"/>
    <w:lvl w:ilvl="0" w:tplc="890623A4">
      <w:start w:val="1"/>
      <w:numFmt w:val="bullet"/>
      <w:lvlText w:val="-"/>
      <w:lvlJc w:val="left"/>
      <w:pPr>
        <w:ind w:left="720" w:hanging="360"/>
      </w:pPr>
      <w:rPr>
        <w:rFonts w:ascii="Book Antiqua" w:eastAsiaTheme="minorHAnsi" w:hAnsi="Book Antiqua"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890623A4">
      <w:start w:val="1"/>
      <w:numFmt w:val="bullet"/>
      <w:lvlText w:val="-"/>
      <w:lvlJc w:val="left"/>
      <w:pPr>
        <w:ind w:left="2160" w:hanging="360"/>
      </w:pPr>
      <w:rPr>
        <w:rFonts w:ascii="Book Antiqua" w:eastAsiaTheme="minorHAnsi" w:hAnsi="Book Antiqua" w:cstheme="minorBidi"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5">
    <w:nsid w:val="2AFA76AC"/>
    <w:multiLevelType w:val="hybridMultilevel"/>
    <w:tmpl w:val="FB52FF78"/>
    <w:lvl w:ilvl="0" w:tplc="9760CA4E">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6">
    <w:nsid w:val="2D5E371A"/>
    <w:multiLevelType w:val="hybridMultilevel"/>
    <w:tmpl w:val="22FEF172"/>
    <w:lvl w:ilvl="0" w:tplc="9760CA4E">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7">
    <w:nsid w:val="2ED02032"/>
    <w:multiLevelType w:val="hybridMultilevel"/>
    <w:tmpl w:val="90905B22"/>
    <w:lvl w:ilvl="0" w:tplc="CD1C6856">
      <w:start w:val="65535"/>
      <w:numFmt w:val="bullet"/>
      <w:lvlText w:val="-"/>
      <w:lvlJc w:val="left"/>
      <w:pPr>
        <w:ind w:left="1146" w:hanging="360"/>
      </w:pPr>
      <w:rPr>
        <w:rFonts w:ascii="Arial" w:hAnsi="Arial" w:hint="default"/>
      </w:rPr>
    </w:lvl>
    <w:lvl w:ilvl="1" w:tplc="08070003" w:tentative="1">
      <w:start w:val="1"/>
      <w:numFmt w:val="bullet"/>
      <w:lvlText w:val="o"/>
      <w:lvlJc w:val="left"/>
      <w:pPr>
        <w:ind w:left="1866" w:hanging="360"/>
      </w:pPr>
      <w:rPr>
        <w:rFonts w:ascii="Courier New" w:hAnsi="Courier New" w:cs="Courier New" w:hint="default"/>
      </w:rPr>
    </w:lvl>
    <w:lvl w:ilvl="2" w:tplc="08070005" w:tentative="1">
      <w:start w:val="1"/>
      <w:numFmt w:val="bullet"/>
      <w:lvlText w:val=""/>
      <w:lvlJc w:val="left"/>
      <w:pPr>
        <w:ind w:left="2586" w:hanging="360"/>
      </w:pPr>
      <w:rPr>
        <w:rFonts w:ascii="Wingdings" w:hAnsi="Wingdings" w:hint="default"/>
      </w:rPr>
    </w:lvl>
    <w:lvl w:ilvl="3" w:tplc="08070001" w:tentative="1">
      <w:start w:val="1"/>
      <w:numFmt w:val="bullet"/>
      <w:lvlText w:val=""/>
      <w:lvlJc w:val="left"/>
      <w:pPr>
        <w:ind w:left="3306" w:hanging="360"/>
      </w:pPr>
      <w:rPr>
        <w:rFonts w:ascii="Symbol" w:hAnsi="Symbol" w:hint="default"/>
      </w:rPr>
    </w:lvl>
    <w:lvl w:ilvl="4" w:tplc="08070003" w:tentative="1">
      <w:start w:val="1"/>
      <w:numFmt w:val="bullet"/>
      <w:lvlText w:val="o"/>
      <w:lvlJc w:val="left"/>
      <w:pPr>
        <w:ind w:left="4026" w:hanging="360"/>
      </w:pPr>
      <w:rPr>
        <w:rFonts w:ascii="Courier New" w:hAnsi="Courier New" w:cs="Courier New" w:hint="default"/>
      </w:rPr>
    </w:lvl>
    <w:lvl w:ilvl="5" w:tplc="08070005" w:tentative="1">
      <w:start w:val="1"/>
      <w:numFmt w:val="bullet"/>
      <w:lvlText w:val=""/>
      <w:lvlJc w:val="left"/>
      <w:pPr>
        <w:ind w:left="4746" w:hanging="360"/>
      </w:pPr>
      <w:rPr>
        <w:rFonts w:ascii="Wingdings" w:hAnsi="Wingdings" w:hint="default"/>
      </w:rPr>
    </w:lvl>
    <w:lvl w:ilvl="6" w:tplc="08070001" w:tentative="1">
      <w:start w:val="1"/>
      <w:numFmt w:val="bullet"/>
      <w:lvlText w:val=""/>
      <w:lvlJc w:val="left"/>
      <w:pPr>
        <w:ind w:left="5466" w:hanging="360"/>
      </w:pPr>
      <w:rPr>
        <w:rFonts w:ascii="Symbol" w:hAnsi="Symbol" w:hint="default"/>
      </w:rPr>
    </w:lvl>
    <w:lvl w:ilvl="7" w:tplc="08070003" w:tentative="1">
      <w:start w:val="1"/>
      <w:numFmt w:val="bullet"/>
      <w:lvlText w:val="o"/>
      <w:lvlJc w:val="left"/>
      <w:pPr>
        <w:ind w:left="6186" w:hanging="360"/>
      </w:pPr>
      <w:rPr>
        <w:rFonts w:ascii="Courier New" w:hAnsi="Courier New" w:cs="Courier New" w:hint="default"/>
      </w:rPr>
    </w:lvl>
    <w:lvl w:ilvl="8" w:tplc="08070005" w:tentative="1">
      <w:start w:val="1"/>
      <w:numFmt w:val="bullet"/>
      <w:lvlText w:val=""/>
      <w:lvlJc w:val="left"/>
      <w:pPr>
        <w:ind w:left="6906" w:hanging="360"/>
      </w:pPr>
      <w:rPr>
        <w:rFonts w:ascii="Wingdings" w:hAnsi="Wingdings" w:hint="default"/>
      </w:rPr>
    </w:lvl>
  </w:abstractNum>
  <w:abstractNum w:abstractNumId="28">
    <w:nsid w:val="338355F1"/>
    <w:multiLevelType w:val="hybridMultilevel"/>
    <w:tmpl w:val="AE4E6D68"/>
    <w:lvl w:ilvl="0" w:tplc="890623A4">
      <w:start w:val="1"/>
      <w:numFmt w:val="bullet"/>
      <w:lvlText w:val="-"/>
      <w:lvlJc w:val="left"/>
      <w:pPr>
        <w:ind w:left="720" w:hanging="360"/>
      </w:pPr>
      <w:rPr>
        <w:rFonts w:ascii="Book Antiqua" w:eastAsiaTheme="minorHAnsi" w:hAnsi="Book Antiqua"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9">
    <w:nsid w:val="33BD130E"/>
    <w:multiLevelType w:val="hybridMultilevel"/>
    <w:tmpl w:val="42F05ACA"/>
    <w:lvl w:ilvl="0" w:tplc="890623A4">
      <w:start w:val="1"/>
      <w:numFmt w:val="bullet"/>
      <w:lvlText w:val="-"/>
      <w:lvlJc w:val="left"/>
      <w:pPr>
        <w:ind w:left="720" w:hanging="360"/>
      </w:pPr>
      <w:rPr>
        <w:rFonts w:ascii="Book Antiqua" w:eastAsiaTheme="minorHAnsi" w:hAnsi="Book Antiqua"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0">
    <w:nsid w:val="33CB2181"/>
    <w:multiLevelType w:val="hybridMultilevel"/>
    <w:tmpl w:val="2BCA4A40"/>
    <w:lvl w:ilvl="0" w:tplc="890623A4">
      <w:start w:val="1"/>
      <w:numFmt w:val="bullet"/>
      <w:lvlText w:val="-"/>
      <w:lvlJc w:val="left"/>
      <w:pPr>
        <w:ind w:left="1146" w:hanging="360"/>
      </w:pPr>
      <w:rPr>
        <w:rFonts w:ascii="Book Antiqua" w:eastAsiaTheme="minorHAnsi" w:hAnsi="Book Antiqua" w:cstheme="minorBidi" w:hint="default"/>
      </w:rPr>
    </w:lvl>
    <w:lvl w:ilvl="1" w:tplc="08070003" w:tentative="1">
      <w:start w:val="1"/>
      <w:numFmt w:val="bullet"/>
      <w:lvlText w:val="o"/>
      <w:lvlJc w:val="left"/>
      <w:pPr>
        <w:ind w:left="1866" w:hanging="360"/>
      </w:pPr>
      <w:rPr>
        <w:rFonts w:ascii="Courier New" w:hAnsi="Courier New" w:cs="Courier New" w:hint="default"/>
      </w:rPr>
    </w:lvl>
    <w:lvl w:ilvl="2" w:tplc="08070005" w:tentative="1">
      <w:start w:val="1"/>
      <w:numFmt w:val="bullet"/>
      <w:lvlText w:val=""/>
      <w:lvlJc w:val="left"/>
      <w:pPr>
        <w:ind w:left="2586" w:hanging="360"/>
      </w:pPr>
      <w:rPr>
        <w:rFonts w:ascii="Wingdings" w:hAnsi="Wingdings" w:hint="default"/>
      </w:rPr>
    </w:lvl>
    <w:lvl w:ilvl="3" w:tplc="08070001" w:tentative="1">
      <w:start w:val="1"/>
      <w:numFmt w:val="bullet"/>
      <w:lvlText w:val=""/>
      <w:lvlJc w:val="left"/>
      <w:pPr>
        <w:ind w:left="3306" w:hanging="360"/>
      </w:pPr>
      <w:rPr>
        <w:rFonts w:ascii="Symbol" w:hAnsi="Symbol" w:hint="default"/>
      </w:rPr>
    </w:lvl>
    <w:lvl w:ilvl="4" w:tplc="08070003" w:tentative="1">
      <w:start w:val="1"/>
      <w:numFmt w:val="bullet"/>
      <w:lvlText w:val="o"/>
      <w:lvlJc w:val="left"/>
      <w:pPr>
        <w:ind w:left="4026" w:hanging="360"/>
      </w:pPr>
      <w:rPr>
        <w:rFonts w:ascii="Courier New" w:hAnsi="Courier New" w:cs="Courier New" w:hint="default"/>
      </w:rPr>
    </w:lvl>
    <w:lvl w:ilvl="5" w:tplc="08070005" w:tentative="1">
      <w:start w:val="1"/>
      <w:numFmt w:val="bullet"/>
      <w:lvlText w:val=""/>
      <w:lvlJc w:val="left"/>
      <w:pPr>
        <w:ind w:left="4746" w:hanging="360"/>
      </w:pPr>
      <w:rPr>
        <w:rFonts w:ascii="Wingdings" w:hAnsi="Wingdings" w:hint="default"/>
      </w:rPr>
    </w:lvl>
    <w:lvl w:ilvl="6" w:tplc="08070001" w:tentative="1">
      <w:start w:val="1"/>
      <w:numFmt w:val="bullet"/>
      <w:lvlText w:val=""/>
      <w:lvlJc w:val="left"/>
      <w:pPr>
        <w:ind w:left="5466" w:hanging="360"/>
      </w:pPr>
      <w:rPr>
        <w:rFonts w:ascii="Symbol" w:hAnsi="Symbol" w:hint="default"/>
      </w:rPr>
    </w:lvl>
    <w:lvl w:ilvl="7" w:tplc="08070003" w:tentative="1">
      <w:start w:val="1"/>
      <w:numFmt w:val="bullet"/>
      <w:lvlText w:val="o"/>
      <w:lvlJc w:val="left"/>
      <w:pPr>
        <w:ind w:left="6186" w:hanging="360"/>
      </w:pPr>
      <w:rPr>
        <w:rFonts w:ascii="Courier New" w:hAnsi="Courier New" w:cs="Courier New" w:hint="default"/>
      </w:rPr>
    </w:lvl>
    <w:lvl w:ilvl="8" w:tplc="08070005" w:tentative="1">
      <w:start w:val="1"/>
      <w:numFmt w:val="bullet"/>
      <w:lvlText w:val=""/>
      <w:lvlJc w:val="left"/>
      <w:pPr>
        <w:ind w:left="6906" w:hanging="360"/>
      </w:pPr>
      <w:rPr>
        <w:rFonts w:ascii="Wingdings" w:hAnsi="Wingdings" w:hint="default"/>
      </w:rPr>
    </w:lvl>
  </w:abstractNum>
  <w:abstractNum w:abstractNumId="31">
    <w:nsid w:val="35EF464C"/>
    <w:multiLevelType w:val="hybridMultilevel"/>
    <w:tmpl w:val="0E4E2DCC"/>
    <w:lvl w:ilvl="0" w:tplc="890623A4">
      <w:start w:val="1"/>
      <w:numFmt w:val="bullet"/>
      <w:lvlText w:val="-"/>
      <w:lvlJc w:val="left"/>
      <w:pPr>
        <w:ind w:left="720" w:hanging="360"/>
      </w:pPr>
      <w:rPr>
        <w:rFonts w:ascii="Book Antiqua" w:eastAsiaTheme="minorHAnsi" w:hAnsi="Book Antiqua" w:cstheme="minorBidi"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2">
    <w:nsid w:val="381C59B2"/>
    <w:multiLevelType w:val="hybridMultilevel"/>
    <w:tmpl w:val="9E14EC30"/>
    <w:lvl w:ilvl="0" w:tplc="890623A4">
      <w:start w:val="1"/>
      <w:numFmt w:val="bullet"/>
      <w:lvlText w:val="-"/>
      <w:lvlJc w:val="left"/>
      <w:pPr>
        <w:ind w:left="720" w:hanging="360"/>
      </w:pPr>
      <w:rPr>
        <w:rFonts w:ascii="Book Antiqua" w:eastAsiaTheme="minorHAnsi" w:hAnsi="Book Antiqua"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3">
    <w:nsid w:val="38BC3EF5"/>
    <w:multiLevelType w:val="hybridMultilevel"/>
    <w:tmpl w:val="18E2E91A"/>
    <w:lvl w:ilvl="0" w:tplc="0807000F">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4">
    <w:nsid w:val="391529AA"/>
    <w:multiLevelType w:val="hybridMultilevel"/>
    <w:tmpl w:val="3D36964C"/>
    <w:lvl w:ilvl="0" w:tplc="9760CA4E">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5">
    <w:nsid w:val="3B6A10C7"/>
    <w:multiLevelType w:val="hybridMultilevel"/>
    <w:tmpl w:val="B56EDB9A"/>
    <w:lvl w:ilvl="0" w:tplc="890623A4">
      <w:start w:val="1"/>
      <w:numFmt w:val="bullet"/>
      <w:lvlText w:val="-"/>
      <w:lvlJc w:val="left"/>
      <w:pPr>
        <w:ind w:left="720" w:hanging="360"/>
      </w:pPr>
      <w:rPr>
        <w:rFonts w:ascii="Book Antiqua" w:eastAsiaTheme="minorHAnsi" w:hAnsi="Book Antiqua"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890623A4">
      <w:start w:val="1"/>
      <w:numFmt w:val="bullet"/>
      <w:lvlText w:val="-"/>
      <w:lvlJc w:val="left"/>
      <w:pPr>
        <w:ind w:left="2160" w:hanging="360"/>
      </w:pPr>
      <w:rPr>
        <w:rFonts w:ascii="Book Antiqua" w:eastAsiaTheme="minorHAnsi" w:hAnsi="Book Antiqua" w:cstheme="minorBidi"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6">
    <w:nsid w:val="3BA03397"/>
    <w:multiLevelType w:val="hybridMultilevel"/>
    <w:tmpl w:val="D6924B48"/>
    <w:lvl w:ilvl="0" w:tplc="9760CA4E">
      <w:start w:val="1"/>
      <w:numFmt w:val="bullet"/>
      <w:lvlText w:val=""/>
      <w:lvlJc w:val="left"/>
      <w:pPr>
        <w:ind w:left="1146" w:hanging="360"/>
      </w:pPr>
      <w:rPr>
        <w:rFonts w:ascii="Symbol" w:hAnsi="Symbol" w:hint="default"/>
      </w:rPr>
    </w:lvl>
    <w:lvl w:ilvl="1" w:tplc="08070003" w:tentative="1">
      <w:start w:val="1"/>
      <w:numFmt w:val="bullet"/>
      <w:lvlText w:val="o"/>
      <w:lvlJc w:val="left"/>
      <w:pPr>
        <w:ind w:left="1866" w:hanging="360"/>
      </w:pPr>
      <w:rPr>
        <w:rFonts w:ascii="Courier New" w:hAnsi="Courier New" w:cs="Courier New" w:hint="default"/>
      </w:rPr>
    </w:lvl>
    <w:lvl w:ilvl="2" w:tplc="08070005" w:tentative="1">
      <w:start w:val="1"/>
      <w:numFmt w:val="bullet"/>
      <w:lvlText w:val=""/>
      <w:lvlJc w:val="left"/>
      <w:pPr>
        <w:ind w:left="2586" w:hanging="360"/>
      </w:pPr>
      <w:rPr>
        <w:rFonts w:ascii="Wingdings" w:hAnsi="Wingdings" w:hint="default"/>
      </w:rPr>
    </w:lvl>
    <w:lvl w:ilvl="3" w:tplc="08070001" w:tentative="1">
      <w:start w:val="1"/>
      <w:numFmt w:val="bullet"/>
      <w:lvlText w:val=""/>
      <w:lvlJc w:val="left"/>
      <w:pPr>
        <w:ind w:left="3306" w:hanging="360"/>
      </w:pPr>
      <w:rPr>
        <w:rFonts w:ascii="Symbol" w:hAnsi="Symbol" w:hint="default"/>
      </w:rPr>
    </w:lvl>
    <w:lvl w:ilvl="4" w:tplc="08070003" w:tentative="1">
      <w:start w:val="1"/>
      <w:numFmt w:val="bullet"/>
      <w:lvlText w:val="o"/>
      <w:lvlJc w:val="left"/>
      <w:pPr>
        <w:ind w:left="4026" w:hanging="360"/>
      </w:pPr>
      <w:rPr>
        <w:rFonts w:ascii="Courier New" w:hAnsi="Courier New" w:cs="Courier New" w:hint="default"/>
      </w:rPr>
    </w:lvl>
    <w:lvl w:ilvl="5" w:tplc="08070005" w:tentative="1">
      <w:start w:val="1"/>
      <w:numFmt w:val="bullet"/>
      <w:lvlText w:val=""/>
      <w:lvlJc w:val="left"/>
      <w:pPr>
        <w:ind w:left="4746" w:hanging="360"/>
      </w:pPr>
      <w:rPr>
        <w:rFonts w:ascii="Wingdings" w:hAnsi="Wingdings" w:hint="default"/>
      </w:rPr>
    </w:lvl>
    <w:lvl w:ilvl="6" w:tplc="08070001" w:tentative="1">
      <w:start w:val="1"/>
      <w:numFmt w:val="bullet"/>
      <w:lvlText w:val=""/>
      <w:lvlJc w:val="left"/>
      <w:pPr>
        <w:ind w:left="5466" w:hanging="360"/>
      </w:pPr>
      <w:rPr>
        <w:rFonts w:ascii="Symbol" w:hAnsi="Symbol" w:hint="default"/>
      </w:rPr>
    </w:lvl>
    <w:lvl w:ilvl="7" w:tplc="08070003" w:tentative="1">
      <w:start w:val="1"/>
      <w:numFmt w:val="bullet"/>
      <w:lvlText w:val="o"/>
      <w:lvlJc w:val="left"/>
      <w:pPr>
        <w:ind w:left="6186" w:hanging="360"/>
      </w:pPr>
      <w:rPr>
        <w:rFonts w:ascii="Courier New" w:hAnsi="Courier New" w:cs="Courier New" w:hint="default"/>
      </w:rPr>
    </w:lvl>
    <w:lvl w:ilvl="8" w:tplc="08070005" w:tentative="1">
      <w:start w:val="1"/>
      <w:numFmt w:val="bullet"/>
      <w:lvlText w:val=""/>
      <w:lvlJc w:val="left"/>
      <w:pPr>
        <w:ind w:left="6906" w:hanging="360"/>
      </w:pPr>
      <w:rPr>
        <w:rFonts w:ascii="Wingdings" w:hAnsi="Wingdings" w:hint="default"/>
      </w:rPr>
    </w:lvl>
  </w:abstractNum>
  <w:abstractNum w:abstractNumId="37">
    <w:nsid w:val="407D448D"/>
    <w:multiLevelType w:val="hybridMultilevel"/>
    <w:tmpl w:val="29425230"/>
    <w:lvl w:ilvl="0" w:tplc="9760CA4E">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8">
    <w:nsid w:val="41D959DA"/>
    <w:multiLevelType w:val="hybridMultilevel"/>
    <w:tmpl w:val="A0382DC2"/>
    <w:lvl w:ilvl="0" w:tplc="0807000F">
      <w:start w:val="1"/>
      <w:numFmt w:val="decimal"/>
      <w:lvlText w:val="%1."/>
      <w:lvlJc w:val="left"/>
      <w:pPr>
        <w:ind w:left="720" w:hanging="360"/>
      </w:pPr>
      <w:rPr>
        <w:rFont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9">
    <w:nsid w:val="42904120"/>
    <w:multiLevelType w:val="hybridMultilevel"/>
    <w:tmpl w:val="3FF4EBB6"/>
    <w:lvl w:ilvl="0" w:tplc="890623A4">
      <w:start w:val="1"/>
      <w:numFmt w:val="bullet"/>
      <w:lvlText w:val="-"/>
      <w:lvlJc w:val="left"/>
      <w:pPr>
        <w:ind w:left="720" w:hanging="360"/>
      </w:pPr>
      <w:rPr>
        <w:rFonts w:ascii="Book Antiqua" w:eastAsiaTheme="minorHAnsi" w:hAnsi="Book Antiqua"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0">
    <w:nsid w:val="434B5331"/>
    <w:multiLevelType w:val="hybridMultilevel"/>
    <w:tmpl w:val="7F9AB892"/>
    <w:lvl w:ilvl="0" w:tplc="08070001">
      <w:start w:val="1"/>
      <w:numFmt w:val="bullet"/>
      <w:lvlText w:val=""/>
      <w:lvlJc w:val="left"/>
      <w:pPr>
        <w:ind w:left="1069" w:hanging="360"/>
      </w:pPr>
      <w:rPr>
        <w:rFonts w:ascii="Symbol" w:hAnsi="Symbol" w:hint="default"/>
      </w:rPr>
    </w:lvl>
    <w:lvl w:ilvl="1" w:tplc="08070003" w:tentative="1">
      <w:start w:val="1"/>
      <w:numFmt w:val="bullet"/>
      <w:lvlText w:val="o"/>
      <w:lvlJc w:val="left"/>
      <w:pPr>
        <w:ind w:left="1789" w:hanging="360"/>
      </w:pPr>
      <w:rPr>
        <w:rFonts w:ascii="Courier New" w:hAnsi="Courier New" w:cs="Courier New" w:hint="default"/>
      </w:rPr>
    </w:lvl>
    <w:lvl w:ilvl="2" w:tplc="08070005" w:tentative="1">
      <w:start w:val="1"/>
      <w:numFmt w:val="bullet"/>
      <w:lvlText w:val=""/>
      <w:lvlJc w:val="left"/>
      <w:pPr>
        <w:ind w:left="2509" w:hanging="360"/>
      </w:pPr>
      <w:rPr>
        <w:rFonts w:ascii="Wingdings" w:hAnsi="Wingdings" w:hint="default"/>
      </w:rPr>
    </w:lvl>
    <w:lvl w:ilvl="3" w:tplc="08070001" w:tentative="1">
      <w:start w:val="1"/>
      <w:numFmt w:val="bullet"/>
      <w:lvlText w:val=""/>
      <w:lvlJc w:val="left"/>
      <w:pPr>
        <w:ind w:left="3229" w:hanging="360"/>
      </w:pPr>
      <w:rPr>
        <w:rFonts w:ascii="Symbol" w:hAnsi="Symbol" w:hint="default"/>
      </w:rPr>
    </w:lvl>
    <w:lvl w:ilvl="4" w:tplc="08070003" w:tentative="1">
      <w:start w:val="1"/>
      <w:numFmt w:val="bullet"/>
      <w:lvlText w:val="o"/>
      <w:lvlJc w:val="left"/>
      <w:pPr>
        <w:ind w:left="3949" w:hanging="360"/>
      </w:pPr>
      <w:rPr>
        <w:rFonts w:ascii="Courier New" w:hAnsi="Courier New" w:cs="Courier New" w:hint="default"/>
      </w:rPr>
    </w:lvl>
    <w:lvl w:ilvl="5" w:tplc="08070005" w:tentative="1">
      <w:start w:val="1"/>
      <w:numFmt w:val="bullet"/>
      <w:lvlText w:val=""/>
      <w:lvlJc w:val="left"/>
      <w:pPr>
        <w:ind w:left="4669" w:hanging="360"/>
      </w:pPr>
      <w:rPr>
        <w:rFonts w:ascii="Wingdings" w:hAnsi="Wingdings" w:hint="default"/>
      </w:rPr>
    </w:lvl>
    <w:lvl w:ilvl="6" w:tplc="08070001" w:tentative="1">
      <w:start w:val="1"/>
      <w:numFmt w:val="bullet"/>
      <w:lvlText w:val=""/>
      <w:lvlJc w:val="left"/>
      <w:pPr>
        <w:ind w:left="5389" w:hanging="360"/>
      </w:pPr>
      <w:rPr>
        <w:rFonts w:ascii="Symbol" w:hAnsi="Symbol" w:hint="default"/>
      </w:rPr>
    </w:lvl>
    <w:lvl w:ilvl="7" w:tplc="08070003" w:tentative="1">
      <w:start w:val="1"/>
      <w:numFmt w:val="bullet"/>
      <w:lvlText w:val="o"/>
      <w:lvlJc w:val="left"/>
      <w:pPr>
        <w:ind w:left="6109" w:hanging="360"/>
      </w:pPr>
      <w:rPr>
        <w:rFonts w:ascii="Courier New" w:hAnsi="Courier New" w:cs="Courier New" w:hint="default"/>
      </w:rPr>
    </w:lvl>
    <w:lvl w:ilvl="8" w:tplc="08070005" w:tentative="1">
      <w:start w:val="1"/>
      <w:numFmt w:val="bullet"/>
      <w:lvlText w:val=""/>
      <w:lvlJc w:val="left"/>
      <w:pPr>
        <w:ind w:left="6829" w:hanging="360"/>
      </w:pPr>
      <w:rPr>
        <w:rFonts w:ascii="Wingdings" w:hAnsi="Wingdings" w:hint="default"/>
      </w:rPr>
    </w:lvl>
  </w:abstractNum>
  <w:abstractNum w:abstractNumId="41">
    <w:nsid w:val="43AF5A4B"/>
    <w:multiLevelType w:val="hybridMultilevel"/>
    <w:tmpl w:val="856AD1D8"/>
    <w:lvl w:ilvl="0" w:tplc="890623A4">
      <w:start w:val="1"/>
      <w:numFmt w:val="bullet"/>
      <w:lvlText w:val="-"/>
      <w:lvlJc w:val="left"/>
      <w:pPr>
        <w:ind w:left="720" w:hanging="360"/>
      </w:pPr>
      <w:rPr>
        <w:rFonts w:ascii="Book Antiqua" w:eastAsiaTheme="minorHAnsi" w:hAnsi="Book Antiqua"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2">
    <w:nsid w:val="467C5133"/>
    <w:multiLevelType w:val="hybridMultilevel"/>
    <w:tmpl w:val="8E26AA04"/>
    <w:lvl w:ilvl="0" w:tplc="9760CA4E">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3">
    <w:nsid w:val="48B0526A"/>
    <w:multiLevelType w:val="hybridMultilevel"/>
    <w:tmpl w:val="E4AAEDAA"/>
    <w:lvl w:ilvl="0" w:tplc="0807000F">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44">
    <w:nsid w:val="496B4505"/>
    <w:multiLevelType w:val="hybridMultilevel"/>
    <w:tmpl w:val="07C0BC6C"/>
    <w:lvl w:ilvl="0" w:tplc="0807000F">
      <w:start w:val="1"/>
      <w:numFmt w:val="decimal"/>
      <w:lvlText w:val="%1."/>
      <w:lvlJc w:val="left"/>
      <w:pPr>
        <w:ind w:left="1571" w:hanging="360"/>
      </w:pPr>
    </w:lvl>
    <w:lvl w:ilvl="1" w:tplc="08070019" w:tentative="1">
      <w:start w:val="1"/>
      <w:numFmt w:val="lowerLetter"/>
      <w:lvlText w:val="%2."/>
      <w:lvlJc w:val="left"/>
      <w:pPr>
        <w:ind w:left="2291" w:hanging="360"/>
      </w:pPr>
    </w:lvl>
    <w:lvl w:ilvl="2" w:tplc="0807001B" w:tentative="1">
      <w:start w:val="1"/>
      <w:numFmt w:val="lowerRoman"/>
      <w:lvlText w:val="%3."/>
      <w:lvlJc w:val="right"/>
      <w:pPr>
        <w:ind w:left="3011" w:hanging="180"/>
      </w:pPr>
    </w:lvl>
    <w:lvl w:ilvl="3" w:tplc="0807000F" w:tentative="1">
      <w:start w:val="1"/>
      <w:numFmt w:val="decimal"/>
      <w:lvlText w:val="%4."/>
      <w:lvlJc w:val="left"/>
      <w:pPr>
        <w:ind w:left="3731" w:hanging="360"/>
      </w:pPr>
    </w:lvl>
    <w:lvl w:ilvl="4" w:tplc="08070019" w:tentative="1">
      <w:start w:val="1"/>
      <w:numFmt w:val="lowerLetter"/>
      <w:lvlText w:val="%5."/>
      <w:lvlJc w:val="left"/>
      <w:pPr>
        <w:ind w:left="4451" w:hanging="360"/>
      </w:pPr>
    </w:lvl>
    <w:lvl w:ilvl="5" w:tplc="0807001B" w:tentative="1">
      <w:start w:val="1"/>
      <w:numFmt w:val="lowerRoman"/>
      <w:lvlText w:val="%6."/>
      <w:lvlJc w:val="right"/>
      <w:pPr>
        <w:ind w:left="5171" w:hanging="180"/>
      </w:pPr>
    </w:lvl>
    <w:lvl w:ilvl="6" w:tplc="0807000F" w:tentative="1">
      <w:start w:val="1"/>
      <w:numFmt w:val="decimal"/>
      <w:lvlText w:val="%7."/>
      <w:lvlJc w:val="left"/>
      <w:pPr>
        <w:ind w:left="5891" w:hanging="360"/>
      </w:pPr>
    </w:lvl>
    <w:lvl w:ilvl="7" w:tplc="08070019" w:tentative="1">
      <w:start w:val="1"/>
      <w:numFmt w:val="lowerLetter"/>
      <w:lvlText w:val="%8."/>
      <w:lvlJc w:val="left"/>
      <w:pPr>
        <w:ind w:left="6611" w:hanging="360"/>
      </w:pPr>
    </w:lvl>
    <w:lvl w:ilvl="8" w:tplc="0807001B" w:tentative="1">
      <w:start w:val="1"/>
      <w:numFmt w:val="lowerRoman"/>
      <w:lvlText w:val="%9."/>
      <w:lvlJc w:val="right"/>
      <w:pPr>
        <w:ind w:left="7331" w:hanging="180"/>
      </w:pPr>
    </w:lvl>
  </w:abstractNum>
  <w:abstractNum w:abstractNumId="45">
    <w:nsid w:val="4BE978EE"/>
    <w:multiLevelType w:val="hybridMultilevel"/>
    <w:tmpl w:val="4C04BF4E"/>
    <w:lvl w:ilvl="0" w:tplc="890623A4">
      <w:start w:val="1"/>
      <w:numFmt w:val="bullet"/>
      <w:lvlText w:val="-"/>
      <w:lvlJc w:val="left"/>
      <w:pPr>
        <w:ind w:left="720" w:hanging="360"/>
      </w:pPr>
      <w:rPr>
        <w:rFonts w:ascii="Book Antiqua" w:eastAsiaTheme="minorHAnsi" w:hAnsi="Book Antiqua"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6">
    <w:nsid w:val="4D155111"/>
    <w:multiLevelType w:val="hybridMultilevel"/>
    <w:tmpl w:val="A0DEF0AC"/>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7">
    <w:nsid w:val="4D976F76"/>
    <w:multiLevelType w:val="hybridMultilevel"/>
    <w:tmpl w:val="C31227A8"/>
    <w:lvl w:ilvl="0" w:tplc="890623A4">
      <w:start w:val="1"/>
      <w:numFmt w:val="bullet"/>
      <w:lvlText w:val="-"/>
      <w:lvlJc w:val="left"/>
      <w:pPr>
        <w:ind w:left="1146" w:hanging="360"/>
      </w:pPr>
      <w:rPr>
        <w:rFonts w:ascii="Book Antiqua" w:eastAsiaTheme="minorHAnsi" w:hAnsi="Book Antiqua" w:cstheme="minorBidi" w:hint="default"/>
      </w:rPr>
    </w:lvl>
    <w:lvl w:ilvl="1" w:tplc="08070003" w:tentative="1">
      <w:start w:val="1"/>
      <w:numFmt w:val="bullet"/>
      <w:lvlText w:val="o"/>
      <w:lvlJc w:val="left"/>
      <w:pPr>
        <w:ind w:left="1866" w:hanging="360"/>
      </w:pPr>
      <w:rPr>
        <w:rFonts w:ascii="Courier New" w:hAnsi="Courier New" w:cs="Courier New" w:hint="default"/>
      </w:rPr>
    </w:lvl>
    <w:lvl w:ilvl="2" w:tplc="08070005" w:tentative="1">
      <w:start w:val="1"/>
      <w:numFmt w:val="bullet"/>
      <w:lvlText w:val=""/>
      <w:lvlJc w:val="left"/>
      <w:pPr>
        <w:ind w:left="2586" w:hanging="360"/>
      </w:pPr>
      <w:rPr>
        <w:rFonts w:ascii="Wingdings" w:hAnsi="Wingdings" w:hint="default"/>
      </w:rPr>
    </w:lvl>
    <w:lvl w:ilvl="3" w:tplc="08070001" w:tentative="1">
      <w:start w:val="1"/>
      <w:numFmt w:val="bullet"/>
      <w:lvlText w:val=""/>
      <w:lvlJc w:val="left"/>
      <w:pPr>
        <w:ind w:left="3306" w:hanging="360"/>
      </w:pPr>
      <w:rPr>
        <w:rFonts w:ascii="Symbol" w:hAnsi="Symbol" w:hint="default"/>
      </w:rPr>
    </w:lvl>
    <w:lvl w:ilvl="4" w:tplc="08070003" w:tentative="1">
      <w:start w:val="1"/>
      <w:numFmt w:val="bullet"/>
      <w:lvlText w:val="o"/>
      <w:lvlJc w:val="left"/>
      <w:pPr>
        <w:ind w:left="4026" w:hanging="360"/>
      </w:pPr>
      <w:rPr>
        <w:rFonts w:ascii="Courier New" w:hAnsi="Courier New" w:cs="Courier New" w:hint="default"/>
      </w:rPr>
    </w:lvl>
    <w:lvl w:ilvl="5" w:tplc="08070005" w:tentative="1">
      <w:start w:val="1"/>
      <w:numFmt w:val="bullet"/>
      <w:lvlText w:val=""/>
      <w:lvlJc w:val="left"/>
      <w:pPr>
        <w:ind w:left="4746" w:hanging="360"/>
      </w:pPr>
      <w:rPr>
        <w:rFonts w:ascii="Wingdings" w:hAnsi="Wingdings" w:hint="default"/>
      </w:rPr>
    </w:lvl>
    <w:lvl w:ilvl="6" w:tplc="08070001" w:tentative="1">
      <w:start w:val="1"/>
      <w:numFmt w:val="bullet"/>
      <w:lvlText w:val=""/>
      <w:lvlJc w:val="left"/>
      <w:pPr>
        <w:ind w:left="5466" w:hanging="360"/>
      </w:pPr>
      <w:rPr>
        <w:rFonts w:ascii="Symbol" w:hAnsi="Symbol" w:hint="default"/>
      </w:rPr>
    </w:lvl>
    <w:lvl w:ilvl="7" w:tplc="08070003" w:tentative="1">
      <w:start w:val="1"/>
      <w:numFmt w:val="bullet"/>
      <w:lvlText w:val="o"/>
      <w:lvlJc w:val="left"/>
      <w:pPr>
        <w:ind w:left="6186" w:hanging="360"/>
      </w:pPr>
      <w:rPr>
        <w:rFonts w:ascii="Courier New" w:hAnsi="Courier New" w:cs="Courier New" w:hint="default"/>
      </w:rPr>
    </w:lvl>
    <w:lvl w:ilvl="8" w:tplc="08070005" w:tentative="1">
      <w:start w:val="1"/>
      <w:numFmt w:val="bullet"/>
      <w:lvlText w:val=""/>
      <w:lvlJc w:val="left"/>
      <w:pPr>
        <w:ind w:left="6906" w:hanging="360"/>
      </w:pPr>
      <w:rPr>
        <w:rFonts w:ascii="Wingdings" w:hAnsi="Wingdings" w:hint="default"/>
      </w:rPr>
    </w:lvl>
  </w:abstractNum>
  <w:abstractNum w:abstractNumId="48">
    <w:nsid w:val="4DC25183"/>
    <w:multiLevelType w:val="hybridMultilevel"/>
    <w:tmpl w:val="AEEE68EE"/>
    <w:lvl w:ilvl="0" w:tplc="9760CA4E">
      <w:start w:val="1"/>
      <w:numFmt w:val="bullet"/>
      <w:lvlText w:val=""/>
      <w:lvlJc w:val="left"/>
      <w:pPr>
        <w:ind w:left="108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9">
    <w:nsid w:val="4E9903AD"/>
    <w:multiLevelType w:val="hybridMultilevel"/>
    <w:tmpl w:val="76647814"/>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0">
    <w:nsid w:val="501E45FC"/>
    <w:multiLevelType w:val="hybridMultilevel"/>
    <w:tmpl w:val="3AC4FA7E"/>
    <w:lvl w:ilvl="0" w:tplc="9760CA4E">
      <w:start w:val="1"/>
      <w:numFmt w:val="bullet"/>
      <w:lvlText w:val=""/>
      <w:lvlJc w:val="left"/>
      <w:pPr>
        <w:ind w:left="1146" w:hanging="360"/>
      </w:pPr>
      <w:rPr>
        <w:rFonts w:ascii="Symbol" w:hAnsi="Symbol" w:hint="default"/>
      </w:rPr>
    </w:lvl>
    <w:lvl w:ilvl="1" w:tplc="08070003" w:tentative="1">
      <w:start w:val="1"/>
      <w:numFmt w:val="bullet"/>
      <w:lvlText w:val="o"/>
      <w:lvlJc w:val="left"/>
      <w:pPr>
        <w:ind w:left="1866" w:hanging="360"/>
      </w:pPr>
      <w:rPr>
        <w:rFonts w:ascii="Courier New" w:hAnsi="Courier New" w:cs="Courier New" w:hint="default"/>
      </w:rPr>
    </w:lvl>
    <w:lvl w:ilvl="2" w:tplc="08070005" w:tentative="1">
      <w:start w:val="1"/>
      <w:numFmt w:val="bullet"/>
      <w:lvlText w:val=""/>
      <w:lvlJc w:val="left"/>
      <w:pPr>
        <w:ind w:left="2586" w:hanging="360"/>
      </w:pPr>
      <w:rPr>
        <w:rFonts w:ascii="Wingdings" w:hAnsi="Wingdings" w:hint="default"/>
      </w:rPr>
    </w:lvl>
    <w:lvl w:ilvl="3" w:tplc="08070001" w:tentative="1">
      <w:start w:val="1"/>
      <w:numFmt w:val="bullet"/>
      <w:lvlText w:val=""/>
      <w:lvlJc w:val="left"/>
      <w:pPr>
        <w:ind w:left="3306" w:hanging="360"/>
      </w:pPr>
      <w:rPr>
        <w:rFonts w:ascii="Symbol" w:hAnsi="Symbol" w:hint="default"/>
      </w:rPr>
    </w:lvl>
    <w:lvl w:ilvl="4" w:tplc="08070003" w:tentative="1">
      <w:start w:val="1"/>
      <w:numFmt w:val="bullet"/>
      <w:lvlText w:val="o"/>
      <w:lvlJc w:val="left"/>
      <w:pPr>
        <w:ind w:left="4026" w:hanging="360"/>
      </w:pPr>
      <w:rPr>
        <w:rFonts w:ascii="Courier New" w:hAnsi="Courier New" w:cs="Courier New" w:hint="default"/>
      </w:rPr>
    </w:lvl>
    <w:lvl w:ilvl="5" w:tplc="08070005" w:tentative="1">
      <w:start w:val="1"/>
      <w:numFmt w:val="bullet"/>
      <w:lvlText w:val=""/>
      <w:lvlJc w:val="left"/>
      <w:pPr>
        <w:ind w:left="4746" w:hanging="360"/>
      </w:pPr>
      <w:rPr>
        <w:rFonts w:ascii="Wingdings" w:hAnsi="Wingdings" w:hint="default"/>
      </w:rPr>
    </w:lvl>
    <w:lvl w:ilvl="6" w:tplc="08070001" w:tentative="1">
      <w:start w:val="1"/>
      <w:numFmt w:val="bullet"/>
      <w:lvlText w:val=""/>
      <w:lvlJc w:val="left"/>
      <w:pPr>
        <w:ind w:left="5466" w:hanging="360"/>
      </w:pPr>
      <w:rPr>
        <w:rFonts w:ascii="Symbol" w:hAnsi="Symbol" w:hint="default"/>
      </w:rPr>
    </w:lvl>
    <w:lvl w:ilvl="7" w:tplc="08070003" w:tentative="1">
      <w:start w:val="1"/>
      <w:numFmt w:val="bullet"/>
      <w:lvlText w:val="o"/>
      <w:lvlJc w:val="left"/>
      <w:pPr>
        <w:ind w:left="6186" w:hanging="360"/>
      </w:pPr>
      <w:rPr>
        <w:rFonts w:ascii="Courier New" w:hAnsi="Courier New" w:cs="Courier New" w:hint="default"/>
      </w:rPr>
    </w:lvl>
    <w:lvl w:ilvl="8" w:tplc="08070005" w:tentative="1">
      <w:start w:val="1"/>
      <w:numFmt w:val="bullet"/>
      <w:lvlText w:val=""/>
      <w:lvlJc w:val="left"/>
      <w:pPr>
        <w:ind w:left="6906" w:hanging="360"/>
      </w:pPr>
      <w:rPr>
        <w:rFonts w:ascii="Wingdings" w:hAnsi="Wingdings" w:hint="default"/>
      </w:rPr>
    </w:lvl>
  </w:abstractNum>
  <w:abstractNum w:abstractNumId="51">
    <w:nsid w:val="53BA53A0"/>
    <w:multiLevelType w:val="hybridMultilevel"/>
    <w:tmpl w:val="B5C03AB4"/>
    <w:lvl w:ilvl="0" w:tplc="890623A4">
      <w:start w:val="1"/>
      <w:numFmt w:val="bullet"/>
      <w:lvlText w:val="-"/>
      <w:lvlJc w:val="left"/>
      <w:pPr>
        <w:ind w:left="2280" w:hanging="360"/>
      </w:pPr>
      <w:rPr>
        <w:rFonts w:ascii="Book Antiqua" w:eastAsiaTheme="minorHAnsi" w:hAnsi="Book Antiqua" w:cstheme="minorBidi" w:hint="default"/>
      </w:rPr>
    </w:lvl>
    <w:lvl w:ilvl="1" w:tplc="08070003" w:tentative="1">
      <w:start w:val="1"/>
      <w:numFmt w:val="bullet"/>
      <w:lvlText w:val="o"/>
      <w:lvlJc w:val="left"/>
      <w:pPr>
        <w:ind w:left="3000" w:hanging="360"/>
      </w:pPr>
      <w:rPr>
        <w:rFonts w:ascii="Courier New" w:hAnsi="Courier New" w:cs="Courier New" w:hint="default"/>
      </w:rPr>
    </w:lvl>
    <w:lvl w:ilvl="2" w:tplc="08070005" w:tentative="1">
      <w:start w:val="1"/>
      <w:numFmt w:val="bullet"/>
      <w:lvlText w:val=""/>
      <w:lvlJc w:val="left"/>
      <w:pPr>
        <w:ind w:left="3720" w:hanging="360"/>
      </w:pPr>
      <w:rPr>
        <w:rFonts w:ascii="Wingdings" w:hAnsi="Wingdings" w:hint="default"/>
      </w:rPr>
    </w:lvl>
    <w:lvl w:ilvl="3" w:tplc="08070001" w:tentative="1">
      <w:start w:val="1"/>
      <w:numFmt w:val="bullet"/>
      <w:lvlText w:val=""/>
      <w:lvlJc w:val="left"/>
      <w:pPr>
        <w:ind w:left="4440" w:hanging="360"/>
      </w:pPr>
      <w:rPr>
        <w:rFonts w:ascii="Symbol" w:hAnsi="Symbol" w:hint="default"/>
      </w:rPr>
    </w:lvl>
    <w:lvl w:ilvl="4" w:tplc="08070003" w:tentative="1">
      <w:start w:val="1"/>
      <w:numFmt w:val="bullet"/>
      <w:lvlText w:val="o"/>
      <w:lvlJc w:val="left"/>
      <w:pPr>
        <w:ind w:left="5160" w:hanging="360"/>
      </w:pPr>
      <w:rPr>
        <w:rFonts w:ascii="Courier New" w:hAnsi="Courier New" w:cs="Courier New" w:hint="default"/>
      </w:rPr>
    </w:lvl>
    <w:lvl w:ilvl="5" w:tplc="08070005" w:tentative="1">
      <w:start w:val="1"/>
      <w:numFmt w:val="bullet"/>
      <w:lvlText w:val=""/>
      <w:lvlJc w:val="left"/>
      <w:pPr>
        <w:ind w:left="5880" w:hanging="360"/>
      </w:pPr>
      <w:rPr>
        <w:rFonts w:ascii="Wingdings" w:hAnsi="Wingdings" w:hint="default"/>
      </w:rPr>
    </w:lvl>
    <w:lvl w:ilvl="6" w:tplc="08070001" w:tentative="1">
      <w:start w:val="1"/>
      <w:numFmt w:val="bullet"/>
      <w:lvlText w:val=""/>
      <w:lvlJc w:val="left"/>
      <w:pPr>
        <w:ind w:left="6600" w:hanging="360"/>
      </w:pPr>
      <w:rPr>
        <w:rFonts w:ascii="Symbol" w:hAnsi="Symbol" w:hint="default"/>
      </w:rPr>
    </w:lvl>
    <w:lvl w:ilvl="7" w:tplc="08070003" w:tentative="1">
      <w:start w:val="1"/>
      <w:numFmt w:val="bullet"/>
      <w:lvlText w:val="o"/>
      <w:lvlJc w:val="left"/>
      <w:pPr>
        <w:ind w:left="7320" w:hanging="360"/>
      </w:pPr>
      <w:rPr>
        <w:rFonts w:ascii="Courier New" w:hAnsi="Courier New" w:cs="Courier New" w:hint="default"/>
      </w:rPr>
    </w:lvl>
    <w:lvl w:ilvl="8" w:tplc="08070005" w:tentative="1">
      <w:start w:val="1"/>
      <w:numFmt w:val="bullet"/>
      <w:lvlText w:val=""/>
      <w:lvlJc w:val="left"/>
      <w:pPr>
        <w:ind w:left="8040" w:hanging="360"/>
      </w:pPr>
      <w:rPr>
        <w:rFonts w:ascii="Wingdings" w:hAnsi="Wingdings" w:hint="default"/>
      </w:rPr>
    </w:lvl>
  </w:abstractNum>
  <w:abstractNum w:abstractNumId="52">
    <w:nsid w:val="550147B1"/>
    <w:multiLevelType w:val="hybridMultilevel"/>
    <w:tmpl w:val="0CBE461C"/>
    <w:lvl w:ilvl="0" w:tplc="890623A4">
      <w:start w:val="1"/>
      <w:numFmt w:val="bullet"/>
      <w:lvlText w:val="-"/>
      <w:lvlJc w:val="left"/>
      <w:pPr>
        <w:ind w:left="720" w:hanging="360"/>
      </w:pPr>
      <w:rPr>
        <w:rFonts w:ascii="Book Antiqua" w:eastAsiaTheme="minorHAnsi" w:hAnsi="Book Antiqua"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3">
    <w:nsid w:val="56071337"/>
    <w:multiLevelType w:val="hybridMultilevel"/>
    <w:tmpl w:val="A858DBF2"/>
    <w:lvl w:ilvl="0" w:tplc="890623A4">
      <w:start w:val="1"/>
      <w:numFmt w:val="bullet"/>
      <w:lvlText w:val="-"/>
      <w:lvlJc w:val="left"/>
      <w:pPr>
        <w:ind w:left="1146" w:hanging="360"/>
      </w:pPr>
      <w:rPr>
        <w:rFonts w:ascii="Book Antiqua" w:eastAsiaTheme="minorHAnsi" w:hAnsi="Book Antiqua" w:cstheme="minorBidi" w:hint="default"/>
      </w:rPr>
    </w:lvl>
    <w:lvl w:ilvl="1" w:tplc="08070003" w:tentative="1">
      <w:start w:val="1"/>
      <w:numFmt w:val="bullet"/>
      <w:lvlText w:val="o"/>
      <w:lvlJc w:val="left"/>
      <w:pPr>
        <w:ind w:left="1866" w:hanging="360"/>
      </w:pPr>
      <w:rPr>
        <w:rFonts w:ascii="Courier New" w:hAnsi="Courier New" w:cs="Courier New" w:hint="default"/>
      </w:rPr>
    </w:lvl>
    <w:lvl w:ilvl="2" w:tplc="08070005" w:tentative="1">
      <w:start w:val="1"/>
      <w:numFmt w:val="bullet"/>
      <w:lvlText w:val=""/>
      <w:lvlJc w:val="left"/>
      <w:pPr>
        <w:ind w:left="2586" w:hanging="360"/>
      </w:pPr>
      <w:rPr>
        <w:rFonts w:ascii="Wingdings" w:hAnsi="Wingdings" w:hint="default"/>
      </w:rPr>
    </w:lvl>
    <w:lvl w:ilvl="3" w:tplc="08070001" w:tentative="1">
      <w:start w:val="1"/>
      <w:numFmt w:val="bullet"/>
      <w:lvlText w:val=""/>
      <w:lvlJc w:val="left"/>
      <w:pPr>
        <w:ind w:left="3306" w:hanging="360"/>
      </w:pPr>
      <w:rPr>
        <w:rFonts w:ascii="Symbol" w:hAnsi="Symbol" w:hint="default"/>
      </w:rPr>
    </w:lvl>
    <w:lvl w:ilvl="4" w:tplc="08070003" w:tentative="1">
      <w:start w:val="1"/>
      <w:numFmt w:val="bullet"/>
      <w:lvlText w:val="o"/>
      <w:lvlJc w:val="left"/>
      <w:pPr>
        <w:ind w:left="4026" w:hanging="360"/>
      </w:pPr>
      <w:rPr>
        <w:rFonts w:ascii="Courier New" w:hAnsi="Courier New" w:cs="Courier New" w:hint="default"/>
      </w:rPr>
    </w:lvl>
    <w:lvl w:ilvl="5" w:tplc="08070005" w:tentative="1">
      <w:start w:val="1"/>
      <w:numFmt w:val="bullet"/>
      <w:lvlText w:val=""/>
      <w:lvlJc w:val="left"/>
      <w:pPr>
        <w:ind w:left="4746" w:hanging="360"/>
      </w:pPr>
      <w:rPr>
        <w:rFonts w:ascii="Wingdings" w:hAnsi="Wingdings" w:hint="default"/>
      </w:rPr>
    </w:lvl>
    <w:lvl w:ilvl="6" w:tplc="08070001" w:tentative="1">
      <w:start w:val="1"/>
      <w:numFmt w:val="bullet"/>
      <w:lvlText w:val=""/>
      <w:lvlJc w:val="left"/>
      <w:pPr>
        <w:ind w:left="5466" w:hanging="360"/>
      </w:pPr>
      <w:rPr>
        <w:rFonts w:ascii="Symbol" w:hAnsi="Symbol" w:hint="default"/>
      </w:rPr>
    </w:lvl>
    <w:lvl w:ilvl="7" w:tplc="08070003" w:tentative="1">
      <w:start w:val="1"/>
      <w:numFmt w:val="bullet"/>
      <w:lvlText w:val="o"/>
      <w:lvlJc w:val="left"/>
      <w:pPr>
        <w:ind w:left="6186" w:hanging="360"/>
      </w:pPr>
      <w:rPr>
        <w:rFonts w:ascii="Courier New" w:hAnsi="Courier New" w:cs="Courier New" w:hint="default"/>
      </w:rPr>
    </w:lvl>
    <w:lvl w:ilvl="8" w:tplc="08070005" w:tentative="1">
      <w:start w:val="1"/>
      <w:numFmt w:val="bullet"/>
      <w:lvlText w:val=""/>
      <w:lvlJc w:val="left"/>
      <w:pPr>
        <w:ind w:left="6906" w:hanging="360"/>
      </w:pPr>
      <w:rPr>
        <w:rFonts w:ascii="Wingdings" w:hAnsi="Wingdings" w:hint="default"/>
      </w:rPr>
    </w:lvl>
  </w:abstractNum>
  <w:abstractNum w:abstractNumId="54">
    <w:nsid w:val="573267D7"/>
    <w:multiLevelType w:val="hybridMultilevel"/>
    <w:tmpl w:val="CD62C146"/>
    <w:lvl w:ilvl="0" w:tplc="890623A4">
      <w:start w:val="1"/>
      <w:numFmt w:val="bullet"/>
      <w:lvlText w:val="-"/>
      <w:lvlJc w:val="left"/>
      <w:pPr>
        <w:ind w:left="720" w:hanging="360"/>
      </w:pPr>
      <w:rPr>
        <w:rFonts w:ascii="Book Antiqua" w:eastAsiaTheme="minorHAnsi" w:hAnsi="Book Antiqua"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5">
    <w:nsid w:val="59067D2D"/>
    <w:multiLevelType w:val="hybridMultilevel"/>
    <w:tmpl w:val="0B005EF4"/>
    <w:lvl w:ilvl="0" w:tplc="9760CA4E">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6">
    <w:nsid w:val="590D06FF"/>
    <w:multiLevelType w:val="hybridMultilevel"/>
    <w:tmpl w:val="1AB2658A"/>
    <w:lvl w:ilvl="0" w:tplc="890623A4">
      <w:start w:val="1"/>
      <w:numFmt w:val="bullet"/>
      <w:lvlText w:val="-"/>
      <w:lvlJc w:val="left"/>
      <w:pPr>
        <w:ind w:left="720" w:hanging="360"/>
      </w:pPr>
      <w:rPr>
        <w:rFonts w:ascii="Book Antiqua" w:eastAsiaTheme="minorHAnsi" w:hAnsi="Book Antiqua"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7">
    <w:nsid w:val="59334BF8"/>
    <w:multiLevelType w:val="hybridMultilevel"/>
    <w:tmpl w:val="6CD00638"/>
    <w:lvl w:ilvl="0" w:tplc="890623A4">
      <w:start w:val="1"/>
      <w:numFmt w:val="bullet"/>
      <w:lvlText w:val="-"/>
      <w:lvlJc w:val="left"/>
      <w:pPr>
        <w:ind w:left="720" w:hanging="360"/>
      </w:pPr>
      <w:rPr>
        <w:rFonts w:ascii="Book Antiqua" w:eastAsiaTheme="minorHAnsi" w:hAnsi="Book Antiqua"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890623A4">
      <w:start w:val="1"/>
      <w:numFmt w:val="bullet"/>
      <w:lvlText w:val="-"/>
      <w:lvlJc w:val="left"/>
      <w:pPr>
        <w:ind w:left="2160" w:hanging="360"/>
      </w:pPr>
      <w:rPr>
        <w:rFonts w:ascii="Book Antiqua" w:eastAsiaTheme="minorHAnsi" w:hAnsi="Book Antiqua" w:cstheme="minorBidi" w:hint="default"/>
      </w:rPr>
    </w:lvl>
    <w:lvl w:ilvl="3" w:tplc="0807000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8">
    <w:nsid w:val="5AFD692F"/>
    <w:multiLevelType w:val="hybridMultilevel"/>
    <w:tmpl w:val="E91A508E"/>
    <w:lvl w:ilvl="0" w:tplc="9760CA4E">
      <w:start w:val="1"/>
      <w:numFmt w:val="bullet"/>
      <w:lvlText w:val=""/>
      <w:lvlJc w:val="left"/>
      <w:pPr>
        <w:ind w:left="1146" w:hanging="360"/>
      </w:pPr>
      <w:rPr>
        <w:rFonts w:ascii="Symbol" w:hAnsi="Symbol" w:hint="default"/>
      </w:rPr>
    </w:lvl>
    <w:lvl w:ilvl="1" w:tplc="08070003" w:tentative="1">
      <w:start w:val="1"/>
      <w:numFmt w:val="bullet"/>
      <w:lvlText w:val="o"/>
      <w:lvlJc w:val="left"/>
      <w:pPr>
        <w:ind w:left="1866" w:hanging="360"/>
      </w:pPr>
      <w:rPr>
        <w:rFonts w:ascii="Courier New" w:hAnsi="Courier New" w:cs="Courier New" w:hint="default"/>
      </w:rPr>
    </w:lvl>
    <w:lvl w:ilvl="2" w:tplc="08070005" w:tentative="1">
      <w:start w:val="1"/>
      <w:numFmt w:val="bullet"/>
      <w:lvlText w:val=""/>
      <w:lvlJc w:val="left"/>
      <w:pPr>
        <w:ind w:left="2586" w:hanging="360"/>
      </w:pPr>
      <w:rPr>
        <w:rFonts w:ascii="Wingdings" w:hAnsi="Wingdings" w:hint="default"/>
      </w:rPr>
    </w:lvl>
    <w:lvl w:ilvl="3" w:tplc="08070001" w:tentative="1">
      <w:start w:val="1"/>
      <w:numFmt w:val="bullet"/>
      <w:lvlText w:val=""/>
      <w:lvlJc w:val="left"/>
      <w:pPr>
        <w:ind w:left="3306" w:hanging="360"/>
      </w:pPr>
      <w:rPr>
        <w:rFonts w:ascii="Symbol" w:hAnsi="Symbol" w:hint="default"/>
      </w:rPr>
    </w:lvl>
    <w:lvl w:ilvl="4" w:tplc="08070003" w:tentative="1">
      <w:start w:val="1"/>
      <w:numFmt w:val="bullet"/>
      <w:lvlText w:val="o"/>
      <w:lvlJc w:val="left"/>
      <w:pPr>
        <w:ind w:left="4026" w:hanging="360"/>
      </w:pPr>
      <w:rPr>
        <w:rFonts w:ascii="Courier New" w:hAnsi="Courier New" w:cs="Courier New" w:hint="default"/>
      </w:rPr>
    </w:lvl>
    <w:lvl w:ilvl="5" w:tplc="08070005" w:tentative="1">
      <w:start w:val="1"/>
      <w:numFmt w:val="bullet"/>
      <w:lvlText w:val=""/>
      <w:lvlJc w:val="left"/>
      <w:pPr>
        <w:ind w:left="4746" w:hanging="360"/>
      </w:pPr>
      <w:rPr>
        <w:rFonts w:ascii="Wingdings" w:hAnsi="Wingdings" w:hint="default"/>
      </w:rPr>
    </w:lvl>
    <w:lvl w:ilvl="6" w:tplc="08070001" w:tentative="1">
      <w:start w:val="1"/>
      <w:numFmt w:val="bullet"/>
      <w:lvlText w:val=""/>
      <w:lvlJc w:val="left"/>
      <w:pPr>
        <w:ind w:left="5466" w:hanging="360"/>
      </w:pPr>
      <w:rPr>
        <w:rFonts w:ascii="Symbol" w:hAnsi="Symbol" w:hint="default"/>
      </w:rPr>
    </w:lvl>
    <w:lvl w:ilvl="7" w:tplc="08070003" w:tentative="1">
      <w:start w:val="1"/>
      <w:numFmt w:val="bullet"/>
      <w:lvlText w:val="o"/>
      <w:lvlJc w:val="left"/>
      <w:pPr>
        <w:ind w:left="6186" w:hanging="360"/>
      </w:pPr>
      <w:rPr>
        <w:rFonts w:ascii="Courier New" w:hAnsi="Courier New" w:cs="Courier New" w:hint="default"/>
      </w:rPr>
    </w:lvl>
    <w:lvl w:ilvl="8" w:tplc="08070005" w:tentative="1">
      <w:start w:val="1"/>
      <w:numFmt w:val="bullet"/>
      <w:lvlText w:val=""/>
      <w:lvlJc w:val="left"/>
      <w:pPr>
        <w:ind w:left="6906" w:hanging="360"/>
      </w:pPr>
      <w:rPr>
        <w:rFonts w:ascii="Wingdings" w:hAnsi="Wingdings" w:hint="default"/>
      </w:rPr>
    </w:lvl>
  </w:abstractNum>
  <w:abstractNum w:abstractNumId="59">
    <w:nsid w:val="5B797CF6"/>
    <w:multiLevelType w:val="hybridMultilevel"/>
    <w:tmpl w:val="848C6A82"/>
    <w:lvl w:ilvl="0" w:tplc="890623A4">
      <w:start w:val="1"/>
      <w:numFmt w:val="bullet"/>
      <w:lvlText w:val="-"/>
      <w:lvlJc w:val="left"/>
      <w:pPr>
        <w:ind w:left="1146" w:hanging="360"/>
      </w:pPr>
      <w:rPr>
        <w:rFonts w:ascii="Book Antiqua" w:eastAsiaTheme="minorHAnsi" w:hAnsi="Book Antiqua" w:cstheme="minorBidi" w:hint="default"/>
      </w:rPr>
    </w:lvl>
    <w:lvl w:ilvl="1" w:tplc="08070003" w:tentative="1">
      <w:start w:val="1"/>
      <w:numFmt w:val="bullet"/>
      <w:lvlText w:val="o"/>
      <w:lvlJc w:val="left"/>
      <w:pPr>
        <w:ind w:left="1866" w:hanging="360"/>
      </w:pPr>
      <w:rPr>
        <w:rFonts w:ascii="Courier New" w:hAnsi="Courier New" w:cs="Courier New" w:hint="default"/>
      </w:rPr>
    </w:lvl>
    <w:lvl w:ilvl="2" w:tplc="08070005" w:tentative="1">
      <w:start w:val="1"/>
      <w:numFmt w:val="bullet"/>
      <w:lvlText w:val=""/>
      <w:lvlJc w:val="left"/>
      <w:pPr>
        <w:ind w:left="2586" w:hanging="360"/>
      </w:pPr>
      <w:rPr>
        <w:rFonts w:ascii="Wingdings" w:hAnsi="Wingdings" w:hint="default"/>
      </w:rPr>
    </w:lvl>
    <w:lvl w:ilvl="3" w:tplc="08070001" w:tentative="1">
      <w:start w:val="1"/>
      <w:numFmt w:val="bullet"/>
      <w:lvlText w:val=""/>
      <w:lvlJc w:val="left"/>
      <w:pPr>
        <w:ind w:left="3306" w:hanging="360"/>
      </w:pPr>
      <w:rPr>
        <w:rFonts w:ascii="Symbol" w:hAnsi="Symbol" w:hint="default"/>
      </w:rPr>
    </w:lvl>
    <w:lvl w:ilvl="4" w:tplc="08070003" w:tentative="1">
      <w:start w:val="1"/>
      <w:numFmt w:val="bullet"/>
      <w:lvlText w:val="o"/>
      <w:lvlJc w:val="left"/>
      <w:pPr>
        <w:ind w:left="4026" w:hanging="360"/>
      </w:pPr>
      <w:rPr>
        <w:rFonts w:ascii="Courier New" w:hAnsi="Courier New" w:cs="Courier New" w:hint="default"/>
      </w:rPr>
    </w:lvl>
    <w:lvl w:ilvl="5" w:tplc="08070005" w:tentative="1">
      <w:start w:val="1"/>
      <w:numFmt w:val="bullet"/>
      <w:lvlText w:val=""/>
      <w:lvlJc w:val="left"/>
      <w:pPr>
        <w:ind w:left="4746" w:hanging="360"/>
      </w:pPr>
      <w:rPr>
        <w:rFonts w:ascii="Wingdings" w:hAnsi="Wingdings" w:hint="default"/>
      </w:rPr>
    </w:lvl>
    <w:lvl w:ilvl="6" w:tplc="08070001" w:tentative="1">
      <w:start w:val="1"/>
      <w:numFmt w:val="bullet"/>
      <w:lvlText w:val=""/>
      <w:lvlJc w:val="left"/>
      <w:pPr>
        <w:ind w:left="5466" w:hanging="360"/>
      </w:pPr>
      <w:rPr>
        <w:rFonts w:ascii="Symbol" w:hAnsi="Symbol" w:hint="default"/>
      </w:rPr>
    </w:lvl>
    <w:lvl w:ilvl="7" w:tplc="08070003" w:tentative="1">
      <w:start w:val="1"/>
      <w:numFmt w:val="bullet"/>
      <w:lvlText w:val="o"/>
      <w:lvlJc w:val="left"/>
      <w:pPr>
        <w:ind w:left="6186" w:hanging="360"/>
      </w:pPr>
      <w:rPr>
        <w:rFonts w:ascii="Courier New" w:hAnsi="Courier New" w:cs="Courier New" w:hint="default"/>
      </w:rPr>
    </w:lvl>
    <w:lvl w:ilvl="8" w:tplc="08070005" w:tentative="1">
      <w:start w:val="1"/>
      <w:numFmt w:val="bullet"/>
      <w:lvlText w:val=""/>
      <w:lvlJc w:val="left"/>
      <w:pPr>
        <w:ind w:left="6906" w:hanging="360"/>
      </w:pPr>
      <w:rPr>
        <w:rFonts w:ascii="Wingdings" w:hAnsi="Wingdings" w:hint="default"/>
      </w:rPr>
    </w:lvl>
  </w:abstractNum>
  <w:abstractNum w:abstractNumId="60">
    <w:nsid w:val="5FC140C0"/>
    <w:multiLevelType w:val="hybridMultilevel"/>
    <w:tmpl w:val="8D2C489E"/>
    <w:lvl w:ilvl="0" w:tplc="890623A4">
      <w:start w:val="1"/>
      <w:numFmt w:val="bullet"/>
      <w:lvlText w:val="-"/>
      <w:lvlJc w:val="left"/>
      <w:pPr>
        <w:ind w:left="720" w:hanging="360"/>
      </w:pPr>
      <w:rPr>
        <w:rFonts w:ascii="Book Antiqua" w:eastAsiaTheme="minorHAnsi" w:hAnsi="Book Antiqua"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61">
    <w:nsid w:val="6B1436FE"/>
    <w:multiLevelType w:val="hybridMultilevel"/>
    <w:tmpl w:val="B582E29A"/>
    <w:lvl w:ilvl="0" w:tplc="890623A4">
      <w:start w:val="1"/>
      <w:numFmt w:val="bullet"/>
      <w:lvlText w:val="-"/>
      <w:lvlJc w:val="left"/>
      <w:pPr>
        <w:ind w:left="1146" w:hanging="360"/>
      </w:pPr>
      <w:rPr>
        <w:rFonts w:ascii="Book Antiqua" w:eastAsiaTheme="minorHAnsi" w:hAnsi="Book Antiqua" w:cstheme="minorBidi" w:hint="default"/>
      </w:rPr>
    </w:lvl>
    <w:lvl w:ilvl="1" w:tplc="08070003" w:tentative="1">
      <w:start w:val="1"/>
      <w:numFmt w:val="bullet"/>
      <w:lvlText w:val="o"/>
      <w:lvlJc w:val="left"/>
      <w:pPr>
        <w:ind w:left="1866" w:hanging="360"/>
      </w:pPr>
      <w:rPr>
        <w:rFonts w:ascii="Courier New" w:hAnsi="Courier New" w:cs="Courier New" w:hint="default"/>
      </w:rPr>
    </w:lvl>
    <w:lvl w:ilvl="2" w:tplc="08070005" w:tentative="1">
      <w:start w:val="1"/>
      <w:numFmt w:val="bullet"/>
      <w:lvlText w:val=""/>
      <w:lvlJc w:val="left"/>
      <w:pPr>
        <w:ind w:left="2586" w:hanging="360"/>
      </w:pPr>
      <w:rPr>
        <w:rFonts w:ascii="Wingdings" w:hAnsi="Wingdings" w:hint="default"/>
      </w:rPr>
    </w:lvl>
    <w:lvl w:ilvl="3" w:tplc="08070001" w:tentative="1">
      <w:start w:val="1"/>
      <w:numFmt w:val="bullet"/>
      <w:lvlText w:val=""/>
      <w:lvlJc w:val="left"/>
      <w:pPr>
        <w:ind w:left="3306" w:hanging="360"/>
      </w:pPr>
      <w:rPr>
        <w:rFonts w:ascii="Symbol" w:hAnsi="Symbol" w:hint="default"/>
      </w:rPr>
    </w:lvl>
    <w:lvl w:ilvl="4" w:tplc="08070003" w:tentative="1">
      <w:start w:val="1"/>
      <w:numFmt w:val="bullet"/>
      <w:lvlText w:val="o"/>
      <w:lvlJc w:val="left"/>
      <w:pPr>
        <w:ind w:left="4026" w:hanging="360"/>
      </w:pPr>
      <w:rPr>
        <w:rFonts w:ascii="Courier New" w:hAnsi="Courier New" w:cs="Courier New" w:hint="default"/>
      </w:rPr>
    </w:lvl>
    <w:lvl w:ilvl="5" w:tplc="08070005" w:tentative="1">
      <w:start w:val="1"/>
      <w:numFmt w:val="bullet"/>
      <w:lvlText w:val=""/>
      <w:lvlJc w:val="left"/>
      <w:pPr>
        <w:ind w:left="4746" w:hanging="360"/>
      </w:pPr>
      <w:rPr>
        <w:rFonts w:ascii="Wingdings" w:hAnsi="Wingdings" w:hint="default"/>
      </w:rPr>
    </w:lvl>
    <w:lvl w:ilvl="6" w:tplc="08070001" w:tentative="1">
      <w:start w:val="1"/>
      <w:numFmt w:val="bullet"/>
      <w:lvlText w:val=""/>
      <w:lvlJc w:val="left"/>
      <w:pPr>
        <w:ind w:left="5466" w:hanging="360"/>
      </w:pPr>
      <w:rPr>
        <w:rFonts w:ascii="Symbol" w:hAnsi="Symbol" w:hint="default"/>
      </w:rPr>
    </w:lvl>
    <w:lvl w:ilvl="7" w:tplc="08070003" w:tentative="1">
      <w:start w:val="1"/>
      <w:numFmt w:val="bullet"/>
      <w:lvlText w:val="o"/>
      <w:lvlJc w:val="left"/>
      <w:pPr>
        <w:ind w:left="6186" w:hanging="360"/>
      </w:pPr>
      <w:rPr>
        <w:rFonts w:ascii="Courier New" w:hAnsi="Courier New" w:cs="Courier New" w:hint="default"/>
      </w:rPr>
    </w:lvl>
    <w:lvl w:ilvl="8" w:tplc="08070005" w:tentative="1">
      <w:start w:val="1"/>
      <w:numFmt w:val="bullet"/>
      <w:lvlText w:val=""/>
      <w:lvlJc w:val="left"/>
      <w:pPr>
        <w:ind w:left="6906" w:hanging="360"/>
      </w:pPr>
      <w:rPr>
        <w:rFonts w:ascii="Wingdings" w:hAnsi="Wingdings" w:hint="default"/>
      </w:rPr>
    </w:lvl>
  </w:abstractNum>
  <w:abstractNum w:abstractNumId="62">
    <w:nsid w:val="6B1F420D"/>
    <w:multiLevelType w:val="hybridMultilevel"/>
    <w:tmpl w:val="7960D494"/>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63">
    <w:nsid w:val="6BD33B0D"/>
    <w:multiLevelType w:val="hybridMultilevel"/>
    <w:tmpl w:val="4424762C"/>
    <w:lvl w:ilvl="0" w:tplc="890623A4">
      <w:start w:val="1"/>
      <w:numFmt w:val="bullet"/>
      <w:lvlText w:val="-"/>
      <w:lvlJc w:val="left"/>
      <w:pPr>
        <w:ind w:left="720" w:hanging="360"/>
      </w:pPr>
      <w:rPr>
        <w:rFonts w:ascii="Book Antiqua" w:eastAsiaTheme="minorHAnsi" w:hAnsi="Book Antiqua"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64">
    <w:nsid w:val="6C9732B5"/>
    <w:multiLevelType w:val="hybridMultilevel"/>
    <w:tmpl w:val="EFE23190"/>
    <w:lvl w:ilvl="0" w:tplc="9760CA4E">
      <w:start w:val="1"/>
      <w:numFmt w:val="bullet"/>
      <w:lvlText w:val=""/>
      <w:lvlJc w:val="left"/>
      <w:pPr>
        <w:ind w:left="720" w:hanging="360"/>
      </w:pPr>
      <w:rPr>
        <w:rFonts w:ascii="Symbol" w:hAnsi="Symbol" w:hint="default"/>
      </w:rPr>
    </w:lvl>
    <w:lvl w:ilvl="1" w:tplc="9760CA4E">
      <w:start w:val="1"/>
      <w:numFmt w:val="bullet"/>
      <w:lvlText w:val=""/>
      <w:lvlJc w:val="left"/>
      <w:pPr>
        <w:ind w:left="1440" w:hanging="360"/>
      </w:pPr>
      <w:rPr>
        <w:rFonts w:ascii="Symbol" w:hAnsi="Symbol"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65">
    <w:nsid w:val="6D563B2E"/>
    <w:multiLevelType w:val="hybridMultilevel"/>
    <w:tmpl w:val="333E3E8A"/>
    <w:lvl w:ilvl="0" w:tplc="9760CA4E">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66">
    <w:nsid w:val="701C20A8"/>
    <w:multiLevelType w:val="hybridMultilevel"/>
    <w:tmpl w:val="13200D6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67">
    <w:nsid w:val="707F0538"/>
    <w:multiLevelType w:val="hybridMultilevel"/>
    <w:tmpl w:val="CDC498A4"/>
    <w:lvl w:ilvl="0" w:tplc="890623A4">
      <w:start w:val="1"/>
      <w:numFmt w:val="bullet"/>
      <w:lvlText w:val="-"/>
      <w:lvlJc w:val="left"/>
      <w:pPr>
        <w:ind w:left="1146" w:hanging="360"/>
      </w:pPr>
      <w:rPr>
        <w:rFonts w:ascii="Book Antiqua" w:eastAsiaTheme="minorHAnsi" w:hAnsi="Book Antiqua" w:cstheme="minorBidi" w:hint="default"/>
      </w:rPr>
    </w:lvl>
    <w:lvl w:ilvl="1" w:tplc="08070003" w:tentative="1">
      <w:start w:val="1"/>
      <w:numFmt w:val="bullet"/>
      <w:lvlText w:val="o"/>
      <w:lvlJc w:val="left"/>
      <w:pPr>
        <w:ind w:left="1866" w:hanging="360"/>
      </w:pPr>
      <w:rPr>
        <w:rFonts w:ascii="Courier New" w:hAnsi="Courier New" w:cs="Courier New" w:hint="default"/>
      </w:rPr>
    </w:lvl>
    <w:lvl w:ilvl="2" w:tplc="08070005" w:tentative="1">
      <w:start w:val="1"/>
      <w:numFmt w:val="bullet"/>
      <w:lvlText w:val=""/>
      <w:lvlJc w:val="left"/>
      <w:pPr>
        <w:ind w:left="2586" w:hanging="360"/>
      </w:pPr>
      <w:rPr>
        <w:rFonts w:ascii="Wingdings" w:hAnsi="Wingdings" w:hint="default"/>
      </w:rPr>
    </w:lvl>
    <w:lvl w:ilvl="3" w:tplc="08070001" w:tentative="1">
      <w:start w:val="1"/>
      <w:numFmt w:val="bullet"/>
      <w:lvlText w:val=""/>
      <w:lvlJc w:val="left"/>
      <w:pPr>
        <w:ind w:left="3306" w:hanging="360"/>
      </w:pPr>
      <w:rPr>
        <w:rFonts w:ascii="Symbol" w:hAnsi="Symbol" w:hint="default"/>
      </w:rPr>
    </w:lvl>
    <w:lvl w:ilvl="4" w:tplc="08070003" w:tentative="1">
      <w:start w:val="1"/>
      <w:numFmt w:val="bullet"/>
      <w:lvlText w:val="o"/>
      <w:lvlJc w:val="left"/>
      <w:pPr>
        <w:ind w:left="4026" w:hanging="360"/>
      </w:pPr>
      <w:rPr>
        <w:rFonts w:ascii="Courier New" w:hAnsi="Courier New" w:cs="Courier New" w:hint="default"/>
      </w:rPr>
    </w:lvl>
    <w:lvl w:ilvl="5" w:tplc="08070005" w:tentative="1">
      <w:start w:val="1"/>
      <w:numFmt w:val="bullet"/>
      <w:lvlText w:val=""/>
      <w:lvlJc w:val="left"/>
      <w:pPr>
        <w:ind w:left="4746" w:hanging="360"/>
      </w:pPr>
      <w:rPr>
        <w:rFonts w:ascii="Wingdings" w:hAnsi="Wingdings" w:hint="default"/>
      </w:rPr>
    </w:lvl>
    <w:lvl w:ilvl="6" w:tplc="08070001" w:tentative="1">
      <w:start w:val="1"/>
      <w:numFmt w:val="bullet"/>
      <w:lvlText w:val=""/>
      <w:lvlJc w:val="left"/>
      <w:pPr>
        <w:ind w:left="5466" w:hanging="360"/>
      </w:pPr>
      <w:rPr>
        <w:rFonts w:ascii="Symbol" w:hAnsi="Symbol" w:hint="default"/>
      </w:rPr>
    </w:lvl>
    <w:lvl w:ilvl="7" w:tplc="08070003" w:tentative="1">
      <w:start w:val="1"/>
      <w:numFmt w:val="bullet"/>
      <w:lvlText w:val="o"/>
      <w:lvlJc w:val="left"/>
      <w:pPr>
        <w:ind w:left="6186" w:hanging="360"/>
      </w:pPr>
      <w:rPr>
        <w:rFonts w:ascii="Courier New" w:hAnsi="Courier New" w:cs="Courier New" w:hint="default"/>
      </w:rPr>
    </w:lvl>
    <w:lvl w:ilvl="8" w:tplc="08070005" w:tentative="1">
      <w:start w:val="1"/>
      <w:numFmt w:val="bullet"/>
      <w:lvlText w:val=""/>
      <w:lvlJc w:val="left"/>
      <w:pPr>
        <w:ind w:left="6906" w:hanging="360"/>
      </w:pPr>
      <w:rPr>
        <w:rFonts w:ascii="Wingdings" w:hAnsi="Wingdings" w:hint="default"/>
      </w:rPr>
    </w:lvl>
  </w:abstractNum>
  <w:abstractNum w:abstractNumId="68">
    <w:nsid w:val="71C856F2"/>
    <w:multiLevelType w:val="hybridMultilevel"/>
    <w:tmpl w:val="B254F028"/>
    <w:lvl w:ilvl="0" w:tplc="0807000F">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69">
    <w:nsid w:val="73670386"/>
    <w:multiLevelType w:val="hybridMultilevel"/>
    <w:tmpl w:val="91782AEC"/>
    <w:lvl w:ilvl="0" w:tplc="9760CA4E">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70">
    <w:nsid w:val="747B751E"/>
    <w:multiLevelType w:val="hybridMultilevel"/>
    <w:tmpl w:val="AF947660"/>
    <w:lvl w:ilvl="0" w:tplc="9760CA4E">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71">
    <w:nsid w:val="7A444983"/>
    <w:multiLevelType w:val="hybridMultilevel"/>
    <w:tmpl w:val="DD7219A4"/>
    <w:lvl w:ilvl="0" w:tplc="9760CA4E">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72">
    <w:nsid w:val="7A5E33CA"/>
    <w:multiLevelType w:val="hybridMultilevel"/>
    <w:tmpl w:val="422E57E8"/>
    <w:lvl w:ilvl="0" w:tplc="08070001">
      <w:start w:val="1"/>
      <w:numFmt w:val="bullet"/>
      <w:lvlText w:val=""/>
      <w:lvlJc w:val="left"/>
      <w:pPr>
        <w:ind w:left="1069" w:hanging="360"/>
      </w:pPr>
      <w:rPr>
        <w:rFonts w:ascii="Symbol" w:hAnsi="Symbol" w:hint="default"/>
      </w:rPr>
    </w:lvl>
    <w:lvl w:ilvl="1" w:tplc="08070003">
      <w:start w:val="1"/>
      <w:numFmt w:val="bullet"/>
      <w:lvlText w:val="o"/>
      <w:lvlJc w:val="left"/>
      <w:pPr>
        <w:ind w:left="1789" w:hanging="360"/>
      </w:pPr>
      <w:rPr>
        <w:rFonts w:ascii="Courier New" w:hAnsi="Courier New" w:cs="Courier New" w:hint="default"/>
      </w:rPr>
    </w:lvl>
    <w:lvl w:ilvl="2" w:tplc="08070005" w:tentative="1">
      <w:start w:val="1"/>
      <w:numFmt w:val="bullet"/>
      <w:lvlText w:val=""/>
      <w:lvlJc w:val="left"/>
      <w:pPr>
        <w:ind w:left="2509" w:hanging="360"/>
      </w:pPr>
      <w:rPr>
        <w:rFonts w:ascii="Wingdings" w:hAnsi="Wingdings" w:hint="default"/>
      </w:rPr>
    </w:lvl>
    <w:lvl w:ilvl="3" w:tplc="08070001" w:tentative="1">
      <w:start w:val="1"/>
      <w:numFmt w:val="bullet"/>
      <w:lvlText w:val=""/>
      <w:lvlJc w:val="left"/>
      <w:pPr>
        <w:ind w:left="3229" w:hanging="360"/>
      </w:pPr>
      <w:rPr>
        <w:rFonts w:ascii="Symbol" w:hAnsi="Symbol" w:hint="default"/>
      </w:rPr>
    </w:lvl>
    <w:lvl w:ilvl="4" w:tplc="08070003" w:tentative="1">
      <w:start w:val="1"/>
      <w:numFmt w:val="bullet"/>
      <w:lvlText w:val="o"/>
      <w:lvlJc w:val="left"/>
      <w:pPr>
        <w:ind w:left="3949" w:hanging="360"/>
      </w:pPr>
      <w:rPr>
        <w:rFonts w:ascii="Courier New" w:hAnsi="Courier New" w:cs="Courier New" w:hint="default"/>
      </w:rPr>
    </w:lvl>
    <w:lvl w:ilvl="5" w:tplc="08070005" w:tentative="1">
      <w:start w:val="1"/>
      <w:numFmt w:val="bullet"/>
      <w:lvlText w:val=""/>
      <w:lvlJc w:val="left"/>
      <w:pPr>
        <w:ind w:left="4669" w:hanging="360"/>
      </w:pPr>
      <w:rPr>
        <w:rFonts w:ascii="Wingdings" w:hAnsi="Wingdings" w:hint="default"/>
      </w:rPr>
    </w:lvl>
    <w:lvl w:ilvl="6" w:tplc="08070001" w:tentative="1">
      <w:start w:val="1"/>
      <w:numFmt w:val="bullet"/>
      <w:lvlText w:val=""/>
      <w:lvlJc w:val="left"/>
      <w:pPr>
        <w:ind w:left="5389" w:hanging="360"/>
      </w:pPr>
      <w:rPr>
        <w:rFonts w:ascii="Symbol" w:hAnsi="Symbol" w:hint="default"/>
      </w:rPr>
    </w:lvl>
    <w:lvl w:ilvl="7" w:tplc="08070003" w:tentative="1">
      <w:start w:val="1"/>
      <w:numFmt w:val="bullet"/>
      <w:lvlText w:val="o"/>
      <w:lvlJc w:val="left"/>
      <w:pPr>
        <w:ind w:left="6109" w:hanging="360"/>
      </w:pPr>
      <w:rPr>
        <w:rFonts w:ascii="Courier New" w:hAnsi="Courier New" w:cs="Courier New" w:hint="default"/>
      </w:rPr>
    </w:lvl>
    <w:lvl w:ilvl="8" w:tplc="08070005" w:tentative="1">
      <w:start w:val="1"/>
      <w:numFmt w:val="bullet"/>
      <w:lvlText w:val=""/>
      <w:lvlJc w:val="left"/>
      <w:pPr>
        <w:ind w:left="6829" w:hanging="360"/>
      </w:pPr>
      <w:rPr>
        <w:rFonts w:ascii="Wingdings" w:hAnsi="Wingdings" w:hint="default"/>
      </w:rPr>
    </w:lvl>
  </w:abstractNum>
  <w:abstractNum w:abstractNumId="73">
    <w:nsid w:val="7C3721ED"/>
    <w:multiLevelType w:val="hybridMultilevel"/>
    <w:tmpl w:val="5F5224FA"/>
    <w:lvl w:ilvl="0" w:tplc="9760CA4E">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74">
    <w:nsid w:val="7FE84906"/>
    <w:multiLevelType w:val="hybridMultilevel"/>
    <w:tmpl w:val="5630CB48"/>
    <w:lvl w:ilvl="0" w:tplc="08070001">
      <w:start w:val="1"/>
      <w:numFmt w:val="bullet"/>
      <w:lvlText w:val=""/>
      <w:lvlJc w:val="left"/>
      <w:pPr>
        <w:ind w:left="1069" w:hanging="360"/>
      </w:pPr>
      <w:rPr>
        <w:rFonts w:ascii="Symbol" w:hAnsi="Symbol" w:hint="default"/>
      </w:rPr>
    </w:lvl>
    <w:lvl w:ilvl="1" w:tplc="08070003" w:tentative="1">
      <w:start w:val="1"/>
      <w:numFmt w:val="bullet"/>
      <w:lvlText w:val="o"/>
      <w:lvlJc w:val="left"/>
      <w:pPr>
        <w:ind w:left="1789" w:hanging="360"/>
      </w:pPr>
      <w:rPr>
        <w:rFonts w:ascii="Courier New" w:hAnsi="Courier New" w:cs="Courier New" w:hint="default"/>
      </w:rPr>
    </w:lvl>
    <w:lvl w:ilvl="2" w:tplc="08070005" w:tentative="1">
      <w:start w:val="1"/>
      <w:numFmt w:val="bullet"/>
      <w:lvlText w:val=""/>
      <w:lvlJc w:val="left"/>
      <w:pPr>
        <w:ind w:left="2509" w:hanging="360"/>
      </w:pPr>
      <w:rPr>
        <w:rFonts w:ascii="Wingdings" w:hAnsi="Wingdings" w:hint="default"/>
      </w:rPr>
    </w:lvl>
    <w:lvl w:ilvl="3" w:tplc="08070001" w:tentative="1">
      <w:start w:val="1"/>
      <w:numFmt w:val="bullet"/>
      <w:lvlText w:val=""/>
      <w:lvlJc w:val="left"/>
      <w:pPr>
        <w:ind w:left="3229" w:hanging="360"/>
      </w:pPr>
      <w:rPr>
        <w:rFonts w:ascii="Symbol" w:hAnsi="Symbol" w:hint="default"/>
      </w:rPr>
    </w:lvl>
    <w:lvl w:ilvl="4" w:tplc="08070003" w:tentative="1">
      <w:start w:val="1"/>
      <w:numFmt w:val="bullet"/>
      <w:lvlText w:val="o"/>
      <w:lvlJc w:val="left"/>
      <w:pPr>
        <w:ind w:left="3949" w:hanging="360"/>
      </w:pPr>
      <w:rPr>
        <w:rFonts w:ascii="Courier New" w:hAnsi="Courier New" w:cs="Courier New" w:hint="default"/>
      </w:rPr>
    </w:lvl>
    <w:lvl w:ilvl="5" w:tplc="08070005" w:tentative="1">
      <w:start w:val="1"/>
      <w:numFmt w:val="bullet"/>
      <w:lvlText w:val=""/>
      <w:lvlJc w:val="left"/>
      <w:pPr>
        <w:ind w:left="4669" w:hanging="360"/>
      </w:pPr>
      <w:rPr>
        <w:rFonts w:ascii="Wingdings" w:hAnsi="Wingdings" w:hint="default"/>
      </w:rPr>
    </w:lvl>
    <w:lvl w:ilvl="6" w:tplc="08070001" w:tentative="1">
      <w:start w:val="1"/>
      <w:numFmt w:val="bullet"/>
      <w:lvlText w:val=""/>
      <w:lvlJc w:val="left"/>
      <w:pPr>
        <w:ind w:left="5389" w:hanging="360"/>
      </w:pPr>
      <w:rPr>
        <w:rFonts w:ascii="Symbol" w:hAnsi="Symbol" w:hint="default"/>
      </w:rPr>
    </w:lvl>
    <w:lvl w:ilvl="7" w:tplc="08070003" w:tentative="1">
      <w:start w:val="1"/>
      <w:numFmt w:val="bullet"/>
      <w:lvlText w:val="o"/>
      <w:lvlJc w:val="left"/>
      <w:pPr>
        <w:ind w:left="6109" w:hanging="360"/>
      </w:pPr>
      <w:rPr>
        <w:rFonts w:ascii="Courier New" w:hAnsi="Courier New" w:cs="Courier New" w:hint="default"/>
      </w:rPr>
    </w:lvl>
    <w:lvl w:ilvl="8" w:tplc="08070005" w:tentative="1">
      <w:start w:val="1"/>
      <w:numFmt w:val="bullet"/>
      <w:lvlText w:val=""/>
      <w:lvlJc w:val="left"/>
      <w:pPr>
        <w:ind w:left="6829" w:hanging="360"/>
      </w:pPr>
      <w:rPr>
        <w:rFonts w:ascii="Wingdings" w:hAnsi="Wingdings" w:hint="default"/>
      </w:rPr>
    </w:lvl>
  </w:abstractNum>
  <w:num w:numId="1">
    <w:abstractNumId w:val="48"/>
  </w:num>
  <w:num w:numId="2">
    <w:abstractNumId w:val="69"/>
  </w:num>
  <w:num w:numId="3">
    <w:abstractNumId w:val="25"/>
  </w:num>
  <w:num w:numId="4">
    <w:abstractNumId w:val="37"/>
  </w:num>
  <w:num w:numId="5">
    <w:abstractNumId w:val="14"/>
  </w:num>
  <w:num w:numId="6">
    <w:abstractNumId w:val="58"/>
  </w:num>
  <w:num w:numId="7">
    <w:abstractNumId w:val="7"/>
  </w:num>
  <w:num w:numId="8">
    <w:abstractNumId w:val="42"/>
  </w:num>
  <w:num w:numId="9">
    <w:abstractNumId w:val="55"/>
  </w:num>
  <w:num w:numId="10">
    <w:abstractNumId w:val="22"/>
  </w:num>
  <w:num w:numId="11">
    <w:abstractNumId w:val="70"/>
  </w:num>
  <w:num w:numId="12">
    <w:abstractNumId w:val="10"/>
  </w:num>
  <w:num w:numId="13">
    <w:abstractNumId w:val="34"/>
  </w:num>
  <w:num w:numId="14">
    <w:abstractNumId w:val="71"/>
  </w:num>
  <w:num w:numId="15">
    <w:abstractNumId w:val="65"/>
  </w:num>
  <w:num w:numId="16">
    <w:abstractNumId w:val="26"/>
  </w:num>
  <w:num w:numId="17">
    <w:abstractNumId w:val="64"/>
  </w:num>
  <w:num w:numId="18">
    <w:abstractNumId w:val="21"/>
  </w:num>
  <w:num w:numId="19">
    <w:abstractNumId w:val="36"/>
  </w:num>
  <w:num w:numId="20">
    <w:abstractNumId w:val="50"/>
  </w:num>
  <w:num w:numId="21">
    <w:abstractNumId w:val="57"/>
  </w:num>
  <w:num w:numId="22">
    <w:abstractNumId w:val="24"/>
  </w:num>
  <w:num w:numId="23">
    <w:abstractNumId w:val="35"/>
  </w:num>
  <w:num w:numId="24">
    <w:abstractNumId w:val="59"/>
  </w:num>
  <w:num w:numId="25">
    <w:abstractNumId w:val="53"/>
  </w:num>
  <w:num w:numId="26">
    <w:abstractNumId w:val="61"/>
  </w:num>
  <w:num w:numId="27">
    <w:abstractNumId w:val="19"/>
  </w:num>
  <w:num w:numId="28">
    <w:abstractNumId w:val="67"/>
  </w:num>
  <w:num w:numId="29">
    <w:abstractNumId w:val="31"/>
  </w:num>
  <w:num w:numId="30">
    <w:abstractNumId w:val="13"/>
  </w:num>
  <w:num w:numId="31">
    <w:abstractNumId w:val="18"/>
  </w:num>
  <w:num w:numId="32">
    <w:abstractNumId w:val="16"/>
  </w:num>
  <w:num w:numId="33">
    <w:abstractNumId w:val="32"/>
  </w:num>
  <w:num w:numId="34">
    <w:abstractNumId w:val="8"/>
  </w:num>
  <w:num w:numId="35">
    <w:abstractNumId w:val="0"/>
    <w:lvlOverride w:ilvl="0">
      <w:lvl w:ilvl="0">
        <w:start w:val="65535"/>
        <w:numFmt w:val="bullet"/>
        <w:lvlText w:val="-"/>
        <w:legacy w:legacy="1" w:legacySpace="0" w:legacyIndent="235"/>
        <w:lvlJc w:val="left"/>
        <w:rPr>
          <w:rFonts w:ascii="Arial" w:hAnsi="Arial" w:hint="default"/>
        </w:rPr>
      </w:lvl>
    </w:lvlOverride>
  </w:num>
  <w:num w:numId="36">
    <w:abstractNumId w:val="0"/>
    <w:lvlOverride w:ilvl="0">
      <w:lvl w:ilvl="0">
        <w:start w:val="65535"/>
        <w:numFmt w:val="bullet"/>
        <w:lvlText w:val="-"/>
        <w:legacy w:legacy="1" w:legacySpace="0" w:legacyIndent="230"/>
        <w:lvlJc w:val="left"/>
        <w:rPr>
          <w:rFonts w:ascii="Arial" w:hAnsi="Arial" w:hint="default"/>
        </w:rPr>
      </w:lvl>
    </w:lvlOverride>
  </w:num>
  <w:num w:numId="37">
    <w:abstractNumId w:val="28"/>
  </w:num>
  <w:num w:numId="38">
    <w:abstractNumId w:val="47"/>
  </w:num>
  <w:num w:numId="39">
    <w:abstractNumId w:val="27"/>
  </w:num>
  <w:num w:numId="40">
    <w:abstractNumId w:val="30"/>
  </w:num>
  <w:num w:numId="41">
    <w:abstractNumId w:val="4"/>
  </w:num>
  <w:num w:numId="42">
    <w:abstractNumId w:val="60"/>
  </w:num>
  <w:num w:numId="43">
    <w:abstractNumId w:val="52"/>
  </w:num>
  <w:num w:numId="44">
    <w:abstractNumId w:val="54"/>
  </w:num>
  <w:num w:numId="45">
    <w:abstractNumId w:val="56"/>
  </w:num>
  <w:num w:numId="46">
    <w:abstractNumId w:val="39"/>
  </w:num>
  <w:num w:numId="47">
    <w:abstractNumId w:val="3"/>
  </w:num>
  <w:num w:numId="48">
    <w:abstractNumId w:val="51"/>
  </w:num>
  <w:num w:numId="49">
    <w:abstractNumId w:val="11"/>
  </w:num>
  <w:num w:numId="50">
    <w:abstractNumId w:val="44"/>
  </w:num>
  <w:num w:numId="51">
    <w:abstractNumId w:val="29"/>
  </w:num>
  <w:num w:numId="52">
    <w:abstractNumId w:val="6"/>
  </w:num>
  <w:num w:numId="53">
    <w:abstractNumId w:val="17"/>
  </w:num>
  <w:num w:numId="54">
    <w:abstractNumId w:val="45"/>
  </w:num>
  <w:num w:numId="55">
    <w:abstractNumId w:val="1"/>
  </w:num>
  <w:num w:numId="56">
    <w:abstractNumId w:val="9"/>
  </w:num>
  <w:num w:numId="57">
    <w:abstractNumId w:val="73"/>
  </w:num>
  <w:num w:numId="58">
    <w:abstractNumId w:val="43"/>
  </w:num>
  <w:num w:numId="59">
    <w:abstractNumId w:val="38"/>
  </w:num>
  <w:num w:numId="60">
    <w:abstractNumId w:val="68"/>
  </w:num>
  <w:num w:numId="61">
    <w:abstractNumId w:val="40"/>
  </w:num>
  <w:num w:numId="62">
    <w:abstractNumId w:val="74"/>
  </w:num>
  <w:num w:numId="63">
    <w:abstractNumId w:val="23"/>
  </w:num>
  <w:num w:numId="64">
    <w:abstractNumId w:val="72"/>
  </w:num>
  <w:num w:numId="65">
    <w:abstractNumId w:val="33"/>
  </w:num>
  <w:num w:numId="66">
    <w:abstractNumId w:val="46"/>
  </w:num>
  <w:num w:numId="67">
    <w:abstractNumId w:val="66"/>
  </w:num>
  <w:num w:numId="68">
    <w:abstractNumId w:val="49"/>
  </w:num>
  <w:num w:numId="69">
    <w:abstractNumId w:val="20"/>
  </w:num>
  <w:num w:numId="70">
    <w:abstractNumId w:val="15"/>
  </w:num>
  <w:num w:numId="71">
    <w:abstractNumId w:val="62"/>
  </w:num>
  <w:num w:numId="72">
    <w:abstractNumId w:val="63"/>
  </w:num>
  <w:num w:numId="73">
    <w:abstractNumId w:val="41"/>
  </w:num>
  <w:num w:numId="74">
    <w:abstractNumId w:val="5"/>
  </w:num>
  <w:num w:numId="75">
    <w:abstractNumId w:val="2"/>
  </w:num>
  <w:num w:numId="76">
    <w:abstractNumId w:val="12"/>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225"/>
  <w:embedTrueTypeFonts/>
  <w:embedSystemFonts/>
  <w:proofState w:spelling="clean" w:grammar="clean"/>
  <w:defaultTabStop w:val="709"/>
  <w:autoHyphenation/>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0E8F"/>
    <w:rsid w:val="000009FB"/>
    <w:rsid w:val="00011C20"/>
    <w:rsid w:val="00016883"/>
    <w:rsid w:val="0002266E"/>
    <w:rsid w:val="00023999"/>
    <w:rsid w:val="00036C42"/>
    <w:rsid w:val="000423D7"/>
    <w:rsid w:val="00044522"/>
    <w:rsid w:val="00046ACE"/>
    <w:rsid w:val="00047A0C"/>
    <w:rsid w:val="00050145"/>
    <w:rsid w:val="00053DBE"/>
    <w:rsid w:val="000540CC"/>
    <w:rsid w:val="0006427B"/>
    <w:rsid w:val="000645ED"/>
    <w:rsid w:val="000703FC"/>
    <w:rsid w:val="00073F5B"/>
    <w:rsid w:val="00075306"/>
    <w:rsid w:val="00075B9F"/>
    <w:rsid w:val="000843E5"/>
    <w:rsid w:val="000849CD"/>
    <w:rsid w:val="000A392A"/>
    <w:rsid w:val="000B0F97"/>
    <w:rsid w:val="000B0FB1"/>
    <w:rsid w:val="000B22B6"/>
    <w:rsid w:val="000B27E4"/>
    <w:rsid w:val="000B43BA"/>
    <w:rsid w:val="000B53C4"/>
    <w:rsid w:val="000B71BA"/>
    <w:rsid w:val="000C2271"/>
    <w:rsid w:val="000C4013"/>
    <w:rsid w:val="000C7DA1"/>
    <w:rsid w:val="000D0122"/>
    <w:rsid w:val="000D0347"/>
    <w:rsid w:val="000D03D8"/>
    <w:rsid w:val="000D13BF"/>
    <w:rsid w:val="000D6BA6"/>
    <w:rsid w:val="000E5940"/>
    <w:rsid w:val="000E683D"/>
    <w:rsid w:val="000F0275"/>
    <w:rsid w:val="000F1D9D"/>
    <w:rsid w:val="000F490E"/>
    <w:rsid w:val="000F5C43"/>
    <w:rsid w:val="000F5C64"/>
    <w:rsid w:val="0010172C"/>
    <w:rsid w:val="001019E0"/>
    <w:rsid w:val="0011211F"/>
    <w:rsid w:val="001122A1"/>
    <w:rsid w:val="001133E3"/>
    <w:rsid w:val="00115EE7"/>
    <w:rsid w:val="001162D4"/>
    <w:rsid w:val="0012391B"/>
    <w:rsid w:val="001255E1"/>
    <w:rsid w:val="00127824"/>
    <w:rsid w:val="00136AE0"/>
    <w:rsid w:val="00141BE4"/>
    <w:rsid w:val="00144705"/>
    <w:rsid w:val="001514B1"/>
    <w:rsid w:val="00153904"/>
    <w:rsid w:val="00154FD8"/>
    <w:rsid w:val="00155965"/>
    <w:rsid w:val="00160097"/>
    <w:rsid w:val="00161833"/>
    <w:rsid w:val="00166E29"/>
    <w:rsid w:val="001713D3"/>
    <w:rsid w:val="00171DC2"/>
    <w:rsid w:val="00184516"/>
    <w:rsid w:val="00185D99"/>
    <w:rsid w:val="00186639"/>
    <w:rsid w:val="001911C3"/>
    <w:rsid w:val="00194729"/>
    <w:rsid w:val="001A0092"/>
    <w:rsid w:val="001A1586"/>
    <w:rsid w:val="001A3FE8"/>
    <w:rsid w:val="001A4B68"/>
    <w:rsid w:val="001B0D90"/>
    <w:rsid w:val="001B3C76"/>
    <w:rsid w:val="001B5325"/>
    <w:rsid w:val="001D200D"/>
    <w:rsid w:val="001D3E89"/>
    <w:rsid w:val="001E1255"/>
    <w:rsid w:val="001E363A"/>
    <w:rsid w:val="001E5C19"/>
    <w:rsid w:val="001F15CC"/>
    <w:rsid w:val="001F6801"/>
    <w:rsid w:val="00201B7A"/>
    <w:rsid w:val="002021BA"/>
    <w:rsid w:val="00204B7E"/>
    <w:rsid w:val="00207DC6"/>
    <w:rsid w:val="002135DE"/>
    <w:rsid w:val="0021425A"/>
    <w:rsid w:val="0021446D"/>
    <w:rsid w:val="0021616F"/>
    <w:rsid w:val="002162A7"/>
    <w:rsid w:val="002258A3"/>
    <w:rsid w:val="002269AB"/>
    <w:rsid w:val="00226CA4"/>
    <w:rsid w:val="00227798"/>
    <w:rsid w:val="00227E95"/>
    <w:rsid w:val="00235B8F"/>
    <w:rsid w:val="00240417"/>
    <w:rsid w:val="002418F3"/>
    <w:rsid w:val="00246696"/>
    <w:rsid w:val="00247160"/>
    <w:rsid w:val="00247BC0"/>
    <w:rsid w:val="0026094D"/>
    <w:rsid w:val="00263019"/>
    <w:rsid w:val="002636DE"/>
    <w:rsid w:val="00263D49"/>
    <w:rsid w:val="00264316"/>
    <w:rsid w:val="00272E3E"/>
    <w:rsid w:val="00275192"/>
    <w:rsid w:val="00276C17"/>
    <w:rsid w:val="002775AC"/>
    <w:rsid w:val="00281235"/>
    <w:rsid w:val="00284C4D"/>
    <w:rsid w:val="00285A6D"/>
    <w:rsid w:val="00286F61"/>
    <w:rsid w:val="00291A49"/>
    <w:rsid w:val="00292987"/>
    <w:rsid w:val="00293FAA"/>
    <w:rsid w:val="00295D7B"/>
    <w:rsid w:val="002A0B5A"/>
    <w:rsid w:val="002A6825"/>
    <w:rsid w:val="002A73B3"/>
    <w:rsid w:val="002B2CEE"/>
    <w:rsid w:val="002C3802"/>
    <w:rsid w:val="002D276D"/>
    <w:rsid w:val="002D65AE"/>
    <w:rsid w:val="002E6C05"/>
    <w:rsid w:val="002F0DF8"/>
    <w:rsid w:val="002F185C"/>
    <w:rsid w:val="002F2CB0"/>
    <w:rsid w:val="002F6EBE"/>
    <w:rsid w:val="00303688"/>
    <w:rsid w:val="00303C37"/>
    <w:rsid w:val="003203BE"/>
    <w:rsid w:val="003229D4"/>
    <w:rsid w:val="003332A6"/>
    <w:rsid w:val="003372A6"/>
    <w:rsid w:val="003424E3"/>
    <w:rsid w:val="00343A9D"/>
    <w:rsid w:val="00344AD5"/>
    <w:rsid w:val="00345AAB"/>
    <w:rsid w:val="003463FE"/>
    <w:rsid w:val="003562AF"/>
    <w:rsid w:val="0036523F"/>
    <w:rsid w:val="00370647"/>
    <w:rsid w:val="00370A68"/>
    <w:rsid w:val="00373A0A"/>
    <w:rsid w:val="0037487C"/>
    <w:rsid w:val="003821FB"/>
    <w:rsid w:val="00383D9B"/>
    <w:rsid w:val="00383E61"/>
    <w:rsid w:val="003943C2"/>
    <w:rsid w:val="003A1695"/>
    <w:rsid w:val="003A41F5"/>
    <w:rsid w:val="003B01CE"/>
    <w:rsid w:val="003B5102"/>
    <w:rsid w:val="003C3AC9"/>
    <w:rsid w:val="003C4086"/>
    <w:rsid w:val="003C5EB8"/>
    <w:rsid w:val="003C6F8B"/>
    <w:rsid w:val="003C71AB"/>
    <w:rsid w:val="003C7967"/>
    <w:rsid w:val="003D005B"/>
    <w:rsid w:val="003D0343"/>
    <w:rsid w:val="003D7237"/>
    <w:rsid w:val="003E038E"/>
    <w:rsid w:val="003E4B98"/>
    <w:rsid w:val="003E7010"/>
    <w:rsid w:val="003F2E8D"/>
    <w:rsid w:val="003F4A7E"/>
    <w:rsid w:val="003F73F7"/>
    <w:rsid w:val="004009FE"/>
    <w:rsid w:val="00402A15"/>
    <w:rsid w:val="00403626"/>
    <w:rsid w:val="00404387"/>
    <w:rsid w:val="0040709A"/>
    <w:rsid w:val="00407824"/>
    <w:rsid w:val="004148D9"/>
    <w:rsid w:val="00414EE9"/>
    <w:rsid w:val="00422597"/>
    <w:rsid w:val="0042425C"/>
    <w:rsid w:val="004262D2"/>
    <w:rsid w:val="00426F07"/>
    <w:rsid w:val="004348B8"/>
    <w:rsid w:val="00440E84"/>
    <w:rsid w:val="00443FC9"/>
    <w:rsid w:val="00444C84"/>
    <w:rsid w:val="00446083"/>
    <w:rsid w:val="00450284"/>
    <w:rsid w:val="004502C3"/>
    <w:rsid w:val="004534AB"/>
    <w:rsid w:val="00455592"/>
    <w:rsid w:val="00460A05"/>
    <w:rsid w:val="00460F0B"/>
    <w:rsid w:val="00460FE4"/>
    <w:rsid w:val="0046410C"/>
    <w:rsid w:val="00474AD5"/>
    <w:rsid w:val="00477E89"/>
    <w:rsid w:val="00490E8F"/>
    <w:rsid w:val="00491067"/>
    <w:rsid w:val="00495F0A"/>
    <w:rsid w:val="004A2B8A"/>
    <w:rsid w:val="004A49FD"/>
    <w:rsid w:val="004A52C6"/>
    <w:rsid w:val="004B3E7C"/>
    <w:rsid w:val="004B4839"/>
    <w:rsid w:val="004B63AA"/>
    <w:rsid w:val="004B6B73"/>
    <w:rsid w:val="004B7DF3"/>
    <w:rsid w:val="004C380E"/>
    <w:rsid w:val="004C7474"/>
    <w:rsid w:val="004D571D"/>
    <w:rsid w:val="004D6703"/>
    <w:rsid w:val="004D6FE6"/>
    <w:rsid w:val="004D79F0"/>
    <w:rsid w:val="004E47CE"/>
    <w:rsid w:val="004E5247"/>
    <w:rsid w:val="004E576A"/>
    <w:rsid w:val="004E6633"/>
    <w:rsid w:val="004F29CE"/>
    <w:rsid w:val="004F38EF"/>
    <w:rsid w:val="004F3F4D"/>
    <w:rsid w:val="00501E9A"/>
    <w:rsid w:val="00520DAA"/>
    <w:rsid w:val="005240E6"/>
    <w:rsid w:val="005249C2"/>
    <w:rsid w:val="005377CD"/>
    <w:rsid w:val="0054038E"/>
    <w:rsid w:val="00552106"/>
    <w:rsid w:val="0055346B"/>
    <w:rsid w:val="00561ABB"/>
    <w:rsid w:val="00565934"/>
    <w:rsid w:val="00566A86"/>
    <w:rsid w:val="00574918"/>
    <w:rsid w:val="005759BE"/>
    <w:rsid w:val="005810E6"/>
    <w:rsid w:val="00583438"/>
    <w:rsid w:val="005844CD"/>
    <w:rsid w:val="00584BE9"/>
    <w:rsid w:val="005859A6"/>
    <w:rsid w:val="00587774"/>
    <w:rsid w:val="005969BF"/>
    <w:rsid w:val="00597A21"/>
    <w:rsid w:val="005A0F80"/>
    <w:rsid w:val="005A29E2"/>
    <w:rsid w:val="005B0708"/>
    <w:rsid w:val="005B0AC0"/>
    <w:rsid w:val="005C1A20"/>
    <w:rsid w:val="005C2568"/>
    <w:rsid w:val="005C3F17"/>
    <w:rsid w:val="005D6857"/>
    <w:rsid w:val="005D70F9"/>
    <w:rsid w:val="005E088B"/>
    <w:rsid w:val="005E1954"/>
    <w:rsid w:val="005E212D"/>
    <w:rsid w:val="005E4F6E"/>
    <w:rsid w:val="005F15DA"/>
    <w:rsid w:val="005F259B"/>
    <w:rsid w:val="005F6375"/>
    <w:rsid w:val="005F7786"/>
    <w:rsid w:val="006037D9"/>
    <w:rsid w:val="0060424A"/>
    <w:rsid w:val="0060434B"/>
    <w:rsid w:val="00612A54"/>
    <w:rsid w:val="00615ADD"/>
    <w:rsid w:val="0062514D"/>
    <w:rsid w:val="006354D3"/>
    <w:rsid w:val="00636AA2"/>
    <w:rsid w:val="0064032B"/>
    <w:rsid w:val="006440CD"/>
    <w:rsid w:val="00651AD5"/>
    <w:rsid w:val="00654D6E"/>
    <w:rsid w:val="00655D1B"/>
    <w:rsid w:val="00656BDE"/>
    <w:rsid w:val="006615B1"/>
    <w:rsid w:val="00661CA4"/>
    <w:rsid w:val="006646DA"/>
    <w:rsid w:val="00680D48"/>
    <w:rsid w:val="00681D81"/>
    <w:rsid w:val="006854CB"/>
    <w:rsid w:val="00686ED6"/>
    <w:rsid w:val="00686F78"/>
    <w:rsid w:val="00694603"/>
    <w:rsid w:val="006947F4"/>
    <w:rsid w:val="006A1D52"/>
    <w:rsid w:val="006A4279"/>
    <w:rsid w:val="006A575C"/>
    <w:rsid w:val="006A5FCA"/>
    <w:rsid w:val="006A68B9"/>
    <w:rsid w:val="006B393B"/>
    <w:rsid w:val="006B42F9"/>
    <w:rsid w:val="006B636F"/>
    <w:rsid w:val="006D0363"/>
    <w:rsid w:val="006D32F2"/>
    <w:rsid w:val="006E0D33"/>
    <w:rsid w:val="006E186F"/>
    <w:rsid w:val="006F2D89"/>
    <w:rsid w:val="006F565D"/>
    <w:rsid w:val="007003B5"/>
    <w:rsid w:val="007047E9"/>
    <w:rsid w:val="00706278"/>
    <w:rsid w:val="007101B5"/>
    <w:rsid w:val="007147BA"/>
    <w:rsid w:val="0072116B"/>
    <w:rsid w:val="00721652"/>
    <w:rsid w:val="00722A51"/>
    <w:rsid w:val="0073412D"/>
    <w:rsid w:val="00735CCF"/>
    <w:rsid w:val="007371BD"/>
    <w:rsid w:val="00737A6C"/>
    <w:rsid w:val="00742022"/>
    <w:rsid w:val="00744BA4"/>
    <w:rsid w:val="00746175"/>
    <w:rsid w:val="00747920"/>
    <w:rsid w:val="00753F51"/>
    <w:rsid w:val="00755473"/>
    <w:rsid w:val="0075569A"/>
    <w:rsid w:val="00755E48"/>
    <w:rsid w:val="00760946"/>
    <w:rsid w:val="00765B7D"/>
    <w:rsid w:val="00765BCA"/>
    <w:rsid w:val="0076718A"/>
    <w:rsid w:val="00767C01"/>
    <w:rsid w:val="0078495D"/>
    <w:rsid w:val="0078629A"/>
    <w:rsid w:val="007A0BE8"/>
    <w:rsid w:val="007A0DD6"/>
    <w:rsid w:val="007A17D1"/>
    <w:rsid w:val="007C4324"/>
    <w:rsid w:val="007D2ED9"/>
    <w:rsid w:val="007E5651"/>
    <w:rsid w:val="007E7631"/>
    <w:rsid w:val="007F28BD"/>
    <w:rsid w:val="007F2F8C"/>
    <w:rsid w:val="007F6819"/>
    <w:rsid w:val="007F76B1"/>
    <w:rsid w:val="00810E9B"/>
    <w:rsid w:val="0081111F"/>
    <w:rsid w:val="00830AC0"/>
    <w:rsid w:val="00830CE6"/>
    <w:rsid w:val="008315CD"/>
    <w:rsid w:val="00831AC1"/>
    <w:rsid w:val="0084277D"/>
    <w:rsid w:val="008525A0"/>
    <w:rsid w:val="008574C5"/>
    <w:rsid w:val="00861D85"/>
    <w:rsid w:val="00865210"/>
    <w:rsid w:val="008664CE"/>
    <w:rsid w:val="0087044E"/>
    <w:rsid w:val="00873801"/>
    <w:rsid w:val="00874C5F"/>
    <w:rsid w:val="00882D49"/>
    <w:rsid w:val="008851FF"/>
    <w:rsid w:val="008931CD"/>
    <w:rsid w:val="00894D53"/>
    <w:rsid w:val="0089759B"/>
    <w:rsid w:val="0089771D"/>
    <w:rsid w:val="008B6034"/>
    <w:rsid w:val="008C1D44"/>
    <w:rsid w:val="008C2B92"/>
    <w:rsid w:val="008C73C8"/>
    <w:rsid w:val="008E2210"/>
    <w:rsid w:val="008E24C5"/>
    <w:rsid w:val="008F0A4F"/>
    <w:rsid w:val="008F6147"/>
    <w:rsid w:val="008F6D3A"/>
    <w:rsid w:val="00901F5A"/>
    <w:rsid w:val="00902C4B"/>
    <w:rsid w:val="00906BEF"/>
    <w:rsid w:val="009121BD"/>
    <w:rsid w:val="00916047"/>
    <w:rsid w:val="00916289"/>
    <w:rsid w:val="009165D0"/>
    <w:rsid w:val="009256BB"/>
    <w:rsid w:val="009263DA"/>
    <w:rsid w:val="00934384"/>
    <w:rsid w:val="009362D6"/>
    <w:rsid w:val="009416F5"/>
    <w:rsid w:val="009457AB"/>
    <w:rsid w:val="00945B2D"/>
    <w:rsid w:val="00945F6A"/>
    <w:rsid w:val="00947451"/>
    <w:rsid w:val="00952242"/>
    <w:rsid w:val="00954075"/>
    <w:rsid w:val="0096212C"/>
    <w:rsid w:val="009626A4"/>
    <w:rsid w:val="00963D86"/>
    <w:rsid w:val="00965BEF"/>
    <w:rsid w:val="00976655"/>
    <w:rsid w:val="009805AC"/>
    <w:rsid w:val="00984218"/>
    <w:rsid w:val="00986BD8"/>
    <w:rsid w:val="009934D4"/>
    <w:rsid w:val="00996AA9"/>
    <w:rsid w:val="009B0454"/>
    <w:rsid w:val="009B260E"/>
    <w:rsid w:val="009B2702"/>
    <w:rsid w:val="009B4F39"/>
    <w:rsid w:val="009B5292"/>
    <w:rsid w:val="009B6968"/>
    <w:rsid w:val="009C30EF"/>
    <w:rsid w:val="009C56AA"/>
    <w:rsid w:val="009C6E34"/>
    <w:rsid w:val="009D34F3"/>
    <w:rsid w:val="009D595C"/>
    <w:rsid w:val="009D6177"/>
    <w:rsid w:val="009D780A"/>
    <w:rsid w:val="009F26EB"/>
    <w:rsid w:val="009F318D"/>
    <w:rsid w:val="00A00A63"/>
    <w:rsid w:val="00A0239B"/>
    <w:rsid w:val="00A0555A"/>
    <w:rsid w:val="00A1007A"/>
    <w:rsid w:val="00A1089D"/>
    <w:rsid w:val="00A11594"/>
    <w:rsid w:val="00A119DD"/>
    <w:rsid w:val="00A11CE1"/>
    <w:rsid w:val="00A160B7"/>
    <w:rsid w:val="00A2301C"/>
    <w:rsid w:val="00A237EC"/>
    <w:rsid w:val="00A312DD"/>
    <w:rsid w:val="00A34C6E"/>
    <w:rsid w:val="00A37976"/>
    <w:rsid w:val="00A40E8B"/>
    <w:rsid w:val="00A4659C"/>
    <w:rsid w:val="00A506A5"/>
    <w:rsid w:val="00A50DE4"/>
    <w:rsid w:val="00A52E66"/>
    <w:rsid w:val="00A54235"/>
    <w:rsid w:val="00A572AC"/>
    <w:rsid w:val="00A61317"/>
    <w:rsid w:val="00A62729"/>
    <w:rsid w:val="00A81A8B"/>
    <w:rsid w:val="00A822AD"/>
    <w:rsid w:val="00A8276A"/>
    <w:rsid w:val="00A8575C"/>
    <w:rsid w:val="00AA0C1A"/>
    <w:rsid w:val="00AB2ADE"/>
    <w:rsid w:val="00AB3DA7"/>
    <w:rsid w:val="00AB5961"/>
    <w:rsid w:val="00AB6DDD"/>
    <w:rsid w:val="00AB759E"/>
    <w:rsid w:val="00AC041C"/>
    <w:rsid w:val="00AC06C7"/>
    <w:rsid w:val="00AC3A25"/>
    <w:rsid w:val="00AC49CC"/>
    <w:rsid w:val="00AC6674"/>
    <w:rsid w:val="00AD2132"/>
    <w:rsid w:val="00AD24D1"/>
    <w:rsid w:val="00AD2C6A"/>
    <w:rsid w:val="00AE40BF"/>
    <w:rsid w:val="00AE6D4D"/>
    <w:rsid w:val="00B11D0F"/>
    <w:rsid w:val="00B240D8"/>
    <w:rsid w:val="00B363D1"/>
    <w:rsid w:val="00B368EA"/>
    <w:rsid w:val="00B37298"/>
    <w:rsid w:val="00B42245"/>
    <w:rsid w:val="00B430A4"/>
    <w:rsid w:val="00B438E5"/>
    <w:rsid w:val="00B4581F"/>
    <w:rsid w:val="00B51338"/>
    <w:rsid w:val="00B519DA"/>
    <w:rsid w:val="00B51F09"/>
    <w:rsid w:val="00B566C9"/>
    <w:rsid w:val="00B6534F"/>
    <w:rsid w:val="00B67624"/>
    <w:rsid w:val="00B72354"/>
    <w:rsid w:val="00B771A4"/>
    <w:rsid w:val="00B80BE3"/>
    <w:rsid w:val="00B828BF"/>
    <w:rsid w:val="00B87953"/>
    <w:rsid w:val="00B92DCD"/>
    <w:rsid w:val="00B96E57"/>
    <w:rsid w:val="00BA0090"/>
    <w:rsid w:val="00BA3415"/>
    <w:rsid w:val="00BA3675"/>
    <w:rsid w:val="00BB2E2B"/>
    <w:rsid w:val="00BC554F"/>
    <w:rsid w:val="00BD25CE"/>
    <w:rsid w:val="00BD2D5B"/>
    <w:rsid w:val="00BD4128"/>
    <w:rsid w:val="00BD45C4"/>
    <w:rsid w:val="00BE3DF7"/>
    <w:rsid w:val="00BE42EF"/>
    <w:rsid w:val="00BE7060"/>
    <w:rsid w:val="00BF2639"/>
    <w:rsid w:val="00BF2E6B"/>
    <w:rsid w:val="00BF6897"/>
    <w:rsid w:val="00C03270"/>
    <w:rsid w:val="00C060B8"/>
    <w:rsid w:val="00C06114"/>
    <w:rsid w:val="00C0637F"/>
    <w:rsid w:val="00C07999"/>
    <w:rsid w:val="00C07F4F"/>
    <w:rsid w:val="00C2120C"/>
    <w:rsid w:val="00C21987"/>
    <w:rsid w:val="00C223AE"/>
    <w:rsid w:val="00C2758A"/>
    <w:rsid w:val="00C278A1"/>
    <w:rsid w:val="00C30DFF"/>
    <w:rsid w:val="00C342F9"/>
    <w:rsid w:val="00C34FB1"/>
    <w:rsid w:val="00C351C5"/>
    <w:rsid w:val="00C37245"/>
    <w:rsid w:val="00C40159"/>
    <w:rsid w:val="00C4252E"/>
    <w:rsid w:val="00C47611"/>
    <w:rsid w:val="00C573FB"/>
    <w:rsid w:val="00C6205A"/>
    <w:rsid w:val="00C63288"/>
    <w:rsid w:val="00C64023"/>
    <w:rsid w:val="00C64C8C"/>
    <w:rsid w:val="00C65888"/>
    <w:rsid w:val="00C66E67"/>
    <w:rsid w:val="00C67891"/>
    <w:rsid w:val="00C75EBB"/>
    <w:rsid w:val="00C809B1"/>
    <w:rsid w:val="00C856BE"/>
    <w:rsid w:val="00C86A0C"/>
    <w:rsid w:val="00C91A21"/>
    <w:rsid w:val="00C9333A"/>
    <w:rsid w:val="00C949E6"/>
    <w:rsid w:val="00C94A37"/>
    <w:rsid w:val="00C9668F"/>
    <w:rsid w:val="00CA1358"/>
    <w:rsid w:val="00CA403B"/>
    <w:rsid w:val="00CA4690"/>
    <w:rsid w:val="00CA60D4"/>
    <w:rsid w:val="00CA68CC"/>
    <w:rsid w:val="00CA6A7D"/>
    <w:rsid w:val="00CB7320"/>
    <w:rsid w:val="00CB78D3"/>
    <w:rsid w:val="00CC4B98"/>
    <w:rsid w:val="00CC4FD8"/>
    <w:rsid w:val="00CC6FE4"/>
    <w:rsid w:val="00CD06B3"/>
    <w:rsid w:val="00CD3923"/>
    <w:rsid w:val="00CD3B9D"/>
    <w:rsid w:val="00CE4374"/>
    <w:rsid w:val="00CE5056"/>
    <w:rsid w:val="00CF04FF"/>
    <w:rsid w:val="00CF4202"/>
    <w:rsid w:val="00D017C7"/>
    <w:rsid w:val="00D01F37"/>
    <w:rsid w:val="00D069BF"/>
    <w:rsid w:val="00D172F7"/>
    <w:rsid w:val="00D23DB9"/>
    <w:rsid w:val="00D24037"/>
    <w:rsid w:val="00D24DD7"/>
    <w:rsid w:val="00D36078"/>
    <w:rsid w:val="00D36E6C"/>
    <w:rsid w:val="00D40B35"/>
    <w:rsid w:val="00D454FC"/>
    <w:rsid w:val="00D50139"/>
    <w:rsid w:val="00D502D5"/>
    <w:rsid w:val="00D50B8C"/>
    <w:rsid w:val="00D6095B"/>
    <w:rsid w:val="00D61B75"/>
    <w:rsid w:val="00D728DA"/>
    <w:rsid w:val="00D73A95"/>
    <w:rsid w:val="00D7448B"/>
    <w:rsid w:val="00D8219C"/>
    <w:rsid w:val="00D91079"/>
    <w:rsid w:val="00D929B2"/>
    <w:rsid w:val="00D94CDF"/>
    <w:rsid w:val="00D95E54"/>
    <w:rsid w:val="00DA00AC"/>
    <w:rsid w:val="00DA6940"/>
    <w:rsid w:val="00DA7957"/>
    <w:rsid w:val="00DB4E21"/>
    <w:rsid w:val="00DC71DA"/>
    <w:rsid w:val="00DD01EC"/>
    <w:rsid w:val="00DD17F5"/>
    <w:rsid w:val="00DD75D0"/>
    <w:rsid w:val="00DD7C09"/>
    <w:rsid w:val="00DE2D3D"/>
    <w:rsid w:val="00DE4FA2"/>
    <w:rsid w:val="00DE536B"/>
    <w:rsid w:val="00DF17FD"/>
    <w:rsid w:val="00DF1A70"/>
    <w:rsid w:val="00DF5A42"/>
    <w:rsid w:val="00DF7827"/>
    <w:rsid w:val="00E0344D"/>
    <w:rsid w:val="00E123A2"/>
    <w:rsid w:val="00E15737"/>
    <w:rsid w:val="00E211E5"/>
    <w:rsid w:val="00E22288"/>
    <w:rsid w:val="00E254A5"/>
    <w:rsid w:val="00E35220"/>
    <w:rsid w:val="00E36E8F"/>
    <w:rsid w:val="00E40D09"/>
    <w:rsid w:val="00E40D1C"/>
    <w:rsid w:val="00E448F7"/>
    <w:rsid w:val="00E472F8"/>
    <w:rsid w:val="00E535F7"/>
    <w:rsid w:val="00E541FE"/>
    <w:rsid w:val="00E54319"/>
    <w:rsid w:val="00E60AFC"/>
    <w:rsid w:val="00E64EFA"/>
    <w:rsid w:val="00E64FCD"/>
    <w:rsid w:val="00E67662"/>
    <w:rsid w:val="00E7289D"/>
    <w:rsid w:val="00E72E2E"/>
    <w:rsid w:val="00E83859"/>
    <w:rsid w:val="00E84738"/>
    <w:rsid w:val="00E85608"/>
    <w:rsid w:val="00E8560B"/>
    <w:rsid w:val="00E85E05"/>
    <w:rsid w:val="00E86E68"/>
    <w:rsid w:val="00E87849"/>
    <w:rsid w:val="00E87987"/>
    <w:rsid w:val="00E90D39"/>
    <w:rsid w:val="00E92C9B"/>
    <w:rsid w:val="00EA0228"/>
    <w:rsid w:val="00EA3801"/>
    <w:rsid w:val="00EA593E"/>
    <w:rsid w:val="00EB2DC7"/>
    <w:rsid w:val="00ED5466"/>
    <w:rsid w:val="00EE0A0C"/>
    <w:rsid w:val="00EE198B"/>
    <w:rsid w:val="00EE7FA3"/>
    <w:rsid w:val="00EF02F3"/>
    <w:rsid w:val="00F001AD"/>
    <w:rsid w:val="00F00458"/>
    <w:rsid w:val="00F02B48"/>
    <w:rsid w:val="00F11B70"/>
    <w:rsid w:val="00F133D9"/>
    <w:rsid w:val="00F210AE"/>
    <w:rsid w:val="00F23677"/>
    <w:rsid w:val="00F26F4B"/>
    <w:rsid w:val="00F307B4"/>
    <w:rsid w:val="00F327CA"/>
    <w:rsid w:val="00F36146"/>
    <w:rsid w:val="00F374CD"/>
    <w:rsid w:val="00F42C97"/>
    <w:rsid w:val="00F52B0B"/>
    <w:rsid w:val="00F57350"/>
    <w:rsid w:val="00F65BAB"/>
    <w:rsid w:val="00F910D1"/>
    <w:rsid w:val="00F92FB6"/>
    <w:rsid w:val="00F93070"/>
    <w:rsid w:val="00F931E7"/>
    <w:rsid w:val="00F93A44"/>
    <w:rsid w:val="00F93E94"/>
    <w:rsid w:val="00FA24C7"/>
    <w:rsid w:val="00FA6DFA"/>
    <w:rsid w:val="00FB0994"/>
    <w:rsid w:val="00FB1B88"/>
    <w:rsid w:val="00FB258F"/>
    <w:rsid w:val="00FC0965"/>
    <w:rsid w:val="00FC20B4"/>
    <w:rsid w:val="00FC4BCF"/>
    <w:rsid w:val="00FC5B59"/>
    <w:rsid w:val="00FC6EBD"/>
    <w:rsid w:val="00FD01FC"/>
    <w:rsid w:val="00FD5228"/>
    <w:rsid w:val="00FE3F8C"/>
    <w:rsid w:val="00FE4AEB"/>
    <w:rsid w:val="00FF2197"/>
    <w:rsid w:val="00FF58FC"/>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Book Antiqua" w:eastAsiaTheme="minorHAnsi" w:hAnsi="Book Antiqua" w:cstheme="minorBidi"/>
        <w:sz w:val="24"/>
        <w:szCs w:val="24"/>
        <w:lang w:val="de-CH"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lsdException w:name="Strong" w:semiHidden="0" w:uiPriority="22" w:unhideWhenUsed="0" w:qFormat="1"/>
    <w:lsdException w:name="Emphasis" w:semiHidden="0" w:uiPriority="20" w:unhideWhenUsed="0"/>
    <w:lsdException w:name="Balloon Text" w:uiPriority="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FB258F"/>
    <w:pPr>
      <w:spacing w:after="0"/>
    </w:pPr>
    <w:rPr>
      <w:rFonts w:ascii="Arial" w:hAnsi="Arial"/>
      <w:sz w:val="22"/>
    </w:rPr>
  </w:style>
  <w:style w:type="paragraph" w:styleId="berschrift1">
    <w:name w:val="heading 1"/>
    <w:basedOn w:val="Standard"/>
    <w:next w:val="Standard"/>
    <w:link w:val="berschrift1Zchn"/>
    <w:qFormat/>
    <w:rsid w:val="006615B1"/>
    <w:pPr>
      <w:keepNext/>
      <w:keepLines/>
      <w:spacing w:before="480" w:line="240" w:lineRule="auto"/>
      <w:outlineLvl w:val="0"/>
    </w:pPr>
    <w:rPr>
      <w:rFonts w:eastAsiaTheme="majorEastAsia" w:cstheme="majorBidi"/>
      <w:b/>
      <w:bCs/>
      <w:color w:val="000000" w:themeColor="text1"/>
      <w:sz w:val="48"/>
      <w:szCs w:val="28"/>
    </w:rPr>
  </w:style>
  <w:style w:type="paragraph" w:styleId="berschrift2">
    <w:name w:val="heading 2"/>
    <w:basedOn w:val="Standard"/>
    <w:next w:val="Standard"/>
    <w:link w:val="berschrift2Zchn"/>
    <w:unhideWhenUsed/>
    <w:qFormat/>
    <w:rsid w:val="00E36E8F"/>
    <w:pPr>
      <w:keepNext/>
      <w:keepLines/>
      <w:tabs>
        <w:tab w:val="left" w:pos="851"/>
      </w:tabs>
      <w:spacing w:line="240" w:lineRule="auto"/>
      <w:outlineLvl w:val="1"/>
    </w:pPr>
    <w:rPr>
      <w:rFonts w:eastAsiaTheme="majorEastAsia" w:cstheme="majorBidi"/>
      <w:b/>
      <w:bCs/>
      <w:color w:val="000000" w:themeColor="text1"/>
      <w:sz w:val="32"/>
      <w:szCs w:val="26"/>
    </w:rPr>
  </w:style>
  <w:style w:type="paragraph" w:styleId="berschrift3">
    <w:name w:val="heading 3"/>
    <w:basedOn w:val="Standard"/>
    <w:next w:val="Standard"/>
    <w:link w:val="berschrift3Zchn"/>
    <w:qFormat/>
    <w:rsid w:val="005759BE"/>
    <w:pPr>
      <w:keepNext/>
      <w:widowControl w:val="0"/>
      <w:tabs>
        <w:tab w:val="left" w:pos="426"/>
      </w:tabs>
      <w:autoSpaceDE w:val="0"/>
      <w:autoSpaceDN w:val="0"/>
      <w:adjustRightInd w:val="0"/>
      <w:spacing w:line="240" w:lineRule="auto"/>
      <w:outlineLvl w:val="2"/>
    </w:pPr>
    <w:rPr>
      <w:rFonts w:eastAsia="Times New Roman" w:cs="Arial"/>
      <w:b/>
      <w:bCs/>
      <w:color w:val="000000" w:themeColor="text1"/>
      <w:spacing w:val="-7"/>
      <w:sz w:val="28"/>
      <w:szCs w:val="28"/>
      <w:lang w:val="de-DE" w:eastAsia="de-DE"/>
    </w:rPr>
  </w:style>
  <w:style w:type="paragraph" w:styleId="berschrift4">
    <w:name w:val="heading 4"/>
    <w:basedOn w:val="Standard"/>
    <w:next w:val="Standard"/>
    <w:link w:val="berschrift4Zchn"/>
    <w:unhideWhenUsed/>
    <w:qFormat/>
    <w:rsid w:val="00264316"/>
    <w:pPr>
      <w:keepNext/>
      <w:keepLines/>
      <w:spacing w:line="240" w:lineRule="auto"/>
      <w:ind w:left="425" w:hanging="425"/>
      <w:outlineLvl w:val="3"/>
    </w:pPr>
    <w:rPr>
      <w:rFonts w:eastAsiaTheme="majorEastAsia" w:cstheme="majorBidi"/>
      <w:b/>
      <w:bCs/>
      <w:iCs/>
      <w:color w:val="000000" w:themeColor="text1"/>
      <w:sz w:val="24"/>
    </w:rPr>
  </w:style>
  <w:style w:type="paragraph" w:styleId="berschrift5">
    <w:name w:val="heading 5"/>
    <w:basedOn w:val="Standard"/>
    <w:next w:val="Standard"/>
    <w:link w:val="berschrift5Zchn"/>
    <w:uiPriority w:val="9"/>
    <w:unhideWhenUsed/>
    <w:qFormat/>
    <w:rsid w:val="006615B1"/>
    <w:pPr>
      <w:keepNext/>
      <w:keepLines/>
      <w:ind w:left="850" w:hanging="425"/>
      <w:outlineLvl w:val="4"/>
    </w:pPr>
    <w:rPr>
      <w:rFonts w:eastAsiaTheme="majorEastAsia" w:cstheme="majorBidi"/>
      <w:b/>
      <w:color w:val="000000" w:themeColor="text1"/>
    </w:rPr>
  </w:style>
  <w:style w:type="paragraph" w:styleId="berschrift6">
    <w:name w:val="heading 6"/>
    <w:basedOn w:val="berschrift5"/>
    <w:next w:val="Standard"/>
    <w:link w:val="berschrift6Zchn"/>
    <w:uiPriority w:val="9"/>
    <w:unhideWhenUsed/>
    <w:qFormat/>
    <w:rsid w:val="00CA60D4"/>
    <w:pPr>
      <w:tabs>
        <w:tab w:val="left" w:pos="1701"/>
      </w:tabs>
      <w:ind w:left="993" w:firstLine="1"/>
      <w:outlineLvl w:val="5"/>
    </w:pPr>
  </w:style>
  <w:style w:type="paragraph" w:styleId="berschrift7">
    <w:name w:val="heading 7"/>
    <w:basedOn w:val="Standard"/>
    <w:next w:val="Standard"/>
    <w:link w:val="berschrift7Zchn"/>
    <w:uiPriority w:val="9"/>
    <w:unhideWhenUsed/>
    <w:qFormat/>
    <w:rsid w:val="00A312DD"/>
    <w:pPr>
      <w:tabs>
        <w:tab w:val="left" w:pos="1843"/>
      </w:tabs>
      <w:ind w:left="993"/>
      <w:outlineLvl w:val="6"/>
    </w:pPr>
    <w:rPr>
      <w:b/>
      <w:bCs/>
      <w:spacing w:val="-5"/>
      <w:szCs w:val="22"/>
    </w:rPr>
  </w:style>
  <w:style w:type="paragraph" w:styleId="berschrift8">
    <w:name w:val="heading 8"/>
    <w:basedOn w:val="berschrift7"/>
    <w:next w:val="Standard"/>
    <w:link w:val="berschrift8Zchn"/>
    <w:uiPriority w:val="9"/>
    <w:unhideWhenUsed/>
    <w:qFormat/>
    <w:rsid w:val="005C3F17"/>
    <w:pPr>
      <w:tabs>
        <w:tab w:val="clear" w:pos="1843"/>
        <w:tab w:val="left" w:pos="2410"/>
      </w:tabs>
      <w:ind w:left="1560"/>
      <w:outlineLvl w:val="7"/>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755E48"/>
    <w:pPr>
      <w:ind w:left="720"/>
      <w:contextualSpacing/>
    </w:pPr>
  </w:style>
  <w:style w:type="paragraph" w:styleId="Sprechblasentext">
    <w:name w:val="Balloon Text"/>
    <w:basedOn w:val="Standard"/>
    <w:link w:val="SprechblasentextZchn"/>
    <w:semiHidden/>
    <w:unhideWhenUsed/>
    <w:rsid w:val="003F2E8D"/>
    <w:pPr>
      <w:spacing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3F2E8D"/>
    <w:rPr>
      <w:rFonts w:ascii="Tahoma" w:hAnsi="Tahoma" w:cs="Tahoma"/>
      <w:sz w:val="16"/>
      <w:szCs w:val="16"/>
    </w:rPr>
  </w:style>
  <w:style w:type="paragraph" w:styleId="Funotentext">
    <w:name w:val="footnote text"/>
    <w:basedOn w:val="Standard"/>
    <w:link w:val="FunotentextZchn"/>
    <w:uiPriority w:val="99"/>
    <w:semiHidden/>
    <w:unhideWhenUsed/>
    <w:rsid w:val="00D95E54"/>
    <w:pPr>
      <w:spacing w:line="240" w:lineRule="auto"/>
    </w:pPr>
    <w:rPr>
      <w:sz w:val="20"/>
      <w:szCs w:val="20"/>
    </w:rPr>
  </w:style>
  <w:style w:type="character" w:customStyle="1" w:styleId="FunotentextZchn">
    <w:name w:val="Fußnotentext Zchn"/>
    <w:basedOn w:val="Absatz-Standardschriftart"/>
    <w:link w:val="Funotentext"/>
    <w:uiPriority w:val="99"/>
    <w:semiHidden/>
    <w:rsid w:val="00D95E54"/>
    <w:rPr>
      <w:sz w:val="20"/>
      <w:szCs w:val="20"/>
    </w:rPr>
  </w:style>
  <w:style w:type="character" w:styleId="Funotenzeichen">
    <w:name w:val="footnote reference"/>
    <w:basedOn w:val="Absatz-Standardschriftart"/>
    <w:uiPriority w:val="99"/>
    <w:semiHidden/>
    <w:unhideWhenUsed/>
    <w:rsid w:val="00D95E54"/>
    <w:rPr>
      <w:vertAlign w:val="superscript"/>
    </w:rPr>
  </w:style>
  <w:style w:type="paragraph" w:styleId="Kopfzeile">
    <w:name w:val="header"/>
    <w:basedOn w:val="Standard"/>
    <w:link w:val="KopfzeileZchn"/>
    <w:unhideWhenUsed/>
    <w:rsid w:val="00345AAB"/>
    <w:pPr>
      <w:tabs>
        <w:tab w:val="center" w:pos="4536"/>
        <w:tab w:val="right" w:pos="9072"/>
      </w:tabs>
      <w:spacing w:line="240" w:lineRule="auto"/>
    </w:pPr>
  </w:style>
  <w:style w:type="character" w:customStyle="1" w:styleId="KopfzeileZchn">
    <w:name w:val="Kopfzeile Zchn"/>
    <w:basedOn w:val="Absatz-Standardschriftart"/>
    <w:link w:val="Kopfzeile"/>
    <w:uiPriority w:val="99"/>
    <w:rsid w:val="00345AAB"/>
  </w:style>
  <w:style w:type="paragraph" w:styleId="Fuzeile">
    <w:name w:val="footer"/>
    <w:basedOn w:val="Standard"/>
    <w:link w:val="FuzeileZchn"/>
    <w:unhideWhenUsed/>
    <w:rsid w:val="00345AAB"/>
    <w:pPr>
      <w:tabs>
        <w:tab w:val="center" w:pos="4536"/>
        <w:tab w:val="right" w:pos="9072"/>
      </w:tabs>
      <w:spacing w:line="240" w:lineRule="auto"/>
    </w:pPr>
  </w:style>
  <w:style w:type="character" w:customStyle="1" w:styleId="FuzeileZchn">
    <w:name w:val="Fußzeile Zchn"/>
    <w:basedOn w:val="Absatz-Standardschriftart"/>
    <w:link w:val="Fuzeile"/>
    <w:uiPriority w:val="99"/>
    <w:rsid w:val="00345AAB"/>
  </w:style>
  <w:style w:type="character" w:customStyle="1" w:styleId="berschrift3Zchn">
    <w:name w:val="Überschrift 3 Zchn"/>
    <w:basedOn w:val="Absatz-Standardschriftart"/>
    <w:link w:val="berschrift3"/>
    <w:rsid w:val="005759BE"/>
    <w:rPr>
      <w:rFonts w:ascii="Arial" w:eastAsia="Times New Roman" w:hAnsi="Arial" w:cs="Arial"/>
      <w:b/>
      <w:bCs/>
      <w:color w:val="000000" w:themeColor="text1"/>
      <w:spacing w:val="-7"/>
      <w:sz w:val="28"/>
      <w:szCs w:val="28"/>
      <w:lang w:val="de-DE" w:eastAsia="de-DE"/>
    </w:rPr>
  </w:style>
  <w:style w:type="character" w:customStyle="1" w:styleId="berschrift1Zchn">
    <w:name w:val="Überschrift 1 Zchn"/>
    <w:basedOn w:val="Absatz-Standardschriftart"/>
    <w:link w:val="berschrift1"/>
    <w:uiPriority w:val="9"/>
    <w:rsid w:val="006615B1"/>
    <w:rPr>
      <w:rFonts w:ascii="Arial" w:eastAsiaTheme="majorEastAsia" w:hAnsi="Arial" w:cstheme="majorBidi"/>
      <w:b/>
      <w:bCs/>
      <w:color w:val="000000" w:themeColor="text1"/>
      <w:sz w:val="48"/>
      <w:szCs w:val="28"/>
    </w:rPr>
  </w:style>
  <w:style w:type="character" w:customStyle="1" w:styleId="berschrift2Zchn">
    <w:name w:val="Überschrift 2 Zchn"/>
    <w:basedOn w:val="Absatz-Standardschriftart"/>
    <w:link w:val="berschrift2"/>
    <w:rsid w:val="00E36E8F"/>
    <w:rPr>
      <w:rFonts w:ascii="Arial" w:eastAsiaTheme="majorEastAsia" w:hAnsi="Arial" w:cstheme="majorBidi"/>
      <w:b/>
      <w:bCs/>
      <w:color w:val="000000" w:themeColor="text1"/>
      <w:sz w:val="32"/>
      <w:szCs w:val="26"/>
    </w:rPr>
  </w:style>
  <w:style w:type="paragraph" w:styleId="Inhaltsverzeichnisberschrift">
    <w:name w:val="TOC Heading"/>
    <w:basedOn w:val="berschrift1"/>
    <w:next w:val="Standard"/>
    <w:uiPriority w:val="39"/>
    <w:semiHidden/>
    <w:unhideWhenUsed/>
    <w:qFormat/>
    <w:rsid w:val="0064032B"/>
    <w:pPr>
      <w:outlineLvl w:val="9"/>
    </w:pPr>
    <w:rPr>
      <w:rFonts w:asciiTheme="majorHAnsi" w:hAnsiTheme="majorHAnsi"/>
      <w:sz w:val="28"/>
      <w:lang w:eastAsia="de-CH"/>
    </w:rPr>
  </w:style>
  <w:style w:type="paragraph" w:styleId="Verzeichnis3">
    <w:name w:val="toc 3"/>
    <w:basedOn w:val="Standard"/>
    <w:next w:val="Standard"/>
    <w:autoRedefine/>
    <w:uiPriority w:val="39"/>
    <w:unhideWhenUsed/>
    <w:rsid w:val="009626A4"/>
    <w:pPr>
      <w:tabs>
        <w:tab w:val="left" w:pos="851"/>
        <w:tab w:val="right" w:leader="dot" w:pos="9152"/>
      </w:tabs>
      <w:spacing w:after="100"/>
      <w:ind w:left="440"/>
    </w:pPr>
  </w:style>
  <w:style w:type="character" w:styleId="Hyperlink">
    <w:name w:val="Hyperlink"/>
    <w:basedOn w:val="Absatz-Standardschriftart"/>
    <w:uiPriority w:val="99"/>
    <w:unhideWhenUsed/>
    <w:rsid w:val="0064032B"/>
    <w:rPr>
      <w:color w:val="0000FF" w:themeColor="hyperlink"/>
      <w:u w:val="single"/>
    </w:rPr>
  </w:style>
  <w:style w:type="paragraph" w:styleId="Verzeichnis1">
    <w:name w:val="toc 1"/>
    <w:basedOn w:val="Standard"/>
    <w:next w:val="Standard"/>
    <w:autoRedefine/>
    <w:uiPriority w:val="39"/>
    <w:unhideWhenUsed/>
    <w:rsid w:val="00460A05"/>
    <w:pPr>
      <w:spacing w:after="100"/>
    </w:pPr>
  </w:style>
  <w:style w:type="character" w:customStyle="1" w:styleId="berschrift4Zchn">
    <w:name w:val="Überschrift 4 Zchn"/>
    <w:basedOn w:val="Absatz-Standardschriftart"/>
    <w:link w:val="berschrift4"/>
    <w:uiPriority w:val="9"/>
    <w:rsid w:val="00264316"/>
    <w:rPr>
      <w:rFonts w:ascii="Arial" w:eastAsiaTheme="majorEastAsia" w:hAnsi="Arial" w:cstheme="majorBidi"/>
      <w:b/>
      <w:bCs/>
      <w:iCs/>
      <w:color w:val="000000" w:themeColor="text1"/>
    </w:rPr>
  </w:style>
  <w:style w:type="paragraph" w:styleId="Verzeichnis2">
    <w:name w:val="toc 2"/>
    <w:basedOn w:val="Standard"/>
    <w:next w:val="Standard"/>
    <w:autoRedefine/>
    <w:uiPriority w:val="39"/>
    <w:unhideWhenUsed/>
    <w:rsid w:val="00460A05"/>
    <w:pPr>
      <w:spacing w:after="100"/>
      <w:ind w:left="220"/>
    </w:pPr>
  </w:style>
  <w:style w:type="character" w:customStyle="1" w:styleId="berschrift5Zchn">
    <w:name w:val="Überschrift 5 Zchn"/>
    <w:basedOn w:val="Absatz-Standardschriftart"/>
    <w:link w:val="berschrift5"/>
    <w:uiPriority w:val="9"/>
    <w:rsid w:val="006615B1"/>
    <w:rPr>
      <w:rFonts w:ascii="Arial" w:eastAsiaTheme="majorEastAsia" w:hAnsi="Arial" w:cstheme="majorBidi"/>
      <w:b/>
      <w:color w:val="000000" w:themeColor="text1"/>
      <w:sz w:val="22"/>
    </w:rPr>
  </w:style>
  <w:style w:type="character" w:styleId="Seitenzahl">
    <w:name w:val="page number"/>
    <w:basedOn w:val="Absatz-Standardschriftart"/>
    <w:rsid w:val="005D70F9"/>
  </w:style>
  <w:style w:type="paragraph" w:customStyle="1" w:styleId="StandardBlock">
    <w:name w:val="Standard + Block"/>
    <w:aliases w:val="Links:  0.75 cm,Vor:  4.3 pt,Zeilenabstand:  Genau 12 pt"/>
    <w:basedOn w:val="Standard"/>
    <w:rsid w:val="005D70F9"/>
    <w:pPr>
      <w:widowControl w:val="0"/>
      <w:tabs>
        <w:tab w:val="left" w:pos="426"/>
        <w:tab w:val="left" w:pos="851"/>
        <w:tab w:val="left" w:pos="1276"/>
      </w:tabs>
      <w:autoSpaceDE w:val="0"/>
      <w:autoSpaceDN w:val="0"/>
      <w:adjustRightInd w:val="0"/>
      <w:spacing w:before="86" w:line="240" w:lineRule="exact"/>
      <w:ind w:left="426"/>
      <w:jc w:val="both"/>
    </w:pPr>
    <w:rPr>
      <w:rFonts w:eastAsia="Times New Roman" w:cs="Arial"/>
      <w:sz w:val="20"/>
      <w:szCs w:val="20"/>
      <w:lang w:eastAsia="de-DE"/>
    </w:rPr>
  </w:style>
  <w:style w:type="paragraph" w:styleId="Titel">
    <w:name w:val="Title"/>
    <w:basedOn w:val="Standard"/>
    <w:next w:val="Standard"/>
    <w:link w:val="TitelZchn"/>
    <w:uiPriority w:val="10"/>
    <w:qFormat/>
    <w:rsid w:val="0012391B"/>
    <w:pPr>
      <w:spacing w:line="715" w:lineRule="exact"/>
    </w:pPr>
    <w:rPr>
      <w:b/>
      <w:bCs/>
      <w:spacing w:val="-25"/>
      <w:position w:val="3"/>
      <w:sz w:val="72"/>
      <w:szCs w:val="72"/>
    </w:rPr>
  </w:style>
  <w:style w:type="character" w:customStyle="1" w:styleId="TitelZchn">
    <w:name w:val="Titel Zchn"/>
    <w:basedOn w:val="Absatz-Standardschriftart"/>
    <w:link w:val="Titel"/>
    <w:uiPriority w:val="10"/>
    <w:rsid w:val="0012391B"/>
    <w:rPr>
      <w:rFonts w:ascii="Arial" w:hAnsi="Arial"/>
      <w:b/>
      <w:bCs/>
      <w:spacing w:val="-25"/>
      <w:position w:val="3"/>
      <w:sz w:val="72"/>
      <w:szCs w:val="72"/>
    </w:rPr>
  </w:style>
  <w:style w:type="character" w:styleId="Buchtitel">
    <w:name w:val="Book Title"/>
    <w:uiPriority w:val="33"/>
    <w:qFormat/>
    <w:rsid w:val="0012391B"/>
    <w:rPr>
      <w:b/>
      <w:bCs/>
      <w:spacing w:val="-5"/>
      <w:sz w:val="44"/>
      <w:szCs w:val="44"/>
    </w:rPr>
  </w:style>
  <w:style w:type="character" w:customStyle="1" w:styleId="berschrift6Zchn">
    <w:name w:val="Überschrift 6 Zchn"/>
    <w:basedOn w:val="Absatz-Standardschriftart"/>
    <w:link w:val="berschrift6"/>
    <w:uiPriority w:val="9"/>
    <w:rsid w:val="00CA60D4"/>
    <w:rPr>
      <w:rFonts w:ascii="Arial" w:eastAsiaTheme="majorEastAsia" w:hAnsi="Arial" w:cstheme="majorBidi"/>
      <w:b/>
      <w:color w:val="000000" w:themeColor="text1"/>
      <w:sz w:val="22"/>
    </w:rPr>
  </w:style>
  <w:style w:type="character" w:customStyle="1" w:styleId="berschrift7Zchn">
    <w:name w:val="Überschrift 7 Zchn"/>
    <w:basedOn w:val="Absatz-Standardschriftart"/>
    <w:link w:val="berschrift7"/>
    <w:uiPriority w:val="9"/>
    <w:rsid w:val="00A312DD"/>
    <w:rPr>
      <w:rFonts w:ascii="Arial" w:hAnsi="Arial"/>
      <w:b/>
      <w:bCs/>
      <w:spacing w:val="-5"/>
      <w:sz w:val="22"/>
      <w:szCs w:val="22"/>
    </w:rPr>
  </w:style>
  <w:style w:type="paragraph" w:styleId="Verzeichnis4">
    <w:name w:val="toc 4"/>
    <w:basedOn w:val="Standard"/>
    <w:next w:val="Standard"/>
    <w:autoRedefine/>
    <w:uiPriority w:val="39"/>
    <w:unhideWhenUsed/>
    <w:rsid w:val="00E85E05"/>
    <w:pPr>
      <w:spacing w:after="100"/>
      <w:ind w:left="660"/>
    </w:pPr>
    <w:rPr>
      <w:rFonts w:asciiTheme="minorHAnsi" w:eastAsiaTheme="minorEastAsia" w:hAnsiTheme="minorHAnsi"/>
      <w:szCs w:val="22"/>
      <w:lang w:eastAsia="de-CH"/>
    </w:rPr>
  </w:style>
  <w:style w:type="paragraph" w:styleId="Verzeichnis5">
    <w:name w:val="toc 5"/>
    <w:basedOn w:val="Standard"/>
    <w:next w:val="Standard"/>
    <w:autoRedefine/>
    <w:uiPriority w:val="39"/>
    <w:unhideWhenUsed/>
    <w:rsid w:val="00E85E05"/>
    <w:pPr>
      <w:spacing w:after="100"/>
      <w:ind w:left="880"/>
    </w:pPr>
    <w:rPr>
      <w:rFonts w:asciiTheme="minorHAnsi" w:eastAsiaTheme="minorEastAsia" w:hAnsiTheme="minorHAnsi"/>
      <w:szCs w:val="22"/>
      <w:lang w:eastAsia="de-CH"/>
    </w:rPr>
  </w:style>
  <w:style w:type="paragraph" w:styleId="Verzeichnis6">
    <w:name w:val="toc 6"/>
    <w:basedOn w:val="Standard"/>
    <w:next w:val="Standard"/>
    <w:autoRedefine/>
    <w:uiPriority w:val="39"/>
    <w:unhideWhenUsed/>
    <w:rsid w:val="00E85E05"/>
    <w:pPr>
      <w:spacing w:after="100"/>
      <w:ind w:left="1100"/>
    </w:pPr>
    <w:rPr>
      <w:rFonts w:asciiTheme="minorHAnsi" w:eastAsiaTheme="minorEastAsia" w:hAnsiTheme="minorHAnsi"/>
      <w:szCs w:val="22"/>
      <w:lang w:eastAsia="de-CH"/>
    </w:rPr>
  </w:style>
  <w:style w:type="paragraph" w:styleId="Verzeichnis7">
    <w:name w:val="toc 7"/>
    <w:basedOn w:val="Standard"/>
    <w:next w:val="Standard"/>
    <w:autoRedefine/>
    <w:uiPriority w:val="39"/>
    <w:unhideWhenUsed/>
    <w:rsid w:val="00E85E05"/>
    <w:pPr>
      <w:spacing w:after="100"/>
      <w:ind w:left="1320"/>
    </w:pPr>
    <w:rPr>
      <w:rFonts w:asciiTheme="minorHAnsi" w:eastAsiaTheme="minorEastAsia" w:hAnsiTheme="minorHAnsi"/>
      <w:szCs w:val="22"/>
      <w:lang w:eastAsia="de-CH"/>
    </w:rPr>
  </w:style>
  <w:style w:type="paragraph" w:styleId="Verzeichnis8">
    <w:name w:val="toc 8"/>
    <w:basedOn w:val="Standard"/>
    <w:next w:val="Standard"/>
    <w:autoRedefine/>
    <w:uiPriority w:val="39"/>
    <w:unhideWhenUsed/>
    <w:rsid w:val="00E85E05"/>
    <w:pPr>
      <w:spacing w:after="100"/>
      <w:ind w:left="1540"/>
    </w:pPr>
    <w:rPr>
      <w:rFonts w:asciiTheme="minorHAnsi" w:eastAsiaTheme="minorEastAsia" w:hAnsiTheme="minorHAnsi"/>
      <w:szCs w:val="22"/>
      <w:lang w:eastAsia="de-CH"/>
    </w:rPr>
  </w:style>
  <w:style w:type="paragraph" w:styleId="Verzeichnis9">
    <w:name w:val="toc 9"/>
    <w:basedOn w:val="Standard"/>
    <w:next w:val="Standard"/>
    <w:autoRedefine/>
    <w:uiPriority w:val="39"/>
    <w:unhideWhenUsed/>
    <w:rsid w:val="00E85E05"/>
    <w:pPr>
      <w:spacing w:after="100"/>
      <w:ind w:left="1760"/>
    </w:pPr>
    <w:rPr>
      <w:rFonts w:asciiTheme="minorHAnsi" w:eastAsiaTheme="minorEastAsia" w:hAnsiTheme="minorHAnsi"/>
      <w:szCs w:val="22"/>
      <w:lang w:eastAsia="de-CH"/>
    </w:rPr>
  </w:style>
  <w:style w:type="character" w:customStyle="1" w:styleId="berschrift8Zchn">
    <w:name w:val="Überschrift 8 Zchn"/>
    <w:basedOn w:val="Absatz-Standardschriftart"/>
    <w:link w:val="berschrift8"/>
    <w:uiPriority w:val="9"/>
    <w:rsid w:val="005C3F17"/>
    <w:rPr>
      <w:rFonts w:ascii="Arial" w:hAnsi="Arial"/>
      <w:b/>
      <w:bCs/>
      <w:spacing w:val="-5"/>
      <w:sz w:val="22"/>
      <w:szCs w:val="22"/>
    </w:rPr>
  </w:style>
  <w:style w:type="paragraph" w:customStyle="1" w:styleId="Default">
    <w:name w:val="Default"/>
    <w:rsid w:val="00CD3923"/>
    <w:pPr>
      <w:widowControl w:val="0"/>
      <w:autoSpaceDE w:val="0"/>
      <w:autoSpaceDN w:val="0"/>
      <w:adjustRightInd w:val="0"/>
      <w:spacing w:after="0" w:line="240" w:lineRule="auto"/>
    </w:pPr>
    <w:rPr>
      <w:rFonts w:ascii="Arial" w:eastAsiaTheme="minorEastAsia" w:hAnsi="Arial" w:cs="Arial"/>
      <w:color w:val="000000"/>
      <w:lang w:eastAsia="de-CH"/>
    </w:rPr>
  </w:style>
  <w:style w:type="paragraph" w:styleId="Textkrper">
    <w:name w:val="Body Text"/>
    <w:basedOn w:val="Standard"/>
    <w:link w:val="TextkrperZchn"/>
    <w:rsid w:val="00902C4B"/>
    <w:pPr>
      <w:overflowPunct w:val="0"/>
      <w:autoSpaceDE w:val="0"/>
      <w:autoSpaceDN w:val="0"/>
      <w:adjustRightInd w:val="0"/>
      <w:spacing w:after="120" w:line="240" w:lineRule="auto"/>
      <w:textAlignment w:val="baseline"/>
    </w:pPr>
    <w:rPr>
      <w:rFonts w:ascii="Book Antiqua" w:eastAsia="Times New Roman" w:hAnsi="Book Antiqua" w:cs="Times New Roman"/>
      <w:sz w:val="24"/>
      <w:szCs w:val="20"/>
      <w:lang w:eastAsia="de-CH"/>
    </w:rPr>
  </w:style>
  <w:style w:type="character" w:customStyle="1" w:styleId="TextkrperZchn">
    <w:name w:val="Textkörper Zchn"/>
    <w:basedOn w:val="Absatz-Standardschriftart"/>
    <w:link w:val="Textkrper"/>
    <w:rsid w:val="00902C4B"/>
    <w:rPr>
      <w:rFonts w:eastAsia="Times New Roman" w:cs="Times New Roman"/>
      <w:szCs w:val="20"/>
      <w:lang w:eastAsia="de-CH"/>
    </w:rPr>
  </w:style>
  <w:style w:type="paragraph" w:customStyle="1" w:styleId="Betreff">
    <w:name w:val="Betreff"/>
    <w:basedOn w:val="Standard"/>
    <w:next w:val="Standard"/>
    <w:rsid w:val="00902C4B"/>
    <w:pPr>
      <w:tabs>
        <w:tab w:val="left" w:pos="5800"/>
      </w:tabs>
      <w:overflowPunct w:val="0"/>
      <w:autoSpaceDE w:val="0"/>
      <w:autoSpaceDN w:val="0"/>
      <w:adjustRightInd w:val="0"/>
      <w:spacing w:before="480" w:after="480" w:line="240" w:lineRule="auto"/>
      <w:textAlignment w:val="baseline"/>
    </w:pPr>
    <w:rPr>
      <w:rFonts w:ascii="Helv" w:eastAsia="Times New Roman" w:hAnsi="Helv" w:cs="Times New Roman"/>
      <w:b/>
      <w:sz w:val="24"/>
      <w:szCs w:val="20"/>
      <w:lang w:val="de-DE" w:eastAsia="de-CH"/>
    </w:rPr>
  </w:style>
  <w:style w:type="paragraph" w:customStyle="1" w:styleId="Textkrper21">
    <w:name w:val="Textkörper 21"/>
    <w:basedOn w:val="Standard"/>
    <w:rsid w:val="00C67891"/>
    <w:pPr>
      <w:tabs>
        <w:tab w:val="left" w:pos="1080"/>
      </w:tabs>
      <w:overflowPunct w:val="0"/>
      <w:autoSpaceDE w:val="0"/>
      <w:autoSpaceDN w:val="0"/>
      <w:adjustRightInd w:val="0"/>
      <w:spacing w:line="240" w:lineRule="auto"/>
      <w:ind w:left="540" w:hanging="540"/>
      <w:textAlignment w:val="baseline"/>
    </w:pPr>
    <w:rPr>
      <w:rFonts w:ascii="Book Antiqua" w:eastAsia="Times New Roman" w:hAnsi="Book Antiqua" w:cs="Times New Roman"/>
      <w:sz w:val="24"/>
      <w:lang w:eastAsia="de-CH"/>
    </w:rPr>
  </w:style>
  <w:style w:type="paragraph" w:customStyle="1" w:styleId="BetreffA">
    <w:name w:val="BetreffA"/>
    <w:basedOn w:val="Standard"/>
    <w:rsid w:val="001D200D"/>
    <w:pPr>
      <w:tabs>
        <w:tab w:val="left" w:pos="5387"/>
      </w:tabs>
      <w:overflowPunct w:val="0"/>
      <w:autoSpaceDE w:val="0"/>
      <w:autoSpaceDN w:val="0"/>
      <w:adjustRightInd w:val="0"/>
      <w:spacing w:before="240" w:after="240" w:line="240" w:lineRule="auto"/>
      <w:textAlignment w:val="baseline"/>
    </w:pPr>
    <w:rPr>
      <w:rFonts w:ascii="Helv" w:eastAsia="Times New Roman" w:hAnsi="Helv" w:cs="Times New Roman"/>
      <w:b/>
      <w:sz w:val="28"/>
      <w:szCs w:val="20"/>
      <w:lang w:eastAsia="de-D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Book Antiqua" w:eastAsiaTheme="minorHAnsi" w:hAnsi="Book Antiqua" w:cstheme="minorBidi"/>
        <w:sz w:val="24"/>
        <w:szCs w:val="24"/>
        <w:lang w:val="de-CH"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lsdException w:name="Strong" w:semiHidden="0" w:uiPriority="22" w:unhideWhenUsed="0" w:qFormat="1"/>
    <w:lsdException w:name="Emphasis" w:semiHidden="0" w:uiPriority="20" w:unhideWhenUsed="0"/>
    <w:lsdException w:name="Balloon Text" w:uiPriority="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FB258F"/>
    <w:pPr>
      <w:spacing w:after="0"/>
    </w:pPr>
    <w:rPr>
      <w:rFonts w:ascii="Arial" w:hAnsi="Arial"/>
      <w:sz w:val="22"/>
    </w:rPr>
  </w:style>
  <w:style w:type="paragraph" w:styleId="berschrift1">
    <w:name w:val="heading 1"/>
    <w:basedOn w:val="Standard"/>
    <w:next w:val="Standard"/>
    <w:link w:val="berschrift1Zchn"/>
    <w:qFormat/>
    <w:rsid w:val="006615B1"/>
    <w:pPr>
      <w:keepNext/>
      <w:keepLines/>
      <w:spacing w:before="480" w:line="240" w:lineRule="auto"/>
      <w:outlineLvl w:val="0"/>
    </w:pPr>
    <w:rPr>
      <w:rFonts w:eastAsiaTheme="majorEastAsia" w:cstheme="majorBidi"/>
      <w:b/>
      <w:bCs/>
      <w:color w:val="000000" w:themeColor="text1"/>
      <w:sz w:val="48"/>
      <w:szCs w:val="28"/>
    </w:rPr>
  </w:style>
  <w:style w:type="paragraph" w:styleId="berschrift2">
    <w:name w:val="heading 2"/>
    <w:basedOn w:val="Standard"/>
    <w:next w:val="Standard"/>
    <w:link w:val="berschrift2Zchn"/>
    <w:unhideWhenUsed/>
    <w:qFormat/>
    <w:rsid w:val="00E36E8F"/>
    <w:pPr>
      <w:keepNext/>
      <w:keepLines/>
      <w:tabs>
        <w:tab w:val="left" w:pos="851"/>
      </w:tabs>
      <w:spacing w:line="240" w:lineRule="auto"/>
      <w:outlineLvl w:val="1"/>
    </w:pPr>
    <w:rPr>
      <w:rFonts w:eastAsiaTheme="majorEastAsia" w:cstheme="majorBidi"/>
      <w:b/>
      <w:bCs/>
      <w:color w:val="000000" w:themeColor="text1"/>
      <w:sz w:val="32"/>
      <w:szCs w:val="26"/>
    </w:rPr>
  </w:style>
  <w:style w:type="paragraph" w:styleId="berschrift3">
    <w:name w:val="heading 3"/>
    <w:basedOn w:val="Standard"/>
    <w:next w:val="Standard"/>
    <w:link w:val="berschrift3Zchn"/>
    <w:qFormat/>
    <w:rsid w:val="005759BE"/>
    <w:pPr>
      <w:keepNext/>
      <w:widowControl w:val="0"/>
      <w:tabs>
        <w:tab w:val="left" w:pos="426"/>
      </w:tabs>
      <w:autoSpaceDE w:val="0"/>
      <w:autoSpaceDN w:val="0"/>
      <w:adjustRightInd w:val="0"/>
      <w:spacing w:line="240" w:lineRule="auto"/>
      <w:outlineLvl w:val="2"/>
    </w:pPr>
    <w:rPr>
      <w:rFonts w:eastAsia="Times New Roman" w:cs="Arial"/>
      <w:b/>
      <w:bCs/>
      <w:color w:val="000000" w:themeColor="text1"/>
      <w:spacing w:val="-7"/>
      <w:sz w:val="28"/>
      <w:szCs w:val="28"/>
      <w:lang w:val="de-DE" w:eastAsia="de-DE"/>
    </w:rPr>
  </w:style>
  <w:style w:type="paragraph" w:styleId="berschrift4">
    <w:name w:val="heading 4"/>
    <w:basedOn w:val="Standard"/>
    <w:next w:val="Standard"/>
    <w:link w:val="berschrift4Zchn"/>
    <w:unhideWhenUsed/>
    <w:qFormat/>
    <w:rsid w:val="00264316"/>
    <w:pPr>
      <w:keepNext/>
      <w:keepLines/>
      <w:spacing w:line="240" w:lineRule="auto"/>
      <w:ind w:left="425" w:hanging="425"/>
      <w:outlineLvl w:val="3"/>
    </w:pPr>
    <w:rPr>
      <w:rFonts w:eastAsiaTheme="majorEastAsia" w:cstheme="majorBidi"/>
      <w:b/>
      <w:bCs/>
      <w:iCs/>
      <w:color w:val="000000" w:themeColor="text1"/>
      <w:sz w:val="24"/>
    </w:rPr>
  </w:style>
  <w:style w:type="paragraph" w:styleId="berschrift5">
    <w:name w:val="heading 5"/>
    <w:basedOn w:val="Standard"/>
    <w:next w:val="Standard"/>
    <w:link w:val="berschrift5Zchn"/>
    <w:uiPriority w:val="9"/>
    <w:unhideWhenUsed/>
    <w:qFormat/>
    <w:rsid w:val="006615B1"/>
    <w:pPr>
      <w:keepNext/>
      <w:keepLines/>
      <w:ind w:left="850" w:hanging="425"/>
      <w:outlineLvl w:val="4"/>
    </w:pPr>
    <w:rPr>
      <w:rFonts w:eastAsiaTheme="majorEastAsia" w:cstheme="majorBidi"/>
      <w:b/>
      <w:color w:val="000000" w:themeColor="text1"/>
    </w:rPr>
  </w:style>
  <w:style w:type="paragraph" w:styleId="berschrift6">
    <w:name w:val="heading 6"/>
    <w:basedOn w:val="berschrift5"/>
    <w:next w:val="Standard"/>
    <w:link w:val="berschrift6Zchn"/>
    <w:uiPriority w:val="9"/>
    <w:unhideWhenUsed/>
    <w:qFormat/>
    <w:rsid w:val="00CA60D4"/>
    <w:pPr>
      <w:tabs>
        <w:tab w:val="left" w:pos="1701"/>
      </w:tabs>
      <w:ind w:left="993" w:firstLine="1"/>
      <w:outlineLvl w:val="5"/>
    </w:pPr>
  </w:style>
  <w:style w:type="paragraph" w:styleId="berschrift7">
    <w:name w:val="heading 7"/>
    <w:basedOn w:val="Standard"/>
    <w:next w:val="Standard"/>
    <w:link w:val="berschrift7Zchn"/>
    <w:uiPriority w:val="9"/>
    <w:unhideWhenUsed/>
    <w:qFormat/>
    <w:rsid w:val="00A312DD"/>
    <w:pPr>
      <w:tabs>
        <w:tab w:val="left" w:pos="1843"/>
      </w:tabs>
      <w:ind w:left="993"/>
      <w:outlineLvl w:val="6"/>
    </w:pPr>
    <w:rPr>
      <w:b/>
      <w:bCs/>
      <w:spacing w:val="-5"/>
      <w:szCs w:val="22"/>
    </w:rPr>
  </w:style>
  <w:style w:type="paragraph" w:styleId="berschrift8">
    <w:name w:val="heading 8"/>
    <w:basedOn w:val="berschrift7"/>
    <w:next w:val="Standard"/>
    <w:link w:val="berschrift8Zchn"/>
    <w:uiPriority w:val="9"/>
    <w:unhideWhenUsed/>
    <w:qFormat/>
    <w:rsid w:val="005C3F17"/>
    <w:pPr>
      <w:tabs>
        <w:tab w:val="clear" w:pos="1843"/>
        <w:tab w:val="left" w:pos="2410"/>
      </w:tabs>
      <w:ind w:left="1560"/>
      <w:outlineLvl w:val="7"/>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755E48"/>
    <w:pPr>
      <w:ind w:left="720"/>
      <w:contextualSpacing/>
    </w:pPr>
  </w:style>
  <w:style w:type="paragraph" w:styleId="Sprechblasentext">
    <w:name w:val="Balloon Text"/>
    <w:basedOn w:val="Standard"/>
    <w:link w:val="SprechblasentextZchn"/>
    <w:semiHidden/>
    <w:unhideWhenUsed/>
    <w:rsid w:val="003F2E8D"/>
    <w:pPr>
      <w:spacing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3F2E8D"/>
    <w:rPr>
      <w:rFonts w:ascii="Tahoma" w:hAnsi="Tahoma" w:cs="Tahoma"/>
      <w:sz w:val="16"/>
      <w:szCs w:val="16"/>
    </w:rPr>
  </w:style>
  <w:style w:type="paragraph" w:styleId="Funotentext">
    <w:name w:val="footnote text"/>
    <w:basedOn w:val="Standard"/>
    <w:link w:val="FunotentextZchn"/>
    <w:uiPriority w:val="99"/>
    <w:semiHidden/>
    <w:unhideWhenUsed/>
    <w:rsid w:val="00D95E54"/>
    <w:pPr>
      <w:spacing w:line="240" w:lineRule="auto"/>
    </w:pPr>
    <w:rPr>
      <w:sz w:val="20"/>
      <w:szCs w:val="20"/>
    </w:rPr>
  </w:style>
  <w:style w:type="character" w:customStyle="1" w:styleId="FunotentextZchn">
    <w:name w:val="Fußnotentext Zchn"/>
    <w:basedOn w:val="Absatz-Standardschriftart"/>
    <w:link w:val="Funotentext"/>
    <w:uiPriority w:val="99"/>
    <w:semiHidden/>
    <w:rsid w:val="00D95E54"/>
    <w:rPr>
      <w:sz w:val="20"/>
      <w:szCs w:val="20"/>
    </w:rPr>
  </w:style>
  <w:style w:type="character" w:styleId="Funotenzeichen">
    <w:name w:val="footnote reference"/>
    <w:basedOn w:val="Absatz-Standardschriftart"/>
    <w:uiPriority w:val="99"/>
    <w:semiHidden/>
    <w:unhideWhenUsed/>
    <w:rsid w:val="00D95E54"/>
    <w:rPr>
      <w:vertAlign w:val="superscript"/>
    </w:rPr>
  </w:style>
  <w:style w:type="paragraph" w:styleId="Kopfzeile">
    <w:name w:val="header"/>
    <w:basedOn w:val="Standard"/>
    <w:link w:val="KopfzeileZchn"/>
    <w:unhideWhenUsed/>
    <w:rsid w:val="00345AAB"/>
    <w:pPr>
      <w:tabs>
        <w:tab w:val="center" w:pos="4536"/>
        <w:tab w:val="right" w:pos="9072"/>
      </w:tabs>
      <w:spacing w:line="240" w:lineRule="auto"/>
    </w:pPr>
  </w:style>
  <w:style w:type="character" w:customStyle="1" w:styleId="KopfzeileZchn">
    <w:name w:val="Kopfzeile Zchn"/>
    <w:basedOn w:val="Absatz-Standardschriftart"/>
    <w:link w:val="Kopfzeile"/>
    <w:uiPriority w:val="99"/>
    <w:rsid w:val="00345AAB"/>
  </w:style>
  <w:style w:type="paragraph" w:styleId="Fuzeile">
    <w:name w:val="footer"/>
    <w:basedOn w:val="Standard"/>
    <w:link w:val="FuzeileZchn"/>
    <w:unhideWhenUsed/>
    <w:rsid w:val="00345AAB"/>
    <w:pPr>
      <w:tabs>
        <w:tab w:val="center" w:pos="4536"/>
        <w:tab w:val="right" w:pos="9072"/>
      </w:tabs>
      <w:spacing w:line="240" w:lineRule="auto"/>
    </w:pPr>
  </w:style>
  <w:style w:type="character" w:customStyle="1" w:styleId="FuzeileZchn">
    <w:name w:val="Fußzeile Zchn"/>
    <w:basedOn w:val="Absatz-Standardschriftart"/>
    <w:link w:val="Fuzeile"/>
    <w:uiPriority w:val="99"/>
    <w:rsid w:val="00345AAB"/>
  </w:style>
  <w:style w:type="character" w:customStyle="1" w:styleId="berschrift3Zchn">
    <w:name w:val="Überschrift 3 Zchn"/>
    <w:basedOn w:val="Absatz-Standardschriftart"/>
    <w:link w:val="berschrift3"/>
    <w:rsid w:val="005759BE"/>
    <w:rPr>
      <w:rFonts w:ascii="Arial" w:eastAsia="Times New Roman" w:hAnsi="Arial" w:cs="Arial"/>
      <w:b/>
      <w:bCs/>
      <w:color w:val="000000" w:themeColor="text1"/>
      <w:spacing w:val="-7"/>
      <w:sz w:val="28"/>
      <w:szCs w:val="28"/>
      <w:lang w:val="de-DE" w:eastAsia="de-DE"/>
    </w:rPr>
  </w:style>
  <w:style w:type="character" w:customStyle="1" w:styleId="berschrift1Zchn">
    <w:name w:val="Überschrift 1 Zchn"/>
    <w:basedOn w:val="Absatz-Standardschriftart"/>
    <w:link w:val="berschrift1"/>
    <w:uiPriority w:val="9"/>
    <w:rsid w:val="006615B1"/>
    <w:rPr>
      <w:rFonts w:ascii="Arial" w:eastAsiaTheme="majorEastAsia" w:hAnsi="Arial" w:cstheme="majorBidi"/>
      <w:b/>
      <w:bCs/>
      <w:color w:val="000000" w:themeColor="text1"/>
      <w:sz w:val="48"/>
      <w:szCs w:val="28"/>
    </w:rPr>
  </w:style>
  <w:style w:type="character" w:customStyle="1" w:styleId="berschrift2Zchn">
    <w:name w:val="Überschrift 2 Zchn"/>
    <w:basedOn w:val="Absatz-Standardschriftart"/>
    <w:link w:val="berschrift2"/>
    <w:rsid w:val="00E36E8F"/>
    <w:rPr>
      <w:rFonts w:ascii="Arial" w:eastAsiaTheme="majorEastAsia" w:hAnsi="Arial" w:cstheme="majorBidi"/>
      <w:b/>
      <w:bCs/>
      <w:color w:val="000000" w:themeColor="text1"/>
      <w:sz w:val="32"/>
      <w:szCs w:val="26"/>
    </w:rPr>
  </w:style>
  <w:style w:type="paragraph" w:styleId="Inhaltsverzeichnisberschrift">
    <w:name w:val="TOC Heading"/>
    <w:basedOn w:val="berschrift1"/>
    <w:next w:val="Standard"/>
    <w:uiPriority w:val="39"/>
    <w:semiHidden/>
    <w:unhideWhenUsed/>
    <w:qFormat/>
    <w:rsid w:val="0064032B"/>
    <w:pPr>
      <w:outlineLvl w:val="9"/>
    </w:pPr>
    <w:rPr>
      <w:rFonts w:asciiTheme="majorHAnsi" w:hAnsiTheme="majorHAnsi"/>
      <w:sz w:val="28"/>
      <w:lang w:eastAsia="de-CH"/>
    </w:rPr>
  </w:style>
  <w:style w:type="paragraph" w:styleId="Verzeichnis3">
    <w:name w:val="toc 3"/>
    <w:basedOn w:val="Standard"/>
    <w:next w:val="Standard"/>
    <w:autoRedefine/>
    <w:uiPriority w:val="39"/>
    <w:unhideWhenUsed/>
    <w:rsid w:val="009626A4"/>
    <w:pPr>
      <w:tabs>
        <w:tab w:val="left" w:pos="851"/>
        <w:tab w:val="right" w:leader="dot" w:pos="9152"/>
      </w:tabs>
      <w:spacing w:after="100"/>
      <w:ind w:left="440"/>
    </w:pPr>
  </w:style>
  <w:style w:type="character" w:styleId="Hyperlink">
    <w:name w:val="Hyperlink"/>
    <w:basedOn w:val="Absatz-Standardschriftart"/>
    <w:uiPriority w:val="99"/>
    <w:unhideWhenUsed/>
    <w:rsid w:val="0064032B"/>
    <w:rPr>
      <w:color w:val="0000FF" w:themeColor="hyperlink"/>
      <w:u w:val="single"/>
    </w:rPr>
  </w:style>
  <w:style w:type="paragraph" w:styleId="Verzeichnis1">
    <w:name w:val="toc 1"/>
    <w:basedOn w:val="Standard"/>
    <w:next w:val="Standard"/>
    <w:autoRedefine/>
    <w:uiPriority w:val="39"/>
    <w:unhideWhenUsed/>
    <w:rsid w:val="00460A05"/>
    <w:pPr>
      <w:spacing w:after="100"/>
    </w:pPr>
  </w:style>
  <w:style w:type="character" w:customStyle="1" w:styleId="berschrift4Zchn">
    <w:name w:val="Überschrift 4 Zchn"/>
    <w:basedOn w:val="Absatz-Standardschriftart"/>
    <w:link w:val="berschrift4"/>
    <w:uiPriority w:val="9"/>
    <w:rsid w:val="00264316"/>
    <w:rPr>
      <w:rFonts w:ascii="Arial" w:eastAsiaTheme="majorEastAsia" w:hAnsi="Arial" w:cstheme="majorBidi"/>
      <w:b/>
      <w:bCs/>
      <w:iCs/>
      <w:color w:val="000000" w:themeColor="text1"/>
    </w:rPr>
  </w:style>
  <w:style w:type="paragraph" w:styleId="Verzeichnis2">
    <w:name w:val="toc 2"/>
    <w:basedOn w:val="Standard"/>
    <w:next w:val="Standard"/>
    <w:autoRedefine/>
    <w:uiPriority w:val="39"/>
    <w:unhideWhenUsed/>
    <w:rsid w:val="00460A05"/>
    <w:pPr>
      <w:spacing w:after="100"/>
      <w:ind w:left="220"/>
    </w:pPr>
  </w:style>
  <w:style w:type="character" w:customStyle="1" w:styleId="berschrift5Zchn">
    <w:name w:val="Überschrift 5 Zchn"/>
    <w:basedOn w:val="Absatz-Standardschriftart"/>
    <w:link w:val="berschrift5"/>
    <w:uiPriority w:val="9"/>
    <w:rsid w:val="006615B1"/>
    <w:rPr>
      <w:rFonts w:ascii="Arial" w:eastAsiaTheme="majorEastAsia" w:hAnsi="Arial" w:cstheme="majorBidi"/>
      <w:b/>
      <w:color w:val="000000" w:themeColor="text1"/>
      <w:sz w:val="22"/>
    </w:rPr>
  </w:style>
  <w:style w:type="character" w:styleId="Seitenzahl">
    <w:name w:val="page number"/>
    <w:basedOn w:val="Absatz-Standardschriftart"/>
    <w:rsid w:val="005D70F9"/>
  </w:style>
  <w:style w:type="paragraph" w:customStyle="1" w:styleId="StandardBlock">
    <w:name w:val="Standard + Block"/>
    <w:aliases w:val="Links:  0.75 cm,Vor:  4.3 pt,Zeilenabstand:  Genau 12 pt"/>
    <w:basedOn w:val="Standard"/>
    <w:rsid w:val="005D70F9"/>
    <w:pPr>
      <w:widowControl w:val="0"/>
      <w:tabs>
        <w:tab w:val="left" w:pos="426"/>
        <w:tab w:val="left" w:pos="851"/>
        <w:tab w:val="left" w:pos="1276"/>
      </w:tabs>
      <w:autoSpaceDE w:val="0"/>
      <w:autoSpaceDN w:val="0"/>
      <w:adjustRightInd w:val="0"/>
      <w:spacing w:before="86" w:line="240" w:lineRule="exact"/>
      <w:ind w:left="426"/>
      <w:jc w:val="both"/>
    </w:pPr>
    <w:rPr>
      <w:rFonts w:eastAsia="Times New Roman" w:cs="Arial"/>
      <w:sz w:val="20"/>
      <w:szCs w:val="20"/>
      <w:lang w:eastAsia="de-DE"/>
    </w:rPr>
  </w:style>
  <w:style w:type="paragraph" w:styleId="Titel">
    <w:name w:val="Title"/>
    <w:basedOn w:val="Standard"/>
    <w:next w:val="Standard"/>
    <w:link w:val="TitelZchn"/>
    <w:uiPriority w:val="10"/>
    <w:qFormat/>
    <w:rsid w:val="0012391B"/>
    <w:pPr>
      <w:spacing w:line="715" w:lineRule="exact"/>
    </w:pPr>
    <w:rPr>
      <w:b/>
      <w:bCs/>
      <w:spacing w:val="-25"/>
      <w:position w:val="3"/>
      <w:sz w:val="72"/>
      <w:szCs w:val="72"/>
    </w:rPr>
  </w:style>
  <w:style w:type="character" w:customStyle="1" w:styleId="TitelZchn">
    <w:name w:val="Titel Zchn"/>
    <w:basedOn w:val="Absatz-Standardschriftart"/>
    <w:link w:val="Titel"/>
    <w:uiPriority w:val="10"/>
    <w:rsid w:val="0012391B"/>
    <w:rPr>
      <w:rFonts w:ascii="Arial" w:hAnsi="Arial"/>
      <w:b/>
      <w:bCs/>
      <w:spacing w:val="-25"/>
      <w:position w:val="3"/>
      <w:sz w:val="72"/>
      <w:szCs w:val="72"/>
    </w:rPr>
  </w:style>
  <w:style w:type="character" w:styleId="Buchtitel">
    <w:name w:val="Book Title"/>
    <w:uiPriority w:val="33"/>
    <w:qFormat/>
    <w:rsid w:val="0012391B"/>
    <w:rPr>
      <w:b/>
      <w:bCs/>
      <w:spacing w:val="-5"/>
      <w:sz w:val="44"/>
      <w:szCs w:val="44"/>
    </w:rPr>
  </w:style>
  <w:style w:type="character" w:customStyle="1" w:styleId="berschrift6Zchn">
    <w:name w:val="Überschrift 6 Zchn"/>
    <w:basedOn w:val="Absatz-Standardschriftart"/>
    <w:link w:val="berschrift6"/>
    <w:uiPriority w:val="9"/>
    <w:rsid w:val="00CA60D4"/>
    <w:rPr>
      <w:rFonts w:ascii="Arial" w:eastAsiaTheme="majorEastAsia" w:hAnsi="Arial" w:cstheme="majorBidi"/>
      <w:b/>
      <w:color w:val="000000" w:themeColor="text1"/>
      <w:sz w:val="22"/>
    </w:rPr>
  </w:style>
  <w:style w:type="character" w:customStyle="1" w:styleId="berschrift7Zchn">
    <w:name w:val="Überschrift 7 Zchn"/>
    <w:basedOn w:val="Absatz-Standardschriftart"/>
    <w:link w:val="berschrift7"/>
    <w:uiPriority w:val="9"/>
    <w:rsid w:val="00A312DD"/>
    <w:rPr>
      <w:rFonts w:ascii="Arial" w:hAnsi="Arial"/>
      <w:b/>
      <w:bCs/>
      <w:spacing w:val="-5"/>
      <w:sz w:val="22"/>
      <w:szCs w:val="22"/>
    </w:rPr>
  </w:style>
  <w:style w:type="paragraph" w:styleId="Verzeichnis4">
    <w:name w:val="toc 4"/>
    <w:basedOn w:val="Standard"/>
    <w:next w:val="Standard"/>
    <w:autoRedefine/>
    <w:uiPriority w:val="39"/>
    <w:unhideWhenUsed/>
    <w:rsid w:val="00E85E05"/>
    <w:pPr>
      <w:spacing w:after="100"/>
      <w:ind w:left="660"/>
    </w:pPr>
    <w:rPr>
      <w:rFonts w:asciiTheme="minorHAnsi" w:eastAsiaTheme="minorEastAsia" w:hAnsiTheme="minorHAnsi"/>
      <w:szCs w:val="22"/>
      <w:lang w:eastAsia="de-CH"/>
    </w:rPr>
  </w:style>
  <w:style w:type="paragraph" w:styleId="Verzeichnis5">
    <w:name w:val="toc 5"/>
    <w:basedOn w:val="Standard"/>
    <w:next w:val="Standard"/>
    <w:autoRedefine/>
    <w:uiPriority w:val="39"/>
    <w:unhideWhenUsed/>
    <w:rsid w:val="00E85E05"/>
    <w:pPr>
      <w:spacing w:after="100"/>
      <w:ind w:left="880"/>
    </w:pPr>
    <w:rPr>
      <w:rFonts w:asciiTheme="minorHAnsi" w:eastAsiaTheme="minorEastAsia" w:hAnsiTheme="minorHAnsi"/>
      <w:szCs w:val="22"/>
      <w:lang w:eastAsia="de-CH"/>
    </w:rPr>
  </w:style>
  <w:style w:type="paragraph" w:styleId="Verzeichnis6">
    <w:name w:val="toc 6"/>
    <w:basedOn w:val="Standard"/>
    <w:next w:val="Standard"/>
    <w:autoRedefine/>
    <w:uiPriority w:val="39"/>
    <w:unhideWhenUsed/>
    <w:rsid w:val="00E85E05"/>
    <w:pPr>
      <w:spacing w:after="100"/>
      <w:ind w:left="1100"/>
    </w:pPr>
    <w:rPr>
      <w:rFonts w:asciiTheme="minorHAnsi" w:eastAsiaTheme="minorEastAsia" w:hAnsiTheme="minorHAnsi"/>
      <w:szCs w:val="22"/>
      <w:lang w:eastAsia="de-CH"/>
    </w:rPr>
  </w:style>
  <w:style w:type="paragraph" w:styleId="Verzeichnis7">
    <w:name w:val="toc 7"/>
    <w:basedOn w:val="Standard"/>
    <w:next w:val="Standard"/>
    <w:autoRedefine/>
    <w:uiPriority w:val="39"/>
    <w:unhideWhenUsed/>
    <w:rsid w:val="00E85E05"/>
    <w:pPr>
      <w:spacing w:after="100"/>
      <w:ind w:left="1320"/>
    </w:pPr>
    <w:rPr>
      <w:rFonts w:asciiTheme="minorHAnsi" w:eastAsiaTheme="minorEastAsia" w:hAnsiTheme="minorHAnsi"/>
      <w:szCs w:val="22"/>
      <w:lang w:eastAsia="de-CH"/>
    </w:rPr>
  </w:style>
  <w:style w:type="paragraph" w:styleId="Verzeichnis8">
    <w:name w:val="toc 8"/>
    <w:basedOn w:val="Standard"/>
    <w:next w:val="Standard"/>
    <w:autoRedefine/>
    <w:uiPriority w:val="39"/>
    <w:unhideWhenUsed/>
    <w:rsid w:val="00E85E05"/>
    <w:pPr>
      <w:spacing w:after="100"/>
      <w:ind w:left="1540"/>
    </w:pPr>
    <w:rPr>
      <w:rFonts w:asciiTheme="minorHAnsi" w:eastAsiaTheme="minorEastAsia" w:hAnsiTheme="minorHAnsi"/>
      <w:szCs w:val="22"/>
      <w:lang w:eastAsia="de-CH"/>
    </w:rPr>
  </w:style>
  <w:style w:type="paragraph" w:styleId="Verzeichnis9">
    <w:name w:val="toc 9"/>
    <w:basedOn w:val="Standard"/>
    <w:next w:val="Standard"/>
    <w:autoRedefine/>
    <w:uiPriority w:val="39"/>
    <w:unhideWhenUsed/>
    <w:rsid w:val="00E85E05"/>
    <w:pPr>
      <w:spacing w:after="100"/>
      <w:ind w:left="1760"/>
    </w:pPr>
    <w:rPr>
      <w:rFonts w:asciiTheme="minorHAnsi" w:eastAsiaTheme="minorEastAsia" w:hAnsiTheme="minorHAnsi"/>
      <w:szCs w:val="22"/>
      <w:lang w:eastAsia="de-CH"/>
    </w:rPr>
  </w:style>
  <w:style w:type="character" w:customStyle="1" w:styleId="berschrift8Zchn">
    <w:name w:val="Überschrift 8 Zchn"/>
    <w:basedOn w:val="Absatz-Standardschriftart"/>
    <w:link w:val="berschrift8"/>
    <w:uiPriority w:val="9"/>
    <w:rsid w:val="005C3F17"/>
    <w:rPr>
      <w:rFonts w:ascii="Arial" w:hAnsi="Arial"/>
      <w:b/>
      <w:bCs/>
      <w:spacing w:val="-5"/>
      <w:sz w:val="22"/>
      <w:szCs w:val="22"/>
    </w:rPr>
  </w:style>
  <w:style w:type="paragraph" w:customStyle="1" w:styleId="Default">
    <w:name w:val="Default"/>
    <w:rsid w:val="00CD3923"/>
    <w:pPr>
      <w:widowControl w:val="0"/>
      <w:autoSpaceDE w:val="0"/>
      <w:autoSpaceDN w:val="0"/>
      <w:adjustRightInd w:val="0"/>
      <w:spacing w:after="0" w:line="240" w:lineRule="auto"/>
    </w:pPr>
    <w:rPr>
      <w:rFonts w:ascii="Arial" w:eastAsiaTheme="minorEastAsia" w:hAnsi="Arial" w:cs="Arial"/>
      <w:color w:val="000000"/>
      <w:lang w:eastAsia="de-CH"/>
    </w:rPr>
  </w:style>
  <w:style w:type="paragraph" w:styleId="Textkrper">
    <w:name w:val="Body Text"/>
    <w:basedOn w:val="Standard"/>
    <w:link w:val="TextkrperZchn"/>
    <w:rsid w:val="00902C4B"/>
    <w:pPr>
      <w:overflowPunct w:val="0"/>
      <w:autoSpaceDE w:val="0"/>
      <w:autoSpaceDN w:val="0"/>
      <w:adjustRightInd w:val="0"/>
      <w:spacing w:after="120" w:line="240" w:lineRule="auto"/>
      <w:textAlignment w:val="baseline"/>
    </w:pPr>
    <w:rPr>
      <w:rFonts w:ascii="Book Antiqua" w:eastAsia="Times New Roman" w:hAnsi="Book Antiqua" w:cs="Times New Roman"/>
      <w:sz w:val="24"/>
      <w:szCs w:val="20"/>
      <w:lang w:eastAsia="de-CH"/>
    </w:rPr>
  </w:style>
  <w:style w:type="character" w:customStyle="1" w:styleId="TextkrperZchn">
    <w:name w:val="Textkörper Zchn"/>
    <w:basedOn w:val="Absatz-Standardschriftart"/>
    <w:link w:val="Textkrper"/>
    <w:rsid w:val="00902C4B"/>
    <w:rPr>
      <w:rFonts w:eastAsia="Times New Roman" w:cs="Times New Roman"/>
      <w:szCs w:val="20"/>
      <w:lang w:eastAsia="de-CH"/>
    </w:rPr>
  </w:style>
  <w:style w:type="paragraph" w:customStyle="1" w:styleId="Betreff">
    <w:name w:val="Betreff"/>
    <w:basedOn w:val="Standard"/>
    <w:next w:val="Standard"/>
    <w:rsid w:val="00902C4B"/>
    <w:pPr>
      <w:tabs>
        <w:tab w:val="left" w:pos="5800"/>
      </w:tabs>
      <w:overflowPunct w:val="0"/>
      <w:autoSpaceDE w:val="0"/>
      <w:autoSpaceDN w:val="0"/>
      <w:adjustRightInd w:val="0"/>
      <w:spacing w:before="480" w:after="480" w:line="240" w:lineRule="auto"/>
      <w:textAlignment w:val="baseline"/>
    </w:pPr>
    <w:rPr>
      <w:rFonts w:ascii="Helv" w:eastAsia="Times New Roman" w:hAnsi="Helv" w:cs="Times New Roman"/>
      <w:b/>
      <w:sz w:val="24"/>
      <w:szCs w:val="20"/>
      <w:lang w:val="de-DE" w:eastAsia="de-CH"/>
    </w:rPr>
  </w:style>
  <w:style w:type="paragraph" w:customStyle="1" w:styleId="Textkrper21">
    <w:name w:val="Textkörper 21"/>
    <w:basedOn w:val="Standard"/>
    <w:rsid w:val="00C67891"/>
    <w:pPr>
      <w:tabs>
        <w:tab w:val="left" w:pos="1080"/>
      </w:tabs>
      <w:overflowPunct w:val="0"/>
      <w:autoSpaceDE w:val="0"/>
      <w:autoSpaceDN w:val="0"/>
      <w:adjustRightInd w:val="0"/>
      <w:spacing w:line="240" w:lineRule="auto"/>
      <w:ind w:left="540" w:hanging="540"/>
      <w:textAlignment w:val="baseline"/>
    </w:pPr>
    <w:rPr>
      <w:rFonts w:ascii="Book Antiqua" w:eastAsia="Times New Roman" w:hAnsi="Book Antiqua" w:cs="Times New Roman"/>
      <w:sz w:val="24"/>
      <w:lang w:eastAsia="de-CH"/>
    </w:rPr>
  </w:style>
  <w:style w:type="paragraph" w:customStyle="1" w:styleId="BetreffA">
    <w:name w:val="BetreffA"/>
    <w:basedOn w:val="Standard"/>
    <w:rsid w:val="001D200D"/>
    <w:pPr>
      <w:tabs>
        <w:tab w:val="left" w:pos="5387"/>
      </w:tabs>
      <w:overflowPunct w:val="0"/>
      <w:autoSpaceDE w:val="0"/>
      <w:autoSpaceDN w:val="0"/>
      <w:adjustRightInd w:val="0"/>
      <w:spacing w:before="240" w:after="240" w:line="240" w:lineRule="auto"/>
      <w:textAlignment w:val="baseline"/>
    </w:pPr>
    <w:rPr>
      <w:rFonts w:ascii="Helv" w:eastAsia="Times New Roman" w:hAnsi="Helv" w:cs="Times New Roman"/>
      <w:b/>
      <w:sz w:val="28"/>
      <w:szCs w:val="20"/>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694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emf"/><Relationship Id="rId18" Type="http://schemas.openxmlformats.org/officeDocument/2006/relationships/image" Target="media/image4.jpeg"/><Relationship Id="rId26" Type="http://schemas.openxmlformats.org/officeDocument/2006/relationships/image" Target="media/image12.jpg"/><Relationship Id="rId39" Type="http://schemas.openxmlformats.org/officeDocument/2006/relationships/image" Target="media/image25.jpg"/><Relationship Id="rId21" Type="http://schemas.openxmlformats.org/officeDocument/2006/relationships/image" Target="media/image7.jpg"/><Relationship Id="rId34" Type="http://schemas.openxmlformats.org/officeDocument/2006/relationships/image" Target="media/image20.jpg"/><Relationship Id="rId42" Type="http://schemas.openxmlformats.org/officeDocument/2006/relationships/image" Target="media/image28.jpg"/><Relationship Id="rId47" Type="http://schemas.openxmlformats.org/officeDocument/2006/relationships/image" Target="media/image33.jpg"/><Relationship Id="rId50" Type="http://schemas.openxmlformats.org/officeDocument/2006/relationships/image" Target="media/image36.jpg"/><Relationship Id="rId55" Type="http://schemas.openxmlformats.org/officeDocument/2006/relationships/image" Target="media/image41.jpeg"/><Relationship Id="rId7" Type="http://schemas.openxmlformats.org/officeDocument/2006/relationships/footnotes" Target="footnotes.xml"/><Relationship Id="rId12" Type="http://schemas.openxmlformats.org/officeDocument/2006/relationships/hyperlink" Target="http://www.hrabe.ch" TargetMode="External"/><Relationship Id="rId17" Type="http://schemas.openxmlformats.org/officeDocument/2006/relationships/image" Target="media/image3.jpeg"/><Relationship Id="rId25" Type="http://schemas.openxmlformats.org/officeDocument/2006/relationships/image" Target="media/image11.jpg"/><Relationship Id="rId33" Type="http://schemas.openxmlformats.org/officeDocument/2006/relationships/image" Target="media/image19.jpg"/><Relationship Id="rId38" Type="http://schemas.openxmlformats.org/officeDocument/2006/relationships/image" Target="media/image24.jpg"/><Relationship Id="rId46" Type="http://schemas.openxmlformats.org/officeDocument/2006/relationships/image" Target="media/image32.jpg"/><Relationship Id="rId2" Type="http://schemas.openxmlformats.org/officeDocument/2006/relationships/numbering" Target="numbering.xml"/><Relationship Id="rId16" Type="http://schemas.openxmlformats.org/officeDocument/2006/relationships/image" Target="media/image2.jpg"/><Relationship Id="rId20" Type="http://schemas.openxmlformats.org/officeDocument/2006/relationships/image" Target="media/image6.jpeg"/><Relationship Id="rId29" Type="http://schemas.openxmlformats.org/officeDocument/2006/relationships/image" Target="media/image15.jpeg"/><Relationship Id="rId41" Type="http://schemas.openxmlformats.org/officeDocument/2006/relationships/image" Target="media/image27.jpg"/><Relationship Id="rId54" Type="http://schemas.openxmlformats.org/officeDocument/2006/relationships/image" Target="media/image4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dbswitzerland.dnb.com/German/shab.htm" TargetMode="External"/><Relationship Id="rId24" Type="http://schemas.openxmlformats.org/officeDocument/2006/relationships/image" Target="media/image10.jpg"/><Relationship Id="rId32" Type="http://schemas.openxmlformats.org/officeDocument/2006/relationships/image" Target="media/image18.jpg"/><Relationship Id="rId37" Type="http://schemas.openxmlformats.org/officeDocument/2006/relationships/image" Target="media/image23.jpg"/><Relationship Id="rId40" Type="http://schemas.openxmlformats.org/officeDocument/2006/relationships/image" Target="media/image26.jpg"/><Relationship Id="rId45" Type="http://schemas.openxmlformats.org/officeDocument/2006/relationships/image" Target="media/image31.jpg"/><Relationship Id="rId53" Type="http://schemas.openxmlformats.org/officeDocument/2006/relationships/image" Target="media/image39.jpeg"/><Relationship Id="rId58"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www.jgk.be.ch/jgk/de/index/direktion/organisation/gba.html" TargetMode="External"/><Relationship Id="rId23" Type="http://schemas.openxmlformats.org/officeDocument/2006/relationships/image" Target="media/image9.jpg"/><Relationship Id="rId28" Type="http://schemas.openxmlformats.org/officeDocument/2006/relationships/image" Target="media/image14.jpg"/><Relationship Id="rId36" Type="http://schemas.openxmlformats.org/officeDocument/2006/relationships/image" Target="media/image22.jpeg"/><Relationship Id="rId49" Type="http://schemas.openxmlformats.org/officeDocument/2006/relationships/image" Target="media/image35.jpg"/><Relationship Id="rId57" Type="http://schemas.openxmlformats.org/officeDocument/2006/relationships/fontTable" Target="fontTable.xml"/><Relationship Id="rId10" Type="http://schemas.openxmlformats.org/officeDocument/2006/relationships/hyperlink" Target="http://www.bernernotar.ch" TargetMode="External"/><Relationship Id="rId19" Type="http://schemas.openxmlformats.org/officeDocument/2006/relationships/image" Target="media/image5.jpg"/><Relationship Id="rId31" Type="http://schemas.openxmlformats.org/officeDocument/2006/relationships/image" Target="media/image17.jpg"/><Relationship Id="rId44" Type="http://schemas.openxmlformats.org/officeDocument/2006/relationships/image" Target="media/image30.jpg"/><Relationship Id="rId52" Type="http://schemas.openxmlformats.org/officeDocument/2006/relationships/image" Target="media/image38.jpg"/><Relationship Id="rId4" Type="http://schemas.microsoft.com/office/2007/relationships/stylesWithEffects" Target="stylesWithEffects.xml"/><Relationship Id="rId9" Type="http://schemas.openxmlformats.org/officeDocument/2006/relationships/hyperlink" Target="mailto:info@bernernotar.ch" TargetMode="External"/><Relationship Id="rId14" Type="http://schemas.openxmlformats.org/officeDocument/2006/relationships/oleObject" Target="embeddings/Microsoft_Excel_97-2003_Worksheet1.xls"/><Relationship Id="rId22" Type="http://schemas.openxmlformats.org/officeDocument/2006/relationships/image" Target="media/image8.jpg"/><Relationship Id="rId27" Type="http://schemas.openxmlformats.org/officeDocument/2006/relationships/image" Target="media/image13.jpg"/><Relationship Id="rId30" Type="http://schemas.openxmlformats.org/officeDocument/2006/relationships/image" Target="media/image16.jpg"/><Relationship Id="rId35" Type="http://schemas.openxmlformats.org/officeDocument/2006/relationships/image" Target="media/image21.jpg"/><Relationship Id="rId43" Type="http://schemas.openxmlformats.org/officeDocument/2006/relationships/image" Target="media/image29.jpg"/><Relationship Id="rId48" Type="http://schemas.openxmlformats.org/officeDocument/2006/relationships/image" Target="media/image34.jpg"/><Relationship Id="rId56"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37.jpg"/><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897914-D4E9-45EC-9A98-1BE9F6F605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293</Pages>
  <Words>71806</Words>
  <Characters>452383</Characters>
  <Application>Microsoft Office Word</Application>
  <DocSecurity>0</DocSecurity>
  <Lines>3769</Lines>
  <Paragraphs>1046</Paragraphs>
  <ScaleCrop>false</ScaleCrop>
  <HeadingPairs>
    <vt:vector size="2" baseType="variant">
      <vt:variant>
        <vt:lpstr>Titel</vt:lpstr>
      </vt:variant>
      <vt:variant>
        <vt:i4>1</vt:i4>
      </vt:variant>
    </vt:vector>
  </HeadingPairs>
  <TitlesOfParts>
    <vt:vector size="1" baseType="lpstr">
      <vt:lpstr/>
    </vt:vector>
  </TitlesOfParts>
  <Company>WirtschaftsSchule Thun</Company>
  <LinksUpToDate>false</LinksUpToDate>
  <CharactersWithSpaces>523143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Marianne Meyer</dc:creator>
  <cp:lastModifiedBy>Marianne Meyer</cp:lastModifiedBy>
  <cp:revision>2</cp:revision>
  <cp:lastPrinted>2016-02-01T15:30:00Z</cp:lastPrinted>
  <dcterms:created xsi:type="dcterms:W3CDTF">2017-10-06T10:17:00Z</dcterms:created>
  <dcterms:modified xsi:type="dcterms:W3CDTF">2017-10-06T10:17:00Z</dcterms:modified>
</cp:coreProperties>
</file>